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Calibri" w:cs="Calibri" w:eastAsia="Calibri" w:hAnsi="Calibri"/>
        </w:rPr>
        <w:t xml:space="preserve">Project Scoping Document</w:t>
      </w:r>
    </w:p>
    <w:p>
      <w:pPr>
        <w:spacing w:after="120"/>
      </w:pPr>
      <w:r>
        <w:t xml:space="preserve"/>
      </w:r>
    </w:p>
    <w:p>
      <w:pPr>
        <w:spacing w:after="160"/>
      </w:pPr>
      <w:r>
        <w:rPr>
          <w:rFonts w:ascii="Calibri" w:cs="Calibri" w:eastAsia="Calibri" w:hAnsi="Calibri"/>
          <w:b/>
          <w:bCs/>
          <w:sz w:val="24"/>
          <w:szCs w:val="24"/>
        </w:rPr>
        <w:t xml:space="preserve">Name: </w:t>
      </w:r>
      <w:r>
        <w:rPr>
          <w:rFonts w:ascii="Calibri" w:cs="Calibri" w:eastAsia="Calibri" w:hAnsi="Calibri"/>
          <w:sz w:val="24"/>
          <w:szCs w:val="24"/>
        </w:rPr>
        <w:t xml:space="preserve">Premier League Home Advantage &amp; Match Outcome Analysis</w:t>
      </w:r>
    </w:p>
    <w:p>
      <w:pPr>
        <w:spacing w:after="160"/>
      </w:pPr>
      <w:r>
        <w:rPr>
          <w:rFonts w:ascii="Calibri" w:cs="Calibri" w:eastAsia="Calibri" w:hAnsi="Calibri"/>
          <w:b/>
          <w:bCs/>
          <w:sz w:val="24"/>
          <w:szCs w:val="24"/>
        </w:rPr>
        <w:t xml:space="preserve">Business Problem:</w:t>
      </w:r>
      <w:r>
        <w:br/>
      </w:r>
      <w:r>
        <w:rPr>
          <w:rFonts w:ascii="Calibri" w:cs="Calibri" w:eastAsia="Calibri" w:hAnsi="Calibri"/>
          <w:sz w:val="24"/>
          <w:szCs w:val="24"/>
        </w:rPr>
        <w:t xml:space="preserve">Home advantage in football is one of those ideas that everyone takes as a given. Managers plan around it, pundits talk about it, fans expect it. But when I actually looked for solid, recent evidence from the Premier League specifically, I couldn’t find much. Most of the data people reference is old, and the past few years have been unusual anyway — two seasons behind closed doors during COVID, then crowds coming back. So the question of whether home advantage still holds up the way it used to is genuinely open.</w:t>
      </w:r>
      <w:r>
        <w:br/>
      </w:r>
      <w:r>
        <w:rPr>
          <w:rFonts w:ascii="Calibri" w:cs="Calibri" w:eastAsia="Calibri" w:hAnsi="Calibri"/>
          <w:sz w:val="24"/>
          <w:szCs w:val="24"/>
        </w:rPr>
        <w:t xml:space="preserve">This project uses match data from the 2021–24 seasons to test it properly. The main thing I want to find out is whether home teams genuinely win more often — and if they do, which match statistics (shots on target, fouls, corners and so on) actually explain it, rather than just happening to be higher at home.</w:t>
      </w:r>
    </w:p>
    <w:p>
      <w:pPr>
        <w:spacing w:after="160"/>
      </w:pPr>
      <w:r>
        <w:rPr>
          <w:rFonts w:ascii="Calibri" w:cs="Calibri" w:eastAsia="Calibri" w:hAnsi="Calibri"/>
          <w:b/>
          <w:bCs/>
          <w:sz w:val="24"/>
          <w:szCs w:val="24"/>
        </w:rPr>
        <w:t xml:space="preserve">Business Impact:</w:t>
      </w:r>
      <w:r>
        <w:br/>
      </w:r>
      <w:r>
        <w:rPr>
          <w:rFonts w:ascii="Calibri" w:cs="Calibri" w:eastAsia="Calibri" w:hAnsi="Calibri"/>
          <w:sz w:val="24"/>
          <w:szCs w:val="24"/>
        </w:rPr>
        <w:t xml:space="preserve">Getting this right could be useful in a few different ways:</w:t>
      </w:r>
    </w:p>
    <w:p>
      <w:pPr>
        <w:pStyle w:val="ListParagraph"/>
        <w:numPr>
          <w:ilvl w:val="0"/>
          <w:numId w:val="2"/>
        </w:numPr>
        <w:spacing w:after="80"/>
      </w:pPr>
      <w:r>
        <w:rPr>
          <w:rFonts w:ascii="Calibri" w:cs="Calibri" w:eastAsia="Calibri" w:hAnsi="Calibri"/>
          <w:sz w:val="24"/>
          <w:szCs w:val="24"/>
        </w:rPr>
        <w:t xml:space="preserve">Clubs and coaches: If the analysis shows that shots on target is what actually separates home wins from draws, that is more useful than a general “play better at home” message. It gives coaching staff something specific to work on before away games especially.</w:t>
      </w:r>
    </w:p>
    <w:p>
      <w:pPr>
        <w:pStyle w:val="ListParagraph"/>
        <w:numPr>
          <w:ilvl w:val="0"/>
          <w:numId w:val="2"/>
        </w:numPr>
        <w:spacing w:after="80"/>
      </w:pPr>
      <w:r>
        <w:rPr>
          <w:rFonts w:ascii="Calibri" w:cs="Calibri" w:eastAsia="Calibri" w:hAnsi="Calibri"/>
          <w:sz w:val="24"/>
          <w:szCs w:val="24"/>
        </w:rPr>
        <w:t xml:space="preserve">Broadcasters and media: A lot of football punditry on home advantage is based on instinct rather than numbers. This gives journalists and analysts actual recent data to point to when the topic comes up.</w:t>
      </w:r>
    </w:p>
    <w:p>
      <w:pPr>
        <w:pStyle w:val="ListParagraph"/>
        <w:numPr>
          <w:ilvl w:val="0"/>
          <w:numId w:val="2"/>
        </w:numPr>
        <w:spacing w:after="80"/>
      </w:pPr>
      <w:r>
        <w:rPr>
          <w:rFonts w:ascii="Calibri" w:cs="Calibri" w:eastAsia="Calibri" w:hAnsi="Calibri"/>
          <w:sz w:val="24"/>
          <w:szCs w:val="24"/>
        </w:rPr>
        <w:t xml:space="preserve">Sports data companies: Part of what this project does is separate the stats that actually predict results from the ones that just look interesting. That kind of filtering is exactly what goes into building tools sold to clubs and broadcasters.</w:t>
      </w:r>
    </w:p>
    <w:p>
      <w:pPr>
        <w:pStyle w:val="ListParagraph"/>
        <w:numPr>
          <w:ilvl w:val="0"/>
          <w:numId w:val="2"/>
        </w:numPr>
        <w:spacing w:after="80"/>
      </w:pPr>
      <w:r>
        <w:rPr>
          <w:rFonts w:ascii="Calibri" w:cs="Calibri" w:eastAsia="Calibri" w:hAnsi="Calibri"/>
          <w:sz w:val="24"/>
          <w:szCs w:val="24"/>
        </w:rPr>
        <w:t xml:space="preserve">Anyone looking at the COVID effect on football: The crowd-absence period gave researchers a natural experiment. These three post-lockdown seasons are a clean way to check whether things went back to normal — or not.</w:t>
      </w:r>
    </w:p>
    <w:p>
      <w:pPr>
        <w:spacing w:after="120"/>
      </w:pPr>
      <w:r>
        <w:t xml:space="preserve"/>
      </w:r>
    </w:p>
    <w:p>
      <w:pPr>
        <w:spacing w:after="160"/>
      </w:pPr>
      <w:r>
        <w:rPr>
          <w:rFonts w:ascii="Calibri" w:cs="Calibri" w:eastAsia="Calibri" w:hAnsi="Calibri"/>
          <w:b/>
          <w:bCs/>
          <w:sz w:val="24"/>
          <w:szCs w:val="24"/>
        </w:rPr>
        <w:t xml:space="preserve">Dataset(s):</w:t>
      </w:r>
      <w:r>
        <w:br/>
      </w:r>
      <w:r>
        <w:rPr>
          <w:rFonts w:ascii="Calibri" w:cs="Calibri" w:eastAsia="Calibri" w:hAnsi="Calibri"/>
          <w:sz w:val="24"/>
          <w:szCs w:val="24"/>
        </w:rPr>
        <w:t xml:space="preserve">The primary dataset was sourced from football-data.co.uk, a freely available repository widely used by football analysts, data scientists, and researchers. Three CSV files were downloaded — one per Premier League season — via direct download, requiring no API access or web scraping.</w:t>
      </w:r>
    </w:p>
    <w:p>
      <w:pPr>
        <w:pStyle w:val="ListParagraph"/>
        <w:numPr>
          <w:ilvl w:val="0"/>
          <w:numId w:val="2"/>
        </w:numPr>
        <w:spacing w:after="80"/>
      </w:pPr>
      <w:r>
        <w:rPr>
          <w:rFonts w:ascii="Calibri" w:cs="Calibri" w:eastAsia="Calibri" w:hAnsi="Calibri"/>
          <w:sz w:val="24"/>
          <w:szCs w:val="24"/>
        </w:rPr>
        <w:t xml:space="preserve">E0.csv — Premier League 2023–24 season (380 matches, 171 KB)</w:t>
      </w:r>
    </w:p>
    <w:p>
      <w:pPr>
        <w:pStyle w:val="ListParagraph"/>
        <w:numPr>
          <w:ilvl w:val="0"/>
          <w:numId w:val="2"/>
        </w:numPr>
        <w:spacing w:after="80"/>
      </w:pPr>
      <w:r>
        <w:rPr>
          <w:rFonts w:ascii="Calibri" w:cs="Calibri" w:eastAsia="Calibri" w:hAnsi="Calibri"/>
          <w:sz w:val="24"/>
          <w:szCs w:val="24"/>
        </w:rPr>
        <w:t xml:space="preserve">E0__1_.csv — Premier League 2022–23 season (380 matches, 172 KB)</w:t>
      </w:r>
    </w:p>
    <w:p>
      <w:pPr>
        <w:pStyle w:val="ListParagraph"/>
        <w:numPr>
          <w:ilvl w:val="0"/>
          <w:numId w:val="2"/>
        </w:numPr>
        <w:spacing w:after="80"/>
      </w:pPr>
      <w:r>
        <w:rPr>
          <w:rFonts w:ascii="Calibri" w:cs="Calibri" w:eastAsia="Calibri" w:hAnsi="Calibri"/>
          <w:sz w:val="24"/>
          <w:szCs w:val="24"/>
        </w:rPr>
        <w:t xml:space="preserve">E0__2_.csv — Premier League 2021–22 season (380 matches, 168 KB)</w:t>
      </w:r>
    </w:p>
    <w:p>
      <w:pPr>
        <w:pStyle w:val="ListParagraph"/>
        <w:numPr>
          <w:ilvl w:val="0"/>
          <w:numId w:val="2"/>
        </w:numPr>
        <w:spacing w:after="80"/>
      </w:pPr>
      <w:r>
        <w:rPr>
          <w:rFonts w:ascii="Calibri" w:cs="Calibri" w:eastAsia="Calibri" w:hAnsi="Calibri"/>
          <w:sz w:val="24"/>
          <w:szCs w:val="24"/>
        </w:rPr>
        <w:t xml:space="preserve">Combined: 1,140 matches, 22 analytical columns selected from 106 available, zero null values</w:t>
      </w:r>
    </w:p>
    <w:p>
      <w:pPr>
        <w:spacing w:after="120"/>
      </w:pPr>
      <w:r>
        <w:t xml:space="preserve"/>
      </w:r>
    </w:p>
    <w:p>
      <w:pPr>
        <w:spacing w:after="160"/>
      </w:pPr>
      <w:r>
        <w:rPr>
          <w:rFonts w:ascii="Calibri" w:cs="Calibri" w:eastAsia="Calibri" w:hAnsi="Calibri"/>
          <w:b/>
          <w:bCs/>
          <w:sz w:val="24"/>
          <w:szCs w:val="24"/>
        </w:rPr>
        <w:t xml:space="preserve">Methods:</w:t>
      </w:r>
      <w:r>
        <w:br/>
      </w:r>
      <w:r>
        <w:rPr>
          <w:rFonts w:ascii="Calibri" w:cs="Calibri" w:eastAsia="Calibri" w:hAnsi="Calibri"/>
          <w:sz w:val="24"/>
          <w:szCs w:val="24"/>
        </w:rPr>
        <w:t xml:space="preserve">Everything is done in Python. I used pandas to load and clean the data, and matplotlib and seaborn for the charts. The analytical approach covers a few different angles:</w:t>
      </w:r>
    </w:p>
    <w:p>
      <w:pPr>
        <w:pStyle w:val="ListParagraph"/>
        <w:numPr>
          <w:ilvl w:val="0"/>
          <w:numId w:val="2"/>
        </w:numPr>
        <w:spacing w:after="80"/>
      </w:pPr>
      <w:r>
        <w:rPr>
          <w:rFonts w:ascii="Calibri" w:cs="Calibri" w:eastAsia="Calibri" w:hAnsi="Calibri"/>
          <w:sz w:val="24"/>
          <w:szCs w:val="24"/>
        </w:rPr>
        <w:t xml:space="preserve">Basic descriptive stats first — home win %, draw %, away win % overall and broken down by season, plus averages for goals, shots, and shots on target for home vs away sides</w:t>
      </w:r>
    </w:p>
    <w:p>
      <w:pPr>
        <w:pStyle w:val="ListParagraph"/>
        <w:numPr>
          <w:ilvl w:val="0"/>
          <w:numId w:val="2"/>
        </w:numPr>
        <w:spacing w:after="80"/>
      </w:pPr>
      <w:r>
        <w:rPr>
          <w:rFonts w:ascii="Calibri" w:cs="Calibri" w:eastAsia="Calibri" w:hAnsi="Calibri"/>
          <w:sz w:val="24"/>
          <w:szCs w:val="24"/>
        </w:rPr>
        <w:t xml:space="preserve">Correlation analysis — I encoded the result as a number (home win = 1, draw = 0, away win = −1) and ran Pearson correlations against every match statistic to see which ones actually move with the result</w:t>
      </w:r>
    </w:p>
    <w:p>
      <w:pPr>
        <w:pStyle w:val="ListParagraph"/>
        <w:numPr>
          <w:ilvl w:val="0"/>
          <w:numId w:val="2"/>
        </w:numPr>
        <w:spacing w:after="80"/>
      </w:pPr>
      <w:r>
        <w:rPr>
          <w:rFonts w:ascii="Calibri" w:cs="Calibri" w:eastAsia="Calibri" w:hAnsi="Calibri"/>
          <w:sz w:val="24"/>
          <w:szCs w:val="24"/>
        </w:rPr>
        <w:t xml:space="preserve">Season-by-season breakdown — checking whether home advantage looks similar across all three years or whether one season looks different from the others</w:t>
      </w:r>
    </w:p>
    <w:p>
      <w:pPr>
        <w:pStyle w:val="ListParagraph"/>
        <w:numPr>
          <w:ilvl w:val="0"/>
          <w:numId w:val="2"/>
        </w:numPr>
        <w:spacing w:after="80"/>
      </w:pPr>
      <w:r>
        <w:rPr>
          <w:rFonts w:ascii="Calibri" w:cs="Calibri" w:eastAsia="Calibri" w:hAnsi="Calibri"/>
          <w:sz w:val="24"/>
          <w:szCs w:val="24"/>
        </w:rPr>
        <w:t xml:space="preserve">Team-level look — ranking every club by their home win rate to see whether the overall advantage is spread evenly or driven mainly by the top sides</w:t>
      </w:r>
    </w:p>
    <w:p>
      <w:pPr>
        <w:pStyle w:val="ListParagraph"/>
        <w:numPr>
          <w:ilvl w:val="0"/>
          <w:numId w:val="2"/>
        </w:numPr>
        <w:spacing w:after="80"/>
      </w:pPr>
      <w:r>
        <w:rPr>
          <w:rFonts w:ascii="Calibri" w:cs="Calibri" w:eastAsia="Calibri" w:hAnsi="Calibri"/>
          <w:sz w:val="24"/>
          <w:szCs w:val="24"/>
        </w:rPr>
        <w:t xml:space="preserve">Half-time lead conversion — how often does a home team leading at half-time go on to win? It is a simple check but it tells you something about the psychology of playing at home</w:t>
      </w:r>
    </w:p>
    <w:p>
      <w:pPr>
        <w:spacing w:after="120"/>
      </w:pPr>
      <w:r>
        <w:t xml:space="preserve"/>
      </w:r>
    </w:p>
    <w:p>
      <w:pPr>
        <w:spacing w:after="160"/>
      </w:pPr>
      <w:r>
        <w:rPr>
          <w:rFonts w:ascii="Calibri" w:cs="Calibri" w:eastAsia="Calibri" w:hAnsi="Calibri"/>
          <w:b/>
          <w:bCs/>
          <w:sz w:val="24"/>
          <w:szCs w:val="24"/>
        </w:rPr>
        <w:t xml:space="preserve">Variables:</w:t>
      </w:r>
      <w:r>
        <w:br/>
      </w:r>
      <w:r>
        <w:rPr>
          <w:rFonts w:ascii="Calibri" w:cs="Calibri" w:eastAsia="Calibri" w:hAnsi="Calibri"/>
          <w:sz w:val="24"/>
          <w:szCs w:val="24"/>
        </w:rPr>
        <w:t xml:space="preserve">Key variables in the analysis:</w:t>
      </w:r>
    </w:p>
    <w:p>
      <w:pPr>
        <w:pStyle w:val="ListParagraph"/>
        <w:numPr>
          <w:ilvl w:val="0"/>
          <w:numId w:val="2"/>
        </w:numPr>
        <w:spacing w:after="80"/>
      </w:pPr>
      <w:r>
        <w:rPr>
          <w:rFonts w:ascii="Calibri" w:cs="Calibri" w:eastAsia="Calibri" w:hAnsi="Calibri"/>
          <w:sz w:val="24"/>
          <w:szCs w:val="24"/>
        </w:rPr>
        <w:t xml:space="preserve">Dependent variable: FTR (Full-Time Result) — H (home win), D (draw), A (away win)</w:t>
      </w:r>
    </w:p>
    <w:p>
      <w:pPr>
        <w:pStyle w:val="ListParagraph"/>
        <w:numPr>
          <w:ilvl w:val="0"/>
          <w:numId w:val="2"/>
        </w:numPr>
        <w:spacing w:after="80"/>
      </w:pPr>
      <w:r>
        <w:rPr>
          <w:rFonts w:ascii="Calibri" w:cs="Calibri" w:eastAsia="Calibri" w:hAnsi="Calibri"/>
          <w:sz w:val="24"/>
          <w:szCs w:val="24"/>
        </w:rPr>
        <w:t xml:space="preserve">Independent variables: Home/away shots (HS/AS), shots on target (HST/AST), fouls (HF/AF), corners (HC/AC), yellow cards (HY/AY), red cards (HR/AR), half-time result (HTR)</w:t>
      </w:r>
    </w:p>
    <w:p>
      <w:pPr>
        <w:pStyle w:val="ListParagraph"/>
        <w:numPr>
          <w:ilvl w:val="0"/>
          <w:numId w:val="2"/>
        </w:numPr>
        <w:spacing w:after="80"/>
      </w:pPr>
      <w:r>
        <w:rPr>
          <w:rFonts w:ascii="Calibri" w:cs="Calibri" w:eastAsia="Calibri" w:hAnsi="Calibri"/>
          <w:sz w:val="24"/>
          <w:szCs w:val="24"/>
        </w:rPr>
        <w:t xml:space="preserve">Engineered variables: TotalGoals (FTHG + FTAG), GoalDiff (FTHG − FTAG), Result_num (H=1, D=0, A=−1)</w:t>
      </w:r>
    </w:p>
    <w:p>
      <w:pPr>
        <w:spacing w:after="120"/>
      </w:pPr>
      <w:r>
        <w:t xml:space="preserve"/>
      </w:r>
    </w:p>
    <w:p>
      <w:pPr>
        <w:spacing w:after="160"/>
      </w:pPr>
      <w:r>
        <w:rPr>
          <w:rFonts w:ascii="Calibri" w:cs="Calibri" w:eastAsia="Calibri" w:hAnsi="Calibri"/>
          <w:b/>
          <w:bCs/>
          <w:sz w:val="24"/>
          <w:szCs w:val="24"/>
        </w:rPr>
        <w:t xml:space="preserve">Dashboard:</w:t>
      </w:r>
      <w:r>
        <w:br/>
      </w:r>
      <w:r>
        <w:rPr>
          <w:rFonts w:ascii="Calibri" w:cs="Calibri" w:eastAsia="Calibri" w:hAnsi="Calibri"/>
          <w:sz w:val="24"/>
          <w:szCs w:val="24"/>
        </w:rPr>
        <w:t xml:space="preserve">The plan is to build an interactive dashboard in Tableau Public so the findings are easy to explore without needing to read through the full report. It will include:</w:t>
      </w:r>
    </w:p>
    <w:p>
      <w:pPr>
        <w:pStyle w:val="ListParagraph"/>
        <w:numPr>
          <w:ilvl w:val="0"/>
          <w:numId w:val="2"/>
        </w:numPr>
        <w:spacing w:after="80"/>
      </w:pPr>
      <w:r>
        <w:rPr>
          <w:rFonts w:ascii="Calibri" w:cs="Calibri" w:eastAsia="Calibri" w:hAnsi="Calibri"/>
          <w:sz w:val="24"/>
          <w:szCs w:val="24"/>
        </w:rPr>
        <w:t xml:space="preserve">KPI tiles showing overall home win rate (45.8%), draw rate (22.5%), and away win rate (31.7%)</w:t>
      </w:r>
    </w:p>
    <w:p>
      <w:pPr>
        <w:pStyle w:val="ListParagraph"/>
        <w:numPr>
          <w:ilvl w:val="0"/>
          <w:numId w:val="2"/>
        </w:numPr>
        <w:spacing w:after="80"/>
      </w:pPr>
      <w:r>
        <w:rPr>
          <w:rFonts w:ascii="Calibri" w:cs="Calibri" w:eastAsia="Calibri" w:hAnsi="Calibri"/>
          <w:sz w:val="24"/>
          <w:szCs w:val="24"/>
        </w:rPr>
        <w:t xml:space="preserve">A season-by-season bar chart of match outcome distribution, filterable by team and season</w:t>
      </w:r>
    </w:p>
    <w:p>
      <w:pPr>
        <w:pStyle w:val="ListParagraph"/>
        <w:numPr>
          <w:ilvl w:val="0"/>
          <w:numId w:val="2"/>
        </w:numPr>
        <w:spacing w:after="80"/>
      </w:pPr>
      <w:r>
        <w:rPr>
          <w:rFonts w:ascii="Calibri" w:cs="Calibri" w:eastAsia="Calibri" w:hAnsi="Calibri"/>
          <w:sz w:val="24"/>
          <w:szCs w:val="24"/>
        </w:rPr>
        <w:t xml:space="preserve">A horizontal bar chart ranking clubs by home win rate, with a league average reference line</w:t>
      </w:r>
    </w:p>
    <w:p>
      <w:pPr>
        <w:pStyle w:val="ListParagraph"/>
        <w:numPr>
          <w:ilvl w:val="0"/>
          <w:numId w:val="2"/>
        </w:numPr>
        <w:spacing w:after="80"/>
      </w:pPr>
      <w:r>
        <w:rPr>
          <w:rFonts w:ascii="Calibri" w:cs="Calibri" w:eastAsia="Calibri" w:hAnsi="Calibri"/>
          <w:sz w:val="24"/>
          <w:szCs w:val="24"/>
        </w:rPr>
        <w:t xml:space="preserve">A scatter plot of home shots on target vs away shots on target, coloured by match result</w:t>
      </w:r>
    </w:p>
    <w:p>
      <w:pPr>
        <w:pStyle w:val="ListParagraph"/>
        <w:numPr>
          <w:ilvl w:val="0"/>
          <w:numId w:val="2"/>
        </w:numPr>
        <w:spacing w:after="80"/>
      </w:pPr>
      <w:r>
        <w:rPr>
          <w:rFonts w:ascii="Calibri" w:cs="Calibri" w:eastAsia="Calibri" w:hAnsi="Calibri"/>
          <w:sz w:val="24"/>
          <w:szCs w:val="24"/>
        </w:rPr>
        <w:t xml:space="preserve">Interactive filters allowing users to drill down by season, home team, or away team</w:t>
      </w:r>
    </w:p>
    <w:p>
      <w:pPr>
        <w:pStyle w:val="ListParagraph"/>
        <w:numPr>
          <w:ilvl w:val="0"/>
          <w:numId w:val="2"/>
        </w:numPr>
        <w:spacing w:after="80"/>
      </w:pPr>
      <w:r>
        <w:rPr>
          <w:rFonts w:ascii="Calibri" w:cs="Calibri" w:eastAsia="Calibri" w:hAnsi="Calibri"/>
          <w:sz w:val="24"/>
          <w:szCs w:val="24"/>
        </w:rPr>
        <w:t xml:space="preserve">The dashboard will be hosted on Tableau Public and accessible via a public shareable link</w:t>
      </w:r>
    </w:p>
    <w:p>
      <w:pPr>
        <w:spacing w:after="120"/>
      </w:pPr>
      <w:r>
        <w:t xml:space="preserve"/>
      </w:r>
    </w:p>
    <w:p>
      <w:pPr>
        <w:pStyle w:val="Heading2"/>
      </w:pPr>
      <w:r>
        <w:rPr>
          <w:rFonts w:ascii="Calibri" w:cs="Calibri" w:eastAsia="Calibri" w:hAnsi="Calibri"/>
        </w:rPr>
        <w:t xml:space="preserve">Milestones and Timeline</w:t>
      </w:r>
    </w:p>
    <w:p>
      <w:pPr>
        <w:spacing w:after="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01"/>
        <w:gridCol w:w="3629"/>
        <w:gridCol w:w="3110"/>
      </w:tblGrid>
      <w:tr>
        <w:tc>
          <w:tcPr>
            <w:tcW w:type="dxa" w:w="1901"/>
            <w:tcBorders>
              <w:top w:val="single" w:color="4F81BD" w:sz="4"/>
              <w:left w:val="single" w:color="4F81BD" w:sz="4"/>
              <w:bottom w:val="single" w:color="4F81BD" w:sz="4"/>
              <w:right w:val="single" w:color="4F81BD" w:sz="4"/>
            </w:tcBorders>
            <w:shd w:fill="365F91" w:val="clear"/>
            <w:tcMar>
              <w:top w:type="dxa" w:w="80"/>
              <w:left w:type="dxa" w:w="120"/>
              <w:bottom w:type="dxa" w:w="80"/>
              <w:right w:type="dxa" w:w="120"/>
            </w:tcMar>
          </w:tcPr>
          <w:p>
            <w:r>
              <w:rPr>
                <w:rFonts w:ascii="Calibri" w:cs="Calibri" w:eastAsia="Calibri" w:hAnsi="Calibri"/>
                <w:b/>
                <w:bCs/>
                <w:color w:val="FFFFFF"/>
                <w:sz w:val="22"/>
                <w:szCs w:val="22"/>
              </w:rPr>
              <w:t xml:space="preserve">Week / Milestone</w:t>
            </w:r>
          </w:p>
        </w:tc>
        <w:tc>
          <w:tcPr>
            <w:tcW w:type="dxa" w:w="3629"/>
            <w:tcBorders>
              <w:top w:val="single" w:color="4F81BD" w:sz="4"/>
              <w:left w:val="single" w:color="4F81BD" w:sz="4"/>
              <w:bottom w:val="single" w:color="4F81BD" w:sz="4"/>
              <w:right w:val="single" w:color="4F81BD" w:sz="4"/>
            </w:tcBorders>
            <w:shd w:fill="365F91" w:val="clear"/>
            <w:tcMar>
              <w:top w:type="dxa" w:w="80"/>
              <w:left w:type="dxa" w:w="120"/>
              <w:bottom w:type="dxa" w:w="80"/>
              <w:right w:type="dxa" w:w="120"/>
            </w:tcMar>
          </w:tcPr>
          <w:p>
            <w:r>
              <w:rPr>
                <w:rFonts w:ascii="Calibri" w:cs="Calibri" w:eastAsia="Calibri" w:hAnsi="Calibri"/>
                <w:b/>
                <w:bCs/>
                <w:color w:val="FFFFFF"/>
                <w:sz w:val="22"/>
                <w:szCs w:val="22"/>
              </w:rPr>
              <w:t xml:space="preserve">Key Tasks</w:t>
            </w:r>
          </w:p>
        </w:tc>
        <w:tc>
          <w:tcPr>
            <w:tcW w:type="dxa" w:w="3110"/>
            <w:tcBorders>
              <w:top w:val="single" w:color="4F81BD" w:sz="4"/>
              <w:left w:val="single" w:color="4F81BD" w:sz="4"/>
              <w:bottom w:val="single" w:color="4F81BD" w:sz="4"/>
              <w:right w:val="single" w:color="4F81BD" w:sz="4"/>
            </w:tcBorders>
            <w:shd w:fill="365F91" w:val="clear"/>
            <w:tcMar>
              <w:top w:type="dxa" w:w="80"/>
              <w:left w:type="dxa" w:w="120"/>
              <w:bottom w:type="dxa" w:w="80"/>
              <w:right w:type="dxa" w:w="120"/>
            </w:tcMar>
          </w:tcPr>
          <w:p>
            <w:r>
              <w:rPr>
                <w:rFonts w:ascii="Calibri" w:cs="Calibri" w:eastAsia="Calibri" w:hAnsi="Calibri"/>
                <w:b/>
                <w:bCs/>
                <w:color w:val="FFFFFF"/>
                <w:sz w:val="22"/>
                <w:szCs w:val="22"/>
              </w:rPr>
              <w:t xml:space="preserve">Expected Deliverable</w:t>
            </w:r>
          </w:p>
        </w:tc>
      </w:tr>
      <w:tr>
        <w:tc>
          <w:tcPr>
            <w:tcW w:type="dxa" w:w="1901"/>
            <w:tcBorders>
              <w:top w:val="single" w:color="4F81BD" w:sz="4"/>
              <w:left w:val="single" w:color="4F81BD" w:sz="4"/>
              <w:bottom w:val="single" w:color="4F81BD" w:sz="4"/>
              <w:right w:val="single" w:color="4F81BD" w:sz="4"/>
            </w:tcBorders>
            <w:shd w:fill="FFFFFF" w:val="clear"/>
            <w:tcMar>
              <w:top w:type="dxa" w:w="80"/>
              <w:left w:type="dxa" w:w="120"/>
              <w:bottom w:type="dxa" w:w="80"/>
              <w:right w:type="dxa" w:w="120"/>
            </w:tcMar>
          </w:tcPr>
          <w:p>
            <w:r>
              <w:rPr>
                <w:rFonts w:ascii="Calibri" w:cs="Calibri" w:eastAsia="Calibri" w:hAnsi="Calibri"/>
                <w:sz w:val="22"/>
                <w:szCs w:val="22"/>
              </w:rPr>
              <w:t xml:space="preserve">Week 1
Project Scoping</w:t>
            </w:r>
          </w:p>
        </w:tc>
        <w:tc>
          <w:tcPr>
            <w:tcW w:type="dxa" w:w="3629"/>
            <w:tcBorders>
              <w:top w:val="single" w:color="4F81BD" w:sz="4"/>
              <w:left w:val="single" w:color="4F81BD" w:sz="4"/>
              <w:bottom w:val="single" w:color="4F81BD" w:sz="4"/>
              <w:right w:val="single" w:color="4F81BD" w:sz="4"/>
            </w:tcBorders>
            <w:shd w:fill="FFFFFF" w:val="clear"/>
            <w:tcMar>
              <w:top w:type="dxa" w:w="80"/>
              <w:left w:type="dxa" w:w="120"/>
              <w:bottom w:type="dxa" w:w="80"/>
              <w:right w:type="dxa" w:w="120"/>
            </w:tcMar>
          </w:tcPr>
          <w:p>
            <w:r>
              <w:rPr>
                <w:rFonts w:ascii="Calibri" w:cs="Calibri" w:eastAsia="Calibri" w:hAnsi="Calibri"/>
                <w:sz w:val="22"/>
                <w:szCs w:val="22"/>
              </w:rPr>
              <w:t xml:space="preserve">Define research questions, review dataset structure, confirm variables and methods, write Project Description and Scoping documents</w:t>
            </w:r>
          </w:p>
        </w:tc>
        <w:tc>
          <w:tcPr>
            <w:tcW w:type="dxa" w:w="3110"/>
            <w:tcBorders>
              <w:top w:val="single" w:color="4F81BD" w:sz="4"/>
              <w:left w:val="single" w:color="4F81BD" w:sz="4"/>
              <w:bottom w:val="single" w:color="4F81BD" w:sz="4"/>
              <w:right w:val="single" w:color="4F81BD" w:sz="4"/>
            </w:tcBorders>
            <w:shd w:fill="FFFFFF" w:val="clear"/>
            <w:tcMar>
              <w:top w:type="dxa" w:w="80"/>
              <w:left w:type="dxa" w:w="120"/>
              <w:bottom w:type="dxa" w:w="80"/>
              <w:right w:type="dxa" w:w="120"/>
            </w:tcMar>
          </w:tcPr>
          <w:p>
            <w:r>
              <w:rPr>
                <w:rFonts w:ascii="Calibri" w:cs="Calibri" w:eastAsia="Calibri" w:hAnsi="Calibri"/>
                <w:sz w:val="22"/>
                <w:szCs w:val="22"/>
              </w:rPr>
              <w:t xml:space="preserve">Project Description &amp; Scoping Document (approved by TA)</w:t>
            </w:r>
          </w:p>
        </w:tc>
      </w:tr>
      <w:tr>
        <w:tc>
          <w:tcPr>
            <w:tcW w:type="dxa" w:w="1901"/>
            <w:tcBorders>
              <w:top w:val="single" w:color="4F81BD" w:sz="4"/>
              <w:left w:val="single" w:color="4F81BD" w:sz="4"/>
              <w:bottom w:val="single" w:color="4F81BD" w:sz="4"/>
              <w:right w:val="single" w:color="4F81BD" w:sz="4"/>
            </w:tcBorders>
            <w:shd w:fill="DBE5F1" w:val="clear"/>
            <w:tcMar>
              <w:top w:type="dxa" w:w="80"/>
              <w:left w:type="dxa" w:w="120"/>
              <w:bottom w:type="dxa" w:w="80"/>
              <w:right w:type="dxa" w:w="120"/>
            </w:tcMar>
          </w:tcPr>
          <w:p>
            <w:r>
              <w:rPr>
                <w:rFonts w:ascii="Calibri" w:cs="Calibri" w:eastAsia="Calibri" w:hAnsi="Calibri"/>
                <w:sz w:val="22"/>
                <w:szCs w:val="22"/>
              </w:rPr>
              <w:t xml:space="preserve">Week 2
Data Curation</w:t>
            </w:r>
          </w:p>
        </w:tc>
        <w:tc>
          <w:tcPr>
            <w:tcW w:type="dxa" w:w="3629"/>
            <w:tcBorders>
              <w:top w:val="single" w:color="4F81BD" w:sz="4"/>
              <w:left w:val="single" w:color="4F81BD" w:sz="4"/>
              <w:bottom w:val="single" w:color="4F81BD" w:sz="4"/>
              <w:right w:val="single" w:color="4F81BD" w:sz="4"/>
            </w:tcBorders>
            <w:shd w:fill="DBE5F1" w:val="clear"/>
            <w:tcMar>
              <w:top w:type="dxa" w:w="80"/>
              <w:left w:type="dxa" w:w="120"/>
              <w:bottom w:type="dxa" w:w="80"/>
              <w:right w:type="dxa" w:w="120"/>
            </w:tcMar>
          </w:tcPr>
          <w:p>
            <w:r>
              <w:rPr>
                <w:rFonts w:ascii="Calibri" w:cs="Calibri" w:eastAsia="Calibri" w:hAnsi="Calibri"/>
                <w:sz w:val="22"/>
                <w:szCs w:val="22"/>
              </w:rPr>
              <w:t xml:space="preserve">Download and load all 3 CSV files; select 22 analytical columns; check for nulls; profile data structure, content, and relationships; document wrangling steps</w:t>
            </w:r>
          </w:p>
        </w:tc>
        <w:tc>
          <w:tcPr>
            <w:tcW w:type="dxa" w:w="3110"/>
            <w:tcBorders>
              <w:top w:val="single" w:color="4F81BD" w:sz="4"/>
              <w:left w:val="single" w:color="4F81BD" w:sz="4"/>
              <w:bottom w:val="single" w:color="4F81BD" w:sz="4"/>
              <w:right w:val="single" w:color="4F81BD" w:sz="4"/>
            </w:tcBorders>
            <w:shd w:fill="DBE5F1" w:val="clear"/>
            <w:tcMar>
              <w:top w:type="dxa" w:w="80"/>
              <w:left w:type="dxa" w:w="120"/>
              <w:bottom w:type="dxa" w:w="80"/>
              <w:right w:type="dxa" w:w="120"/>
            </w:tcMar>
          </w:tcPr>
          <w:p>
            <w:r>
              <w:rPr>
                <w:rFonts w:ascii="Calibri" w:cs="Calibri" w:eastAsia="Calibri" w:hAnsi="Calibri"/>
                <w:sz w:val="22"/>
                <w:szCs w:val="22"/>
              </w:rPr>
              <w:t xml:space="preserve">Data Curation Report (sourcing, profiling, wrangling, schema)</w:t>
            </w:r>
          </w:p>
        </w:tc>
      </w:tr>
      <w:tr>
        <w:tc>
          <w:tcPr>
            <w:tcW w:type="dxa" w:w="1901"/>
            <w:tcBorders>
              <w:top w:val="single" w:color="4F81BD" w:sz="4"/>
              <w:left w:val="single" w:color="4F81BD" w:sz="4"/>
              <w:bottom w:val="single" w:color="4F81BD" w:sz="4"/>
              <w:right w:val="single" w:color="4F81BD" w:sz="4"/>
            </w:tcBorders>
            <w:shd w:fill="FFFFFF" w:val="clear"/>
            <w:tcMar>
              <w:top w:type="dxa" w:w="80"/>
              <w:left w:type="dxa" w:w="120"/>
              <w:bottom w:type="dxa" w:w="80"/>
              <w:right w:type="dxa" w:w="120"/>
            </w:tcMar>
          </w:tcPr>
          <w:p>
            <w:r>
              <w:rPr>
                <w:rFonts w:ascii="Calibri" w:cs="Calibri" w:eastAsia="Calibri" w:hAnsi="Calibri"/>
                <w:sz w:val="22"/>
                <w:szCs w:val="22"/>
              </w:rPr>
              <w:t xml:space="preserve">Week 3
Exploratory Data Analysis</w:t>
            </w:r>
          </w:p>
        </w:tc>
        <w:tc>
          <w:tcPr>
            <w:tcW w:type="dxa" w:w="3629"/>
            <w:tcBorders>
              <w:top w:val="single" w:color="4F81BD" w:sz="4"/>
              <w:left w:val="single" w:color="4F81BD" w:sz="4"/>
              <w:bottom w:val="single" w:color="4F81BD" w:sz="4"/>
              <w:right w:val="single" w:color="4F81BD" w:sz="4"/>
            </w:tcBorders>
            <w:shd w:fill="FFFFFF" w:val="clear"/>
            <w:tcMar>
              <w:top w:type="dxa" w:w="80"/>
              <w:left w:type="dxa" w:w="120"/>
              <w:bottom w:type="dxa" w:w="80"/>
              <w:right w:type="dxa" w:w="120"/>
            </w:tcMar>
          </w:tcPr>
          <w:p>
            <w:r>
              <w:rPr>
                <w:rFonts w:ascii="Calibri" w:cs="Calibri" w:eastAsia="Calibri" w:hAnsi="Calibri"/>
                <w:sz w:val="22"/>
                <w:szCs w:val="22"/>
              </w:rPr>
              <w:t xml:space="preserve">Generate all 6 key charts: outcome distribution, season breakdown, shots on target boxplot, correlation heatmap, goals by season, home win rate by team; compute descriptive statistics and correlation table</w:t>
            </w:r>
          </w:p>
        </w:tc>
        <w:tc>
          <w:tcPr>
            <w:tcW w:type="dxa" w:w="3110"/>
            <w:tcBorders>
              <w:top w:val="single" w:color="4F81BD" w:sz="4"/>
              <w:left w:val="single" w:color="4F81BD" w:sz="4"/>
              <w:bottom w:val="single" w:color="4F81BD" w:sz="4"/>
              <w:right w:val="single" w:color="4F81BD" w:sz="4"/>
            </w:tcBorders>
            <w:shd w:fill="FFFFFF" w:val="clear"/>
            <w:tcMar>
              <w:top w:type="dxa" w:w="80"/>
              <w:left w:type="dxa" w:w="120"/>
              <w:bottom w:type="dxa" w:w="80"/>
              <w:right w:type="dxa" w:w="120"/>
            </w:tcMar>
          </w:tcPr>
          <w:p>
            <w:r>
              <w:rPr>
                <w:rFonts w:ascii="Calibri" w:cs="Calibri" w:eastAsia="Calibri" w:hAnsi="Calibri"/>
                <w:sz w:val="22"/>
                <w:szCs w:val="22"/>
              </w:rPr>
              <w:t xml:space="preserve">EDA Report with 6 annotated charts and written commentary</w:t>
            </w:r>
          </w:p>
        </w:tc>
      </w:tr>
      <w:tr>
        <w:tc>
          <w:tcPr>
            <w:tcW w:type="dxa" w:w="1901"/>
            <w:tcBorders>
              <w:top w:val="single" w:color="4F81BD" w:sz="4"/>
              <w:left w:val="single" w:color="4F81BD" w:sz="4"/>
              <w:bottom w:val="single" w:color="4F81BD" w:sz="4"/>
              <w:right w:val="single" w:color="4F81BD" w:sz="4"/>
            </w:tcBorders>
            <w:shd w:fill="DBE5F1" w:val="clear"/>
            <w:tcMar>
              <w:top w:type="dxa" w:w="80"/>
              <w:left w:type="dxa" w:w="120"/>
              <w:bottom w:type="dxa" w:w="80"/>
              <w:right w:type="dxa" w:w="120"/>
            </w:tcMar>
          </w:tcPr>
          <w:p>
            <w:r>
              <w:rPr>
                <w:rFonts w:ascii="Calibri" w:cs="Calibri" w:eastAsia="Calibri" w:hAnsi="Calibri"/>
                <w:sz w:val="22"/>
                <w:szCs w:val="22"/>
              </w:rPr>
              <w:t xml:space="preserve">Week 4
Datafolio</w:t>
            </w:r>
          </w:p>
        </w:tc>
        <w:tc>
          <w:tcPr>
            <w:tcW w:type="dxa" w:w="3629"/>
            <w:tcBorders>
              <w:top w:val="single" w:color="4F81BD" w:sz="4"/>
              <w:left w:val="single" w:color="4F81BD" w:sz="4"/>
              <w:bottom w:val="single" w:color="4F81BD" w:sz="4"/>
              <w:right w:val="single" w:color="4F81BD" w:sz="4"/>
            </w:tcBorders>
            <w:shd w:fill="DBE5F1" w:val="clear"/>
            <w:tcMar>
              <w:top w:type="dxa" w:w="80"/>
              <w:left w:type="dxa" w:w="120"/>
              <w:bottom w:type="dxa" w:w="80"/>
              <w:right w:type="dxa" w:w="120"/>
            </w:tcMar>
          </w:tcPr>
          <w:p>
            <w:r>
              <w:rPr>
                <w:rFonts w:ascii="Calibri" w:cs="Calibri" w:eastAsia="Calibri" w:hAnsi="Calibri"/>
                <w:sz w:val="22"/>
                <w:szCs w:val="22"/>
              </w:rPr>
              <w:t xml:space="preserve">Select the most compelling visuals from EDA; design single-page conference poster showing background, data summary, 4–6 key charts, conclusions, and limitations</w:t>
            </w:r>
          </w:p>
        </w:tc>
        <w:tc>
          <w:tcPr>
            <w:tcW w:type="dxa" w:w="3110"/>
            <w:tcBorders>
              <w:top w:val="single" w:color="4F81BD" w:sz="4"/>
              <w:left w:val="single" w:color="4F81BD" w:sz="4"/>
              <w:bottom w:val="single" w:color="4F81BD" w:sz="4"/>
              <w:right w:val="single" w:color="4F81BD" w:sz="4"/>
            </w:tcBorders>
            <w:shd w:fill="DBE5F1" w:val="clear"/>
            <w:tcMar>
              <w:top w:type="dxa" w:w="80"/>
              <w:left w:type="dxa" w:w="120"/>
              <w:bottom w:type="dxa" w:w="80"/>
              <w:right w:type="dxa" w:w="120"/>
            </w:tcMar>
          </w:tcPr>
          <w:p>
            <w:r>
              <w:rPr>
                <w:rFonts w:ascii="Calibri" w:cs="Calibri" w:eastAsia="Calibri" w:hAnsi="Calibri"/>
                <w:sz w:val="22"/>
                <w:szCs w:val="22"/>
              </w:rPr>
              <w:t xml:space="preserve">Datafolio (single-page HTML/PDF poster, self-contained)</w:t>
            </w:r>
          </w:p>
        </w:tc>
      </w:tr>
      <w:tr>
        <w:tc>
          <w:tcPr>
            <w:tcW w:type="dxa" w:w="1901"/>
            <w:tcBorders>
              <w:top w:val="single" w:color="4F81BD" w:sz="4"/>
              <w:left w:val="single" w:color="4F81BD" w:sz="4"/>
              <w:bottom w:val="single" w:color="4F81BD" w:sz="4"/>
              <w:right w:val="single" w:color="4F81BD" w:sz="4"/>
            </w:tcBorders>
            <w:shd w:fill="FFFFFF" w:val="clear"/>
            <w:tcMar>
              <w:top w:type="dxa" w:w="80"/>
              <w:left w:type="dxa" w:w="120"/>
              <w:bottom w:type="dxa" w:w="80"/>
              <w:right w:type="dxa" w:w="120"/>
            </w:tcMar>
          </w:tcPr>
          <w:p>
            <w:r>
              <w:rPr>
                <w:rFonts w:ascii="Calibri" w:cs="Calibri" w:eastAsia="Calibri" w:hAnsi="Calibri"/>
                <w:sz w:val="22"/>
                <w:szCs w:val="22"/>
              </w:rPr>
              <w:t xml:space="preserve">Week 5
Dashboard</w:t>
            </w:r>
          </w:p>
        </w:tc>
        <w:tc>
          <w:tcPr>
            <w:tcW w:type="dxa" w:w="3629"/>
            <w:tcBorders>
              <w:top w:val="single" w:color="4F81BD" w:sz="4"/>
              <w:left w:val="single" w:color="4F81BD" w:sz="4"/>
              <w:bottom w:val="single" w:color="4F81BD" w:sz="4"/>
              <w:right w:val="single" w:color="4F81BD" w:sz="4"/>
            </w:tcBorders>
            <w:shd w:fill="FFFFFF" w:val="clear"/>
            <w:tcMar>
              <w:top w:type="dxa" w:w="80"/>
              <w:left w:type="dxa" w:w="120"/>
              <w:bottom w:type="dxa" w:w="80"/>
              <w:right w:type="dxa" w:w="120"/>
            </w:tcMar>
          </w:tcPr>
          <w:p>
            <w:r>
              <w:rPr>
                <w:rFonts w:ascii="Calibri" w:cs="Calibri" w:eastAsia="Calibri" w:hAnsi="Calibri"/>
                <w:sz w:val="22"/>
                <w:szCs w:val="22"/>
              </w:rPr>
              <w:t xml:space="preserve">Build interactive explanatory dashboard in Tableau Public with KPI tiles, season/team filters, outcome charts, SOT scatter plot; publish and obtain shareable link</w:t>
            </w:r>
          </w:p>
        </w:tc>
        <w:tc>
          <w:tcPr>
            <w:tcW w:type="dxa" w:w="3110"/>
            <w:tcBorders>
              <w:top w:val="single" w:color="4F81BD" w:sz="4"/>
              <w:left w:val="single" w:color="4F81BD" w:sz="4"/>
              <w:bottom w:val="single" w:color="4F81BD" w:sz="4"/>
              <w:right w:val="single" w:color="4F81BD" w:sz="4"/>
            </w:tcBorders>
            <w:shd w:fill="FFFFFF" w:val="clear"/>
            <w:tcMar>
              <w:top w:type="dxa" w:w="80"/>
              <w:left w:type="dxa" w:w="120"/>
              <w:bottom w:type="dxa" w:w="80"/>
              <w:right w:type="dxa" w:w="120"/>
            </w:tcMar>
          </w:tcPr>
          <w:p>
            <w:r>
              <w:rPr>
                <w:rFonts w:ascii="Calibri" w:cs="Calibri" w:eastAsia="Calibri" w:hAnsi="Calibri"/>
                <w:sz w:val="22"/>
                <w:szCs w:val="22"/>
              </w:rPr>
              <w:t xml:space="preserve">Live Tableau Public dashboard (shareable URL)</w:t>
            </w:r>
          </w:p>
        </w:tc>
      </w:tr>
      <w:tr>
        <w:tc>
          <w:tcPr>
            <w:tcW w:type="dxa" w:w="1901"/>
            <w:tcBorders>
              <w:top w:val="single" w:color="4F81BD" w:sz="4"/>
              <w:left w:val="single" w:color="4F81BD" w:sz="4"/>
              <w:bottom w:val="single" w:color="4F81BD" w:sz="4"/>
              <w:right w:val="single" w:color="4F81BD" w:sz="4"/>
            </w:tcBorders>
            <w:shd w:fill="DBE5F1" w:val="clear"/>
            <w:tcMar>
              <w:top w:type="dxa" w:w="80"/>
              <w:left w:type="dxa" w:w="120"/>
              <w:bottom w:type="dxa" w:w="80"/>
              <w:right w:type="dxa" w:w="120"/>
            </w:tcMar>
          </w:tcPr>
          <w:p>
            <w:r>
              <w:rPr>
                <w:rFonts w:ascii="Calibri" w:cs="Calibri" w:eastAsia="Calibri" w:hAnsi="Calibri"/>
                <w:sz w:val="22"/>
                <w:szCs w:val="22"/>
              </w:rPr>
              <w:t xml:space="preserve">Week 6
Final Report</w:t>
            </w:r>
          </w:p>
        </w:tc>
        <w:tc>
          <w:tcPr>
            <w:tcW w:type="dxa" w:w="3629"/>
            <w:tcBorders>
              <w:top w:val="single" w:color="4F81BD" w:sz="4"/>
              <w:left w:val="single" w:color="4F81BD" w:sz="4"/>
              <w:bottom w:val="single" w:color="4F81BD" w:sz="4"/>
              <w:right w:val="single" w:color="4F81BD" w:sz="4"/>
            </w:tcBorders>
            <w:shd w:fill="DBE5F1" w:val="clear"/>
            <w:tcMar>
              <w:top w:type="dxa" w:w="80"/>
              <w:left w:type="dxa" w:w="120"/>
              <w:bottom w:type="dxa" w:w="80"/>
              <w:right w:type="dxa" w:w="120"/>
            </w:tcMar>
          </w:tcPr>
          <w:p>
            <w:r>
              <w:rPr>
                <w:rFonts w:ascii="Calibri" w:cs="Calibri" w:eastAsia="Calibri" w:hAnsi="Calibri"/>
                <w:sz w:val="22"/>
                <w:szCs w:val="22"/>
              </w:rPr>
              <w:t xml:space="preserve">Write complete final report covering all deliverables: introduction, data curation, full EDA, datafolio and dashboard descriptions, challenges and solutions, conclusions, future work, references</w:t>
            </w:r>
          </w:p>
        </w:tc>
        <w:tc>
          <w:tcPr>
            <w:tcW w:type="dxa" w:w="3110"/>
            <w:tcBorders>
              <w:top w:val="single" w:color="4F81BD" w:sz="4"/>
              <w:left w:val="single" w:color="4F81BD" w:sz="4"/>
              <w:bottom w:val="single" w:color="4F81BD" w:sz="4"/>
              <w:right w:val="single" w:color="4F81BD" w:sz="4"/>
            </w:tcBorders>
            <w:shd w:fill="DBE5F1" w:val="clear"/>
            <w:tcMar>
              <w:top w:type="dxa" w:w="80"/>
              <w:left w:type="dxa" w:w="120"/>
              <w:bottom w:type="dxa" w:w="80"/>
              <w:right w:type="dxa" w:w="120"/>
            </w:tcMar>
          </w:tcPr>
          <w:p>
            <w:r>
              <w:rPr>
                <w:rFonts w:ascii="Calibri" w:cs="Calibri" w:eastAsia="Calibri" w:hAnsi="Calibri"/>
                <w:sz w:val="22"/>
                <w:szCs w:val="22"/>
              </w:rPr>
              <w:t xml:space="preserve">Complete Final Report (12-page Word document)</w:t>
            </w:r>
          </w:p>
        </w:tc>
      </w:tr>
    </w:tbl>
    <w:p>
      <w:pPr>
        <w:spacing w:after="120"/>
      </w:pPr>
      <w:r>
        <w:t xml:space="preserve"/>
      </w:r>
    </w:p>
    <w:p>
      <w:pPr>
        <w:spacing w:after="0"/>
      </w:pPr>
      <w:r>
        <w:rPr>
          <w:rFonts w:ascii="Calibri" w:cs="Calibri" w:eastAsia="Calibri" w:hAnsi="Calibri"/>
          <w:b/>
          <w:bCs/>
          <w:i/>
          <w:iCs/>
          <w:sz w:val="22"/>
          <w:szCs w:val="22"/>
        </w:rPr>
        <w:t xml:space="preserve">Note: </w:t>
      </w:r>
      <w:r>
        <w:rPr>
          <w:rFonts w:ascii="Calibri" w:cs="Calibri" w:eastAsia="Calibri" w:hAnsi="Calibri"/>
          <w:i/>
          <w:iCs/>
          <w:color w:val="555555"/>
          <w:sz w:val="22"/>
          <w:szCs w:val="22"/>
        </w:rPr>
        <w:t xml:space="preserve">This scoping document is a baseline and working plan. As the analysis progresses, the direction may be refined — for example, adding team-level sub-analyses or extending the correlation work. This is expected and normal in data analytics projects.</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0" w:before="480"/>
      <w:outlineLvl w:val="0"/>
    </w:pPr>
    <w:rPr>
      <w:rFonts w:ascii="Calibri" w:cs="Calibri" w:eastAsia="Calibri" w:hAnsi="Calibri"/>
      <w:b/>
      <w:bCs/>
      <w:color w:val="365F91"/>
      <w:sz w:val="28"/>
      <w:szCs w:val="28"/>
    </w:rPr>
  </w:style>
  <w:style w:type="paragraph" w:styleId="Heading2">
    <w:name w:val="Heading 2"/>
    <w:basedOn w:val="Normal"/>
    <w:next w:val="Normal"/>
    <w:qFormat/>
    <w:pPr>
      <w:keepNext/>
      <w:keepLines/>
      <w:spacing w:after="0" w:before="200"/>
      <w:outlineLvl w:val="1"/>
    </w:pPr>
    <w:rPr>
      <w:rFonts w:ascii="Calibri" w:cs="Calibri" w:eastAsia="Calibri" w:hAnsi="Calibri"/>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2026-05-19T22:53:14.431Z</dcterms:created>
  <dcterms:modified xsi:type="dcterms:W3CDTF">2026-05-19T22:53:14.431Z</dcterms:modified>
</cp:coreProperties>
</file>

<file path=docProps/custom.xml><?xml version="1.0" encoding="utf-8"?>
<Properties xmlns="http://schemas.openxmlformats.org/officeDocument/2006/custom-properties" xmlns:vt="http://schemas.openxmlformats.org/officeDocument/2006/docPropsVTypes"/>
</file>