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8"/>
          <w:sz w:val="40"/>
        </w:rPr>
        <w:t>Divergent sex-specific trends and demographic drivers of schizophrenia burden in China and the United States, 1990-2023</w:t>
      </w:r>
    </w:p>
    <w:p>
      <w:pPr>
        <w:jc w:val="center"/>
      </w:pPr>
      <w:r>
        <w:rPr>
          <w:i/>
          <w:color w:val="666666"/>
          <w:sz w:val="22"/>
        </w:rPr>
        <w:t>A comparative analysis of Global Burden of Disease 2023 estimates</w:t>
      </w:r>
    </w:p>
    <w:p>
      <w:pPr>
        <w:jc w:val="center"/>
      </w:pPr>
      <w:r>
        <w:rPr>
          <w:b/>
        </w:rPr>
        <w:t>Blinded manuscript</w:t>
      </w:r>
    </w:p>
    <w:p>
      <w:pPr>
        <w:spacing w:before="80" w:after="200"/>
        <w:ind w:left="72" w:right="72"/>
        <w:jc w:val="center"/>
        <w:shd w:fill="FCE4D6"/>
      </w:pPr>
      <w:r>
        <w:rPr>
          <w:b/>
          <w:color w:val="9C5700"/>
        </w:rPr>
        <w:t>PROVISIONAL ANALYTICAL DRAFT - NOT FOR SUBMISSION</w:t>
        <w:br/>
        <w:t>The reconstructed population proxy must be replaced by the matching official GBD 2023 population export. Trend estimates are descriptive analyses of annual GBD posterior means.</w:t>
      </w:r>
    </w:p>
    <w:p>
      <w:pPr>
        <w:pStyle w:val="Heading1"/>
      </w:pPr>
      <w:r>
        <w:t>Abstract</w:t>
      </w:r>
    </w:p>
    <w:p>
      <w:r>
        <w:t>Background: Schizophrenia produces substantial lifelong disability, but comparisons of national trends can be obscured by population growth, population ageing, and changes in age-specific rates. We compared sex-specific schizophrenia burden in China and the United States, two populous settings with contrasting demographic trajectories.</w:t>
      </w:r>
    </w:p>
    <w:p>
      <w:r>
        <w:t>Methods: We analyzed GBD 2023 incidence, prevalence, and disability-adjusted life-year (DALY) estimates for 1990-2023. We summarized all-age quantities and age-standardized rates (ASRs), described nonlinear trends with Bayesian-information-criterion-selected segmented log-linear regression, and decomposed changes among persons aged 15 years and older into population growth, population ageing, and age-specific rate change using Shapley replacement. Incidence age-period-cohort estimable functions were secondary.</w:t>
      </w:r>
    </w:p>
    <w:p>
      <w:r>
        <w:t>Results: From 1990 to 2023, estimated incident cases, prevalent cases, and DALYs increased in every country-sex stratum. DALY ASRs in China changed from 175.3 to 177.6 per 100,000 among females and 207.2 to 209.1 among males. Corresponding U.S. rates changed from 269.5 to 247.9 among females and 281.2 to 270.2 among males. Descriptive segmented slopes and pairwise average annual percentage change contrasts indicated near-stable Chinese rates and declining U.S. rates. Population growth was the principal positive contributor to increasing absolute quantities in most strata.</w:t>
      </w:r>
    </w:p>
    <w:p>
      <w:r>
        <w:t>Conclusions: Increasing incident and prevalent case counts and DALYs did not imply worsening age-standardized burden. The estimates identify contrasting demographic and rate patterns that may inform sex- and age-responsive capacity planning; they do not establish effects of health systems or policies.</w:t>
      </w:r>
    </w:p>
    <w:p>
      <w:r>
        <w:t>Keywords: schizophrenia; Global Burden of Disease; China; United States; segmented regression; decomposition; demographic change; sex differences</w:t>
      </w:r>
    </w:p>
    <w:p>
      <w:pPr>
        <w:pStyle w:val="Heading1"/>
      </w:pPr>
      <w:r>
        <w:t>Background</w:t>
      </w:r>
    </w:p>
    <w:p>
      <w:r>
        <w:t>Schizophrenia is a severe mental disorder associated with persistent functional impairment, premature mortality, family burden, and substantial health and social care needs [1-3]. In these GBD extracts, schizophrenia DALYs equal years lived with disability (YLDs) because GBD does not assign schizophrenia a direct fatal component; this accounting convention does not imply an absence of excess mortality among people with schizophrenia [1,3].</w:t>
      </w:r>
    </w:p>
    <w:p>
      <w:r>
        <w:t>Earlier global GBD analyses found that incident and prevalent case counts and DALYs increased substantially while age-standardized schizophrenia rates changed much less [2,3]. Counts and standardized rates therefore answer different questions: absolute quantities reflect population size and age structure as well as age-specific rates, whereas ASRs remove differences in population age composition.</w:t>
      </w:r>
    </w:p>
    <w:p>
      <w:r>
        <w:t>A 2026 GBD 2023 study of China already reported the same 1990-2023 endpoints, sex strata, and decomposition into population growth, ageing, and epidemiological change [4]. The Chinese 1990 and 2023 endpoint point estimates used here overlap exactly with that publication because both analyses use the same GBD release. Earlier GBD 2021 work also used sex- and age-specific trends, joinpoint models, and projections for China [5]. The China results alone are therefore not novel. The incremental contribution of the present study is a prespecified China-U.S. comparison that places sex-specific trajectories and demographic components in one reproducible framework, reports descriptive paired contrasts, and keeps ecological differences separate from causal explanations.</w:t>
      </w:r>
    </w:p>
    <w:p>
      <w:r>
        <w:t>We therefore examined incidence, prevalence, and DALY burden in China and the United States from 1990 through 2023. Our objectives were to quantify endpoints and nonlinear trends, compare country and sex trajectories descriptively, decompose changes among persons aged 15 years and older, and assess agreement between primary trends and secondary age-period-cohort estimable summaries.</w:t>
      </w:r>
    </w:p>
    <w:p>
      <w:pPr>
        <w:pStyle w:val="Heading1"/>
      </w:pPr>
      <w:r>
        <w:t>Methods</w:t>
      </w:r>
    </w:p>
    <w:p>
      <w:pPr>
        <w:pStyle w:val="Heading2"/>
      </w:pPr>
      <w:r>
        <w:t>Study design and data source</w:t>
      </w:r>
    </w:p>
    <w:p>
      <w:r>
        <w:t>We conducted a comparative secondary analysis of GBD 2023 modeled health estimates [6]. The analytic population comprised females and males in China and the United States from 1990 through 2023. The burden extract contained annual posterior means and 95% uncertainty intervals (UIs) for incidence, prevalence, YLDs, and DALYs by age, sex, country, year, and metric. The source files contained aggregated, non-identifiable population estimates; institutional review board review and informed consent were therefore not applicable.</w:t>
      </w:r>
    </w:p>
    <w:p>
      <w:pPr>
        <w:pStyle w:val="Heading2"/>
      </w:pPr>
      <w:r>
        <w:t>Outcomes and prespecified exclusions</w:t>
      </w:r>
    </w:p>
    <w:p>
      <w:r>
        <w:t>Primary outcomes were incidence, prevalence, and DALYs. Trend analyses used all-age numbers and ASRs per 100,000. Decomposition used age-specific rates and populations from ages 15-19 through 70+ years; throughout, we describe this range as persons aged 15 years and older rather than adults. Ages younger than 15 years were outside the prespecified decomposition range, so reconstructed decomposition totals are not all-age totals. We excluded the GBD Percent metric because its denominator and age basis differed by outcome. Probability-of-death and available risk-factor extracts were excluded because they did not represent schizophrenia-specific causal attribution. YLD and DALY estimates were audited for numerical identity and YLDs were not duplicated in results.</w:t>
      </w:r>
    </w:p>
    <w:p>
      <w:pPr>
        <w:pStyle w:val="Heading2"/>
      </w:pPr>
      <w:r>
        <w:t>Data quality and population denominators</w:t>
      </w:r>
    </w:p>
    <w:p>
      <w:r>
        <w:t>We audited dimensional uniqueness, completeness across 34 years, missingness, positivity, uncertainty-bound ordering, and age-bin consistency. Decomposition currently uses a provisional population proxy reconstructed from matched GBD count-rate pairs. A submission build requires an authenticated population export from the same GBD 2023 release. We checked age-specific reconstruction by multiplying population by rate and dividing by 100,000.</w:t>
      </w:r>
    </w:p>
    <w:p>
      <w:pPr>
        <w:pStyle w:val="Heading2"/>
      </w:pPr>
      <w:r>
        <w:t>Trend and comparison analyses</w:t>
      </w:r>
    </w:p>
    <w:p>
      <w:r>
        <w:t>We modeled log ASRs with an open Python implementation of piecewise linear regression, using the general joinpoint parameterization [8]. Candidate models allowed zero to two change points and required at least four annual observations per segment. The number and locations of change points were selected by the Bayesian information criterion. Segment annual percentage changes and overall average annual percentage changes (AAPCs) summarize fitted changes in the annual GBD posterior means; they are descriptive and are not presented with model p values or confidence intervals. As a sensitivity analysis, we refitted the selected knot locations with weights derived from log-UI widths; these UIs are not sampling standard errors, so the weighted results also remained descriptive. A registered NCI Joinpoint 6.1.0 analysis may be used as optional validation but is not required for the primary open workflow [9].</w:t>
      </w:r>
    </w:p>
    <w:p>
      <w:r>
        <w:t>We summarized China-U.S. contrasts within outcome and sex and female-male contrasts within outcome and country as differences in descriptive AAPCs. Lag-1 residual autocorrelation was used as a diagnostic because annual GBD estimates may be serially correlated. We did not conduct parallelism F tests or multiplicity-adjusted significance tests. Native GBD UIs were reported only for original GBD estimates. Derived ratios, differences, changes, AAPCs, and decomposition components remained point estimates because posterior draws and cross-estimate correlations were unavailable.</w:t>
      </w:r>
    </w:p>
    <w:p>
      <w:pPr>
        <w:pStyle w:val="Heading2"/>
      </w:pPr>
      <w:r>
        <w:t>Demographic decomposition</w:t>
      </w:r>
    </w:p>
    <w:p>
      <w:r>
        <w:t>For each outcome, country, and sex, we decomposed the change in reconstructed quantities among persons aged 15 years and older into total population growth, changing age composition, and changing age-specific rates [10]. We averaged marginal contributions over all six possible factor-replacement orders, which is equivalent to a Shapley decomposition. Components were required to sum to total reconstructed change within numerical tolerance. Primary estimates used 1990-2023; 2000-2023, 2010-2023, annual-chain, and five-year-chain analyses assessed endpoint and path sensitivity.</w:t>
      </w:r>
    </w:p>
    <w:p>
      <w:pPr>
        <w:pStyle w:val="Heading2"/>
      </w:pPr>
      <w:r>
        <w:t>Secondary age-period-cohort analysis</w:t>
      </w:r>
    </w:p>
    <w:p>
      <w:r>
        <w:t>Secondary incidence analysis used 11 equal five-year age groups from 15-19 through 65-69 years and six equal periods from 1994-1998 through 2019-2023. We estimated net drift, age-specific local drift, and nonlinear age, period, and cohort curvature contrasts. The design separated estimable curvature from the unidentified linear age-period-cohort dependency [11-14]. We did not interpret period or cohort patterns causally. A sensitivity analysis truncated annual trend series at 2019, thereby excluding 2020-2023; the grouped APC sensitivity omitted the 2019-2023 period because that five-year cell cannot isolate 2020-2023.</w:t>
      </w:r>
    </w:p>
    <w:p>
      <w:pPr>
        <w:pStyle w:val="Heading2"/>
      </w:pPr>
      <w:r>
        <w:t>Reporting and reproducibility</w:t>
      </w:r>
    </w:p>
    <w:p>
      <w:r>
        <w:t>The analysis was conducted in Python with deterministic settings. Every table and figure is generated from saved machine-readable inputs. Reporting follows the Guidelines for Accurate and Transparent Health Estimates Reporting (GATHER) [7]. The working package contains the complete code, provenance table, data dictionary, and readiness metadata; these materials will be deposited at a persistent repository before submission.</w:t>
      </w:r>
    </w:p>
    <w:p>
      <w:pPr>
        <w:pStyle w:val="Heading1"/>
      </w:pPr>
      <w:r>
        <w:t>Results</w:t>
      </w:r>
    </w:p>
    <w:p>
      <w:pPr>
        <w:pStyle w:val="Heading2"/>
      </w:pPr>
      <w:r>
        <w:t>Data completeness and outcome selection</w:t>
      </w:r>
    </w:p>
    <w:p>
      <w:r>
        <w:t>All 12 primary country-sex-outcome panels contained 34 annual all-age quantities and 34 annual ASRs. Each decomposition panel contained 12 age groups spanning 15-19 through 70+ years. No invalid UI ordering or nonpositive point estimates were identified. DALYs and YLDs were numerically identical across 3,944 matched cells (maximum relative point-estimate difference 2.60e-08); YLDs were therefore omitted as duplicate outcomes. The 99th percentile absolute population-rate reconstruction discrepancy was 7.06e-11%.</w:t>
      </w:r>
    </w:p>
    <w:p>
      <w:pPr>
        <w:pStyle w:val="Heading2"/>
      </w:pPr>
      <w:r>
        <w:t>Burden levels and temporal changes</w:t>
      </w:r>
    </w:p>
    <w:p>
      <w:r>
        <w:t>All-age incidence, prevalence, and DALY counts increased between 1990 and 2023 in both countries and both sexes. In contrast, Chinese ASRs were nearly stable, whereas U.S. ASRs declined across the three outcomes. Males generally had higher rates than females. Thus, count growth and standardized-rate trends conveyed different dimensions of population burden.</w:t>
      </w:r>
    </w:p>
    <w:p>
      <w:r>
        <w:rPr>
          <w:b/>
        </w:rPr>
        <w:t>Table 1.</w:t>
      </w:r>
      <w:r>
        <w:t xml:space="preserve"> Endpoint burden and descriptive trends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rPr>
          <w:tblHeader w:val="true"/>
        </w:trPr>
        <w:tc>
          <w:tcPr>
            <w:tcW w:type="dxa" w:w="1242"/>
            <w:shd w:fill="1F4E78"/>
            <w:tcMar>
              <w:top w:w="80" w:type="dxa"/>
              <w:start w:w="90" w:type="dxa"/>
              <w:bottom w:w="80" w:type="dxa"/>
              <w:end w:w="90" w:type="dxa"/>
            </w:tcMar>
            <w:vAlign w:val="center"/>
          </w:tcPr>
          <w:p>
            <w:pPr>
              <w:jc w:val="center"/>
            </w:pPr>
            <w:r>
              <w:rPr>
                <w:b/>
                <w:color w:val="FFFFFF"/>
                <w:sz w:val="14"/>
              </w:rPr>
              <w:t>Location</w:t>
            </w:r>
          </w:p>
        </w:tc>
        <w:tc>
          <w:tcPr>
            <w:tcW w:type="dxa" w:w="1242"/>
            <w:shd w:fill="1F4E78"/>
            <w:tcMar>
              <w:top w:w="80" w:type="dxa"/>
              <w:start w:w="90" w:type="dxa"/>
              <w:bottom w:w="80" w:type="dxa"/>
              <w:end w:w="90" w:type="dxa"/>
            </w:tcMar>
            <w:vAlign w:val="center"/>
          </w:tcPr>
          <w:p>
            <w:pPr>
              <w:jc w:val="center"/>
            </w:pPr>
            <w:r>
              <w:rPr>
                <w:b/>
                <w:color w:val="FFFFFF"/>
                <w:sz w:val="14"/>
              </w:rPr>
              <w:t>Sex</w:t>
            </w:r>
          </w:p>
        </w:tc>
        <w:tc>
          <w:tcPr>
            <w:tcW w:type="dxa" w:w="1242"/>
            <w:shd w:fill="1F4E78"/>
            <w:tcMar>
              <w:top w:w="80" w:type="dxa"/>
              <w:start w:w="90" w:type="dxa"/>
              <w:bottom w:w="80" w:type="dxa"/>
              <w:end w:w="90" w:type="dxa"/>
            </w:tcMar>
            <w:vAlign w:val="center"/>
          </w:tcPr>
          <w:p>
            <w:pPr>
              <w:jc w:val="center"/>
            </w:pPr>
            <w:r>
              <w:rPr>
                <w:b/>
                <w:color w:val="FFFFFF"/>
                <w:sz w:val="14"/>
              </w:rPr>
              <w:t>Outcome</w:t>
            </w:r>
          </w:p>
        </w:tc>
        <w:tc>
          <w:tcPr>
            <w:tcW w:type="dxa" w:w="1242"/>
            <w:shd w:fill="1F4E78"/>
            <w:tcMar>
              <w:top w:w="80" w:type="dxa"/>
              <w:start w:w="90" w:type="dxa"/>
              <w:bottom w:w="80" w:type="dxa"/>
              <w:end w:w="90" w:type="dxa"/>
            </w:tcMar>
            <w:vAlign w:val="center"/>
          </w:tcPr>
          <w:p>
            <w:pPr>
              <w:jc w:val="center"/>
            </w:pPr>
            <w:r>
              <w:rPr>
                <w:b/>
                <w:color w:val="FFFFFF"/>
                <w:sz w:val="14"/>
              </w:rPr>
              <w:t>2023 quantity (95% UI)</w:t>
            </w:r>
          </w:p>
        </w:tc>
        <w:tc>
          <w:tcPr>
            <w:tcW w:type="dxa" w:w="1242"/>
            <w:shd w:fill="1F4E78"/>
            <w:tcMar>
              <w:top w:w="80" w:type="dxa"/>
              <w:start w:w="90" w:type="dxa"/>
              <w:bottom w:w="80" w:type="dxa"/>
              <w:end w:w="90" w:type="dxa"/>
            </w:tcMar>
            <w:vAlign w:val="center"/>
          </w:tcPr>
          <w:p>
            <w:pPr>
              <w:jc w:val="center"/>
            </w:pPr>
            <w:r>
              <w:rPr>
                <w:b/>
                <w:color w:val="FFFFFF"/>
                <w:sz w:val="14"/>
              </w:rPr>
              <w:t>Quantity change, %</w:t>
            </w:r>
          </w:p>
        </w:tc>
        <w:tc>
          <w:tcPr>
            <w:tcW w:type="dxa" w:w="1242"/>
            <w:shd w:fill="1F4E78"/>
            <w:tcMar>
              <w:top w:w="80" w:type="dxa"/>
              <w:start w:w="90" w:type="dxa"/>
              <w:bottom w:w="80" w:type="dxa"/>
              <w:end w:w="90" w:type="dxa"/>
            </w:tcMar>
            <w:vAlign w:val="center"/>
          </w:tcPr>
          <w:p>
            <w:pPr>
              <w:jc w:val="center"/>
            </w:pPr>
            <w:r>
              <w:rPr>
                <w:b/>
                <w:color w:val="FFFFFF"/>
                <w:sz w:val="14"/>
              </w:rPr>
              <w:t>ASR 1990</w:t>
            </w:r>
          </w:p>
        </w:tc>
        <w:tc>
          <w:tcPr>
            <w:tcW w:type="dxa" w:w="1242"/>
            <w:shd w:fill="1F4E78"/>
            <w:tcMar>
              <w:top w:w="80" w:type="dxa"/>
              <w:start w:w="90" w:type="dxa"/>
              <w:bottom w:w="80" w:type="dxa"/>
              <w:end w:w="90" w:type="dxa"/>
            </w:tcMar>
            <w:vAlign w:val="center"/>
          </w:tcPr>
          <w:p>
            <w:pPr>
              <w:jc w:val="center"/>
            </w:pPr>
            <w:r>
              <w:rPr>
                <w:b/>
                <w:color w:val="FFFFFF"/>
                <w:sz w:val="14"/>
              </w:rPr>
              <w:t>ASR 2023 (95% UI)</w:t>
            </w:r>
          </w:p>
        </w:tc>
        <w:tc>
          <w:tcPr>
            <w:tcW w:type="dxa" w:w="1242"/>
            <w:shd w:fill="1F4E78"/>
            <w:tcMar>
              <w:top w:w="80" w:type="dxa"/>
              <w:start w:w="90" w:type="dxa"/>
              <w:bottom w:w="80" w:type="dxa"/>
              <w:end w:w="90" w:type="dxa"/>
            </w:tcMar>
            <w:vAlign w:val="center"/>
          </w:tcPr>
          <w:p>
            <w:pPr>
              <w:jc w:val="center"/>
            </w:pPr>
            <w:r>
              <w:rPr>
                <w:b/>
                <w:color w:val="FFFFFF"/>
                <w:sz w:val="14"/>
              </w:rPr>
              <w:t>Descriptive AAPC, %/year</w:t>
            </w:r>
          </w:p>
        </w:tc>
      </w:tr>
      <w:tr>
        <w:trPr>
          <w:cantSplit/>
        </w:trPr>
        <w:tc>
          <w:tcPr>
            <w:tcW w:type="dxa" w:w="1242"/>
            <w:vAlign w:val="center"/>
            <w:tcMar>
              <w:top w:w="80" w:type="dxa"/>
              <w:start w:w="90" w:type="dxa"/>
              <w:bottom w:w="80" w:type="dxa"/>
              <w:end w:w="90" w:type="dxa"/>
            </w:tcMar>
          </w:tcPr>
          <w:p>
            <w:pPr>
              <w:jc w:val="left"/>
            </w:pPr>
            <w:r>
              <w:rPr>
                <w:sz w:val="14"/>
              </w:rPr>
              <w:t>China</w:t>
            </w:r>
          </w:p>
        </w:tc>
        <w:tc>
          <w:tcPr>
            <w:tcW w:type="dxa" w:w="1242"/>
            <w:vAlign w:val="center"/>
            <w:tcMar>
              <w:top w:w="80" w:type="dxa"/>
              <w:start w:w="90" w:type="dxa"/>
              <w:bottom w:w="80" w:type="dxa"/>
              <w:end w:w="90" w:type="dxa"/>
            </w:tcMar>
          </w:tcPr>
          <w:p>
            <w:pPr>
              <w:jc w:val="center"/>
            </w:pPr>
            <w:r>
              <w:rPr>
                <w:sz w:val="14"/>
              </w:rPr>
              <w:t>Female</w:t>
            </w:r>
          </w:p>
        </w:tc>
        <w:tc>
          <w:tcPr>
            <w:tcW w:type="dxa" w:w="1242"/>
            <w:vAlign w:val="center"/>
            <w:tcMar>
              <w:top w:w="80" w:type="dxa"/>
              <w:start w:w="90" w:type="dxa"/>
              <w:bottom w:w="80" w:type="dxa"/>
              <w:end w:w="90" w:type="dxa"/>
            </w:tcMar>
          </w:tcPr>
          <w:p>
            <w:pPr>
              <w:jc w:val="center"/>
            </w:pPr>
            <w:r>
              <w:rPr>
                <w:sz w:val="14"/>
              </w:rPr>
              <w:t>Incidence</w:t>
            </w:r>
          </w:p>
        </w:tc>
        <w:tc>
          <w:tcPr>
            <w:tcW w:type="dxa" w:w="1242"/>
            <w:vAlign w:val="center"/>
            <w:tcMar>
              <w:top w:w="80" w:type="dxa"/>
              <w:start w:w="90" w:type="dxa"/>
              <w:bottom w:w="80" w:type="dxa"/>
              <w:end w:w="90" w:type="dxa"/>
            </w:tcMar>
          </w:tcPr>
          <w:p>
            <w:pPr>
              <w:jc w:val="center"/>
            </w:pPr>
            <w:r>
              <w:rPr>
                <w:sz w:val="14"/>
              </w:rPr>
              <w:t>132,520 (111,395-155,089)</w:t>
            </w:r>
          </w:p>
        </w:tc>
        <w:tc>
          <w:tcPr>
            <w:tcW w:type="dxa" w:w="1242"/>
            <w:vAlign w:val="center"/>
            <w:tcMar>
              <w:top w:w="80" w:type="dxa"/>
              <w:start w:w="90" w:type="dxa"/>
              <w:bottom w:w="80" w:type="dxa"/>
              <w:end w:w="90" w:type="dxa"/>
            </w:tcMar>
          </w:tcPr>
          <w:p>
            <w:pPr>
              <w:jc w:val="center"/>
            </w:pPr>
            <w:r>
              <w:rPr>
                <w:sz w:val="14"/>
              </w:rPr>
              <w:t>14.5</w:t>
            </w:r>
          </w:p>
        </w:tc>
        <w:tc>
          <w:tcPr>
            <w:tcW w:type="dxa" w:w="1242"/>
            <w:vAlign w:val="center"/>
            <w:tcMar>
              <w:top w:w="80" w:type="dxa"/>
              <w:start w:w="90" w:type="dxa"/>
              <w:bottom w:w="80" w:type="dxa"/>
              <w:end w:w="90" w:type="dxa"/>
            </w:tcMar>
          </w:tcPr>
          <w:p>
            <w:pPr>
              <w:jc w:val="center"/>
            </w:pPr>
            <w:r>
              <w:rPr>
                <w:sz w:val="14"/>
              </w:rPr>
              <w:t>18.35</w:t>
            </w:r>
          </w:p>
        </w:tc>
        <w:tc>
          <w:tcPr>
            <w:tcW w:type="dxa" w:w="1242"/>
            <w:vAlign w:val="center"/>
            <w:tcMar>
              <w:top w:w="80" w:type="dxa"/>
              <w:start w:w="90" w:type="dxa"/>
              <w:bottom w:w="80" w:type="dxa"/>
              <w:end w:w="90" w:type="dxa"/>
            </w:tcMar>
          </w:tcPr>
          <w:p>
            <w:pPr>
              <w:jc w:val="center"/>
            </w:pPr>
            <w:r>
              <w:rPr>
                <w:sz w:val="14"/>
              </w:rPr>
              <w:t>18.42 (15.40-21.88)</w:t>
            </w:r>
          </w:p>
        </w:tc>
        <w:tc>
          <w:tcPr>
            <w:tcW w:type="dxa" w:w="1242"/>
            <w:vAlign w:val="center"/>
            <w:tcMar>
              <w:top w:w="80" w:type="dxa"/>
              <w:start w:w="90" w:type="dxa"/>
              <w:bottom w:w="80" w:type="dxa"/>
              <w:end w:w="90" w:type="dxa"/>
            </w:tcMar>
          </w:tcPr>
          <w:p>
            <w:pPr>
              <w:jc w:val="center"/>
            </w:pPr>
            <w:r>
              <w:rPr>
                <w:sz w:val="14"/>
              </w:rPr>
              <w:t>0.012</w:t>
            </w:r>
          </w:p>
        </w:tc>
      </w:tr>
      <w:tr>
        <w:trPr>
          <w:cantSplit/>
        </w:trPr>
        <w:tc>
          <w:tcPr>
            <w:tcW w:type="dxa" w:w="1242"/>
            <w:vAlign w:val="center"/>
            <w:tcMar>
              <w:top w:w="80" w:type="dxa"/>
              <w:start w:w="90" w:type="dxa"/>
              <w:bottom w:w="80" w:type="dxa"/>
              <w:end w:w="90" w:type="dxa"/>
            </w:tcMar>
          </w:tcPr>
          <w:p>
            <w:pPr>
              <w:jc w:val="left"/>
            </w:pPr>
            <w:r>
              <w:rPr>
                <w:sz w:val="14"/>
              </w:rPr>
              <w:t>China</w:t>
            </w:r>
          </w:p>
        </w:tc>
        <w:tc>
          <w:tcPr>
            <w:tcW w:type="dxa" w:w="1242"/>
            <w:vAlign w:val="center"/>
            <w:tcMar>
              <w:top w:w="80" w:type="dxa"/>
              <w:start w:w="90" w:type="dxa"/>
              <w:bottom w:w="80" w:type="dxa"/>
              <w:end w:w="90" w:type="dxa"/>
            </w:tcMar>
          </w:tcPr>
          <w:p>
            <w:pPr>
              <w:jc w:val="center"/>
            </w:pPr>
            <w:r>
              <w:rPr>
                <w:sz w:val="14"/>
              </w:rPr>
              <w:t>Female</w:t>
            </w:r>
          </w:p>
        </w:tc>
        <w:tc>
          <w:tcPr>
            <w:tcW w:type="dxa" w:w="1242"/>
            <w:vAlign w:val="center"/>
            <w:tcMar>
              <w:top w:w="80" w:type="dxa"/>
              <w:start w:w="90" w:type="dxa"/>
              <w:bottom w:w="80" w:type="dxa"/>
              <w:end w:w="90" w:type="dxa"/>
            </w:tcMar>
          </w:tcPr>
          <w:p>
            <w:pPr>
              <w:jc w:val="center"/>
            </w:pPr>
            <w:r>
              <w:rPr>
                <w:sz w:val="14"/>
              </w:rPr>
              <w:t>Prevalence</w:t>
            </w:r>
          </w:p>
        </w:tc>
        <w:tc>
          <w:tcPr>
            <w:tcW w:type="dxa" w:w="1242"/>
            <w:vAlign w:val="center"/>
            <w:tcMar>
              <w:top w:w="80" w:type="dxa"/>
              <w:start w:w="90" w:type="dxa"/>
              <w:bottom w:w="80" w:type="dxa"/>
              <w:end w:w="90" w:type="dxa"/>
            </w:tcMar>
          </w:tcPr>
          <w:p>
            <w:pPr>
              <w:jc w:val="center"/>
            </w:pPr>
            <w:r>
              <w:rPr>
                <w:sz w:val="14"/>
              </w:rPr>
              <w:t>2,469,230 (2,074,473-2,895,939)</w:t>
            </w:r>
          </w:p>
        </w:tc>
        <w:tc>
          <w:tcPr>
            <w:tcW w:type="dxa" w:w="1242"/>
            <w:vAlign w:val="center"/>
            <w:tcMar>
              <w:top w:w="80" w:type="dxa"/>
              <w:start w:w="90" w:type="dxa"/>
              <w:bottom w:w="80" w:type="dxa"/>
              <w:end w:w="90" w:type="dxa"/>
            </w:tcMar>
          </w:tcPr>
          <w:p>
            <w:pPr>
              <w:jc w:val="center"/>
            </w:pPr>
            <w:r>
              <w:rPr>
                <w:sz w:val="14"/>
              </w:rPr>
              <w:t>59.9</w:t>
            </w:r>
          </w:p>
        </w:tc>
        <w:tc>
          <w:tcPr>
            <w:tcW w:type="dxa" w:w="1242"/>
            <w:vAlign w:val="center"/>
            <w:tcMar>
              <w:top w:w="80" w:type="dxa"/>
              <w:start w:w="90" w:type="dxa"/>
              <w:bottom w:w="80" w:type="dxa"/>
              <w:end w:w="90" w:type="dxa"/>
            </w:tcMar>
          </w:tcPr>
          <w:p>
            <w:pPr>
              <w:jc w:val="center"/>
            </w:pPr>
            <w:r>
              <w:rPr>
                <w:sz w:val="14"/>
              </w:rPr>
              <w:t>276.90</w:t>
            </w:r>
          </w:p>
        </w:tc>
        <w:tc>
          <w:tcPr>
            <w:tcW w:type="dxa" w:w="1242"/>
            <w:vAlign w:val="center"/>
            <w:tcMar>
              <w:top w:w="80" w:type="dxa"/>
              <w:start w:w="90" w:type="dxa"/>
              <w:bottom w:w="80" w:type="dxa"/>
              <w:end w:w="90" w:type="dxa"/>
            </w:tcMar>
          </w:tcPr>
          <w:p>
            <w:pPr>
              <w:jc w:val="center"/>
            </w:pPr>
            <w:r>
              <w:rPr>
                <w:sz w:val="14"/>
              </w:rPr>
              <w:t>278.86 (234.44-331.62)</w:t>
            </w:r>
          </w:p>
        </w:tc>
        <w:tc>
          <w:tcPr>
            <w:tcW w:type="dxa" w:w="1242"/>
            <w:vAlign w:val="center"/>
            <w:tcMar>
              <w:top w:w="80" w:type="dxa"/>
              <w:start w:w="90" w:type="dxa"/>
              <w:bottom w:w="80" w:type="dxa"/>
              <w:end w:w="90" w:type="dxa"/>
            </w:tcMar>
          </w:tcPr>
          <w:p>
            <w:pPr>
              <w:jc w:val="center"/>
            </w:pPr>
            <w:r>
              <w:rPr>
                <w:sz w:val="14"/>
              </w:rPr>
              <w:t>0.024</w:t>
            </w:r>
          </w:p>
        </w:tc>
      </w:tr>
      <w:tr>
        <w:trPr>
          <w:cantSplit/>
        </w:trPr>
        <w:tc>
          <w:tcPr>
            <w:tcW w:type="dxa" w:w="1242"/>
            <w:vAlign w:val="center"/>
            <w:tcMar>
              <w:top w:w="80" w:type="dxa"/>
              <w:start w:w="90" w:type="dxa"/>
              <w:bottom w:w="80" w:type="dxa"/>
              <w:end w:w="90" w:type="dxa"/>
            </w:tcMar>
          </w:tcPr>
          <w:p>
            <w:pPr>
              <w:jc w:val="left"/>
            </w:pPr>
            <w:r>
              <w:rPr>
                <w:sz w:val="14"/>
              </w:rPr>
              <w:t>China</w:t>
            </w:r>
          </w:p>
        </w:tc>
        <w:tc>
          <w:tcPr>
            <w:tcW w:type="dxa" w:w="1242"/>
            <w:vAlign w:val="center"/>
            <w:tcMar>
              <w:top w:w="80" w:type="dxa"/>
              <w:start w:w="90" w:type="dxa"/>
              <w:bottom w:w="80" w:type="dxa"/>
              <w:end w:w="90" w:type="dxa"/>
            </w:tcMar>
          </w:tcPr>
          <w:p>
            <w:pPr>
              <w:jc w:val="center"/>
            </w:pPr>
            <w:r>
              <w:rPr>
                <w:sz w:val="14"/>
              </w:rPr>
              <w:t>Female</w:t>
            </w:r>
          </w:p>
        </w:tc>
        <w:tc>
          <w:tcPr>
            <w:tcW w:type="dxa" w:w="1242"/>
            <w:vAlign w:val="center"/>
            <w:tcMar>
              <w:top w:w="80" w:type="dxa"/>
              <w:start w:w="90" w:type="dxa"/>
              <w:bottom w:w="80" w:type="dxa"/>
              <w:end w:w="90" w:type="dxa"/>
            </w:tcMar>
          </w:tcPr>
          <w:p>
            <w:pPr>
              <w:jc w:val="center"/>
            </w:pPr>
            <w:r>
              <w:rPr>
                <w:sz w:val="14"/>
              </w:rPr>
              <w:t>DALYs</w:t>
            </w:r>
          </w:p>
        </w:tc>
        <w:tc>
          <w:tcPr>
            <w:tcW w:type="dxa" w:w="1242"/>
            <w:vAlign w:val="center"/>
            <w:tcMar>
              <w:top w:w="80" w:type="dxa"/>
              <w:start w:w="90" w:type="dxa"/>
              <w:bottom w:w="80" w:type="dxa"/>
              <w:end w:w="90" w:type="dxa"/>
            </w:tcMar>
          </w:tcPr>
          <w:p>
            <w:pPr>
              <w:jc w:val="center"/>
            </w:pPr>
            <w:r>
              <w:rPr>
                <w:sz w:val="14"/>
              </w:rPr>
              <w:t>1,551,859 (1,120,102-1,948,123)</w:t>
            </w:r>
          </w:p>
        </w:tc>
        <w:tc>
          <w:tcPr>
            <w:tcW w:type="dxa" w:w="1242"/>
            <w:vAlign w:val="center"/>
            <w:tcMar>
              <w:top w:w="80" w:type="dxa"/>
              <w:start w:w="90" w:type="dxa"/>
              <w:bottom w:w="80" w:type="dxa"/>
              <w:end w:w="90" w:type="dxa"/>
            </w:tcMar>
          </w:tcPr>
          <w:p>
            <w:pPr>
              <w:jc w:val="center"/>
            </w:pPr>
            <w:r>
              <w:rPr>
                <w:sz w:val="14"/>
              </w:rPr>
              <w:t>57.5</w:t>
            </w:r>
          </w:p>
        </w:tc>
        <w:tc>
          <w:tcPr>
            <w:tcW w:type="dxa" w:w="1242"/>
            <w:vAlign w:val="center"/>
            <w:tcMar>
              <w:top w:w="80" w:type="dxa"/>
              <w:start w:w="90" w:type="dxa"/>
              <w:bottom w:w="80" w:type="dxa"/>
              <w:end w:w="90" w:type="dxa"/>
            </w:tcMar>
          </w:tcPr>
          <w:p>
            <w:pPr>
              <w:jc w:val="center"/>
            </w:pPr>
            <w:r>
              <w:rPr>
                <w:sz w:val="14"/>
              </w:rPr>
              <w:t>175.27</w:t>
            </w:r>
          </w:p>
        </w:tc>
        <w:tc>
          <w:tcPr>
            <w:tcW w:type="dxa" w:w="1242"/>
            <w:vAlign w:val="center"/>
            <w:tcMar>
              <w:top w:w="80" w:type="dxa"/>
              <w:start w:w="90" w:type="dxa"/>
              <w:bottom w:w="80" w:type="dxa"/>
              <w:end w:w="90" w:type="dxa"/>
            </w:tcMar>
          </w:tcPr>
          <w:p>
            <w:pPr>
              <w:jc w:val="center"/>
            </w:pPr>
            <w:r>
              <w:rPr>
                <w:sz w:val="14"/>
              </w:rPr>
              <w:t>177.61 (129.65-223.14)</w:t>
            </w:r>
          </w:p>
        </w:tc>
        <w:tc>
          <w:tcPr>
            <w:tcW w:type="dxa" w:w="1242"/>
            <w:vAlign w:val="center"/>
            <w:tcMar>
              <w:top w:w="80" w:type="dxa"/>
              <w:start w:w="90" w:type="dxa"/>
              <w:bottom w:w="80" w:type="dxa"/>
              <w:end w:w="90" w:type="dxa"/>
            </w:tcMar>
          </w:tcPr>
          <w:p>
            <w:pPr>
              <w:jc w:val="center"/>
            </w:pPr>
            <w:r>
              <w:rPr>
                <w:sz w:val="14"/>
              </w:rPr>
              <w:t>0.048</w:t>
            </w:r>
          </w:p>
        </w:tc>
      </w:tr>
      <w:tr>
        <w:trPr>
          <w:cantSplit/>
        </w:trPr>
        <w:tc>
          <w:tcPr>
            <w:tcW w:type="dxa" w:w="1242"/>
            <w:vAlign w:val="center"/>
            <w:tcMar>
              <w:top w:w="80" w:type="dxa"/>
              <w:start w:w="90" w:type="dxa"/>
              <w:bottom w:w="80" w:type="dxa"/>
              <w:end w:w="90" w:type="dxa"/>
            </w:tcMar>
          </w:tcPr>
          <w:p>
            <w:pPr>
              <w:jc w:val="left"/>
            </w:pPr>
            <w:r>
              <w:rPr>
                <w:sz w:val="14"/>
              </w:rPr>
              <w:t>China</w:t>
            </w:r>
          </w:p>
        </w:tc>
        <w:tc>
          <w:tcPr>
            <w:tcW w:type="dxa" w:w="1242"/>
            <w:vAlign w:val="center"/>
            <w:tcMar>
              <w:top w:w="80" w:type="dxa"/>
              <w:start w:w="90" w:type="dxa"/>
              <w:bottom w:w="80" w:type="dxa"/>
              <w:end w:w="90" w:type="dxa"/>
            </w:tcMar>
          </w:tcPr>
          <w:p>
            <w:pPr>
              <w:jc w:val="center"/>
            </w:pPr>
            <w:r>
              <w:rPr>
                <w:sz w:val="14"/>
              </w:rPr>
              <w:t>Male</w:t>
            </w:r>
          </w:p>
        </w:tc>
        <w:tc>
          <w:tcPr>
            <w:tcW w:type="dxa" w:w="1242"/>
            <w:vAlign w:val="center"/>
            <w:tcMar>
              <w:top w:w="80" w:type="dxa"/>
              <w:start w:w="90" w:type="dxa"/>
              <w:bottom w:w="80" w:type="dxa"/>
              <w:end w:w="90" w:type="dxa"/>
            </w:tcMar>
          </w:tcPr>
          <w:p>
            <w:pPr>
              <w:jc w:val="center"/>
            </w:pPr>
            <w:r>
              <w:rPr>
                <w:sz w:val="14"/>
              </w:rPr>
              <w:t>Incidence</w:t>
            </w:r>
          </w:p>
        </w:tc>
        <w:tc>
          <w:tcPr>
            <w:tcW w:type="dxa" w:w="1242"/>
            <w:vAlign w:val="center"/>
            <w:tcMar>
              <w:top w:w="80" w:type="dxa"/>
              <w:start w:w="90" w:type="dxa"/>
              <w:bottom w:w="80" w:type="dxa"/>
              <w:end w:w="90" w:type="dxa"/>
            </w:tcMar>
          </w:tcPr>
          <w:p>
            <w:pPr>
              <w:jc w:val="center"/>
            </w:pPr>
            <w:r>
              <w:rPr>
                <w:sz w:val="14"/>
              </w:rPr>
              <w:t>174,592 (147,864-202,989)</w:t>
            </w:r>
          </w:p>
        </w:tc>
        <w:tc>
          <w:tcPr>
            <w:tcW w:type="dxa" w:w="1242"/>
            <w:vAlign w:val="center"/>
            <w:tcMar>
              <w:top w:w="80" w:type="dxa"/>
              <w:start w:w="90" w:type="dxa"/>
              <w:bottom w:w="80" w:type="dxa"/>
              <w:end w:w="90" w:type="dxa"/>
            </w:tcMar>
          </w:tcPr>
          <w:p>
            <w:pPr>
              <w:jc w:val="center"/>
            </w:pPr>
            <w:r>
              <w:rPr>
                <w:sz w:val="14"/>
              </w:rPr>
              <w:t>14.1</w:t>
            </w:r>
          </w:p>
        </w:tc>
        <w:tc>
          <w:tcPr>
            <w:tcW w:type="dxa" w:w="1242"/>
            <w:vAlign w:val="center"/>
            <w:tcMar>
              <w:top w:w="80" w:type="dxa"/>
              <w:start w:w="90" w:type="dxa"/>
              <w:bottom w:w="80" w:type="dxa"/>
              <w:end w:w="90" w:type="dxa"/>
            </w:tcMar>
          </w:tcPr>
          <w:p>
            <w:pPr>
              <w:jc w:val="center"/>
            </w:pPr>
            <w:r>
              <w:rPr>
                <w:sz w:val="14"/>
              </w:rPr>
              <w:t>22.78</w:t>
            </w:r>
          </w:p>
        </w:tc>
        <w:tc>
          <w:tcPr>
            <w:tcW w:type="dxa" w:w="1242"/>
            <w:vAlign w:val="center"/>
            <w:tcMar>
              <w:top w:w="80" w:type="dxa"/>
              <w:start w:w="90" w:type="dxa"/>
              <w:bottom w:w="80" w:type="dxa"/>
              <w:end w:w="90" w:type="dxa"/>
            </w:tcMar>
          </w:tcPr>
          <w:p>
            <w:pPr>
              <w:jc w:val="center"/>
            </w:pPr>
            <w:r>
              <w:rPr>
                <w:sz w:val="14"/>
              </w:rPr>
              <w:t>22.77 (19.21-26.93)</w:t>
            </w:r>
          </w:p>
        </w:tc>
        <w:tc>
          <w:tcPr>
            <w:tcW w:type="dxa" w:w="1242"/>
            <w:vAlign w:val="center"/>
            <w:tcMar>
              <w:top w:w="80" w:type="dxa"/>
              <w:start w:w="90" w:type="dxa"/>
              <w:bottom w:w="80" w:type="dxa"/>
              <w:end w:w="90" w:type="dxa"/>
            </w:tcMar>
          </w:tcPr>
          <w:p>
            <w:pPr>
              <w:jc w:val="center"/>
            </w:pPr>
            <w:r>
              <w:rPr>
                <w:sz w:val="14"/>
              </w:rPr>
              <w:t>-0.001</w:t>
            </w:r>
          </w:p>
        </w:tc>
      </w:tr>
      <w:tr>
        <w:trPr>
          <w:cantSplit/>
        </w:trPr>
        <w:tc>
          <w:tcPr>
            <w:tcW w:type="dxa" w:w="1242"/>
            <w:vAlign w:val="center"/>
            <w:tcMar>
              <w:top w:w="80" w:type="dxa"/>
              <w:start w:w="90" w:type="dxa"/>
              <w:bottom w:w="80" w:type="dxa"/>
              <w:end w:w="90" w:type="dxa"/>
            </w:tcMar>
          </w:tcPr>
          <w:p>
            <w:pPr>
              <w:jc w:val="left"/>
            </w:pPr>
            <w:r>
              <w:rPr>
                <w:sz w:val="14"/>
              </w:rPr>
              <w:t>China</w:t>
            </w:r>
          </w:p>
        </w:tc>
        <w:tc>
          <w:tcPr>
            <w:tcW w:type="dxa" w:w="1242"/>
            <w:vAlign w:val="center"/>
            <w:tcMar>
              <w:top w:w="80" w:type="dxa"/>
              <w:start w:w="90" w:type="dxa"/>
              <w:bottom w:w="80" w:type="dxa"/>
              <w:end w:w="90" w:type="dxa"/>
            </w:tcMar>
          </w:tcPr>
          <w:p>
            <w:pPr>
              <w:jc w:val="center"/>
            </w:pPr>
            <w:r>
              <w:rPr>
                <w:sz w:val="14"/>
              </w:rPr>
              <w:t>Male</w:t>
            </w:r>
          </w:p>
        </w:tc>
        <w:tc>
          <w:tcPr>
            <w:tcW w:type="dxa" w:w="1242"/>
            <w:vAlign w:val="center"/>
            <w:tcMar>
              <w:top w:w="80" w:type="dxa"/>
              <w:start w:w="90" w:type="dxa"/>
              <w:bottom w:w="80" w:type="dxa"/>
              <w:end w:w="90" w:type="dxa"/>
            </w:tcMar>
          </w:tcPr>
          <w:p>
            <w:pPr>
              <w:jc w:val="center"/>
            </w:pPr>
            <w:r>
              <w:rPr>
                <w:sz w:val="14"/>
              </w:rPr>
              <w:t>Prevalence</w:t>
            </w:r>
          </w:p>
        </w:tc>
        <w:tc>
          <w:tcPr>
            <w:tcW w:type="dxa" w:w="1242"/>
            <w:vAlign w:val="center"/>
            <w:tcMar>
              <w:top w:w="80" w:type="dxa"/>
              <w:start w:w="90" w:type="dxa"/>
              <w:bottom w:w="80" w:type="dxa"/>
              <w:end w:w="90" w:type="dxa"/>
            </w:tcMar>
          </w:tcPr>
          <w:p>
            <w:pPr>
              <w:jc w:val="center"/>
            </w:pPr>
            <w:r>
              <w:rPr>
                <w:sz w:val="14"/>
              </w:rPr>
              <w:t>2,925,661 (2,451,025-3,441,426)</w:t>
            </w:r>
          </w:p>
        </w:tc>
        <w:tc>
          <w:tcPr>
            <w:tcW w:type="dxa" w:w="1242"/>
            <w:vAlign w:val="center"/>
            <w:tcMar>
              <w:top w:w="80" w:type="dxa"/>
              <w:start w:w="90" w:type="dxa"/>
              <w:bottom w:w="80" w:type="dxa"/>
              <w:end w:w="90" w:type="dxa"/>
            </w:tcMar>
          </w:tcPr>
          <w:p>
            <w:pPr>
              <w:jc w:val="center"/>
            </w:pPr>
            <w:r>
              <w:rPr>
                <w:sz w:val="14"/>
              </w:rPr>
              <w:t>51.9</w:t>
            </w:r>
          </w:p>
        </w:tc>
        <w:tc>
          <w:tcPr>
            <w:tcW w:type="dxa" w:w="1242"/>
            <w:vAlign w:val="center"/>
            <w:tcMar>
              <w:top w:w="80" w:type="dxa"/>
              <w:start w:w="90" w:type="dxa"/>
              <w:bottom w:w="80" w:type="dxa"/>
              <w:end w:w="90" w:type="dxa"/>
            </w:tcMar>
          </w:tcPr>
          <w:p>
            <w:pPr>
              <w:jc w:val="center"/>
            </w:pPr>
            <w:r>
              <w:rPr>
                <w:sz w:val="14"/>
              </w:rPr>
              <w:t>322.43</w:t>
            </w:r>
          </w:p>
        </w:tc>
        <w:tc>
          <w:tcPr>
            <w:tcW w:type="dxa" w:w="1242"/>
            <w:vAlign w:val="center"/>
            <w:tcMar>
              <w:top w:w="80" w:type="dxa"/>
              <w:start w:w="90" w:type="dxa"/>
              <w:bottom w:w="80" w:type="dxa"/>
              <w:end w:w="90" w:type="dxa"/>
            </w:tcMar>
          </w:tcPr>
          <w:p>
            <w:pPr>
              <w:jc w:val="center"/>
            </w:pPr>
            <w:r>
              <w:rPr>
                <w:sz w:val="14"/>
              </w:rPr>
              <w:t>324.40 (272.30-383.47)</w:t>
            </w:r>
          </w:p>
        </w:tc>
        <w:tc>
          <w:tcPr>
            <w:tcW w:type="dxa" w:w="1242"/>
            <w:vAlign w:val="center"/>
            <w:tcMar>
              <w:top w:w="80" w:type="dxa"/>
              <w:start w:w="90" w:type="dxa"/>
              <w:bottom w:w="80" w:type="dxa"/>
              <w:end w:w="90" w:type="dxa"/>
            </w:tcMar>
          </w:tcPr>
          <w:p>
            <w:pPr>
              <w:jc w:val="center"/>
            </w:pPr>
            <w:r>
              <w:rPr>
                <w:sz w:val="14"/>
              </w:rPr>
              <w:t>0.015</w:t>
            </w:r>
          </w:p>
        </w:tc>
      </w:tr>
      <w:tr>
        <w:trPr>
          <w:cantSplit/>
        </w:trPr>
        <w:tc>
          <w:tcPr>
            <w:tcW w:type="dxa" w:w="1242"/>
            <w:vAlign w:val="center"/>
            <w:tcMar>
              <w:top w:w="80" w:type="dxa"/>
              <w:start w:w="90" w:type="dxa"/>
              <w:bottom w:w="80" w:type="dxa"/>
              <w:end w:w="90" w:type="dxa"/>
            </w:tcMar>
          </w:tcPr>
          <w:p>
            <w:pPr>
              <w:jc w:val="left"/>
            </w:pPr>
            <w:r>
              <w:rPr>
                <w:sz w:val="14"/>
              </w:rPr>
              <w:t>China</w:t>
            </w:r>
          </w:p>
        </w:tc>
        <w:tc>
          <w:tcPr>
            <w:tcW w:type="dxa" w:w="1242"/>
            <w:vAlign w:val="center"/>
            <w:tcMar>
              <w:top w:w="80" w:type="dxa"/>
              <w:start w:w="90" w:type="dxa"/>
              <w:bottom w:w="80" w:type="dxa"/>
              <w:end w:w="90" w:type="dxa"/>
            </w:tcMar>
          </w:tcPr>
          <w:p>
            <w:pPr>
              <w:jc w:val="center"/>
            </w:pPr>
            <w:r>
              <w:rPr>
                <w:sz w:val="14"/>
              </w:rPr>
              <w:t>Male</w:t>
            </w:r>
          </w:p>
        </w:tc>
        <w:tc>
          <w:tcPr>
            <w:tcW w:type="dxa" w:w="1242"/>
            <w:vAlign w:val="center"/>
            <w:tcMar>
              <w:top w:w="80" w:type="dxa"/>
              <w:start w:w="90" w:type="dxa"/>
              <w:bottom w:w="80" w:type="dxa"/>
              <w:end w:w="90" w:type="dxa"/>
            </w:tcMar>
          </w:tcPr>
          <w:p>
            <w:pPr>
              <w:jc w:val="center"/>
            </w:pPr>
            <w:r>
              <w:rPr>
                <w:sz w:val="14"/>
              </w:rPr>
              <w:t>DALYs</w:t>
            </w:r>
          </w:p>
        </w:tc>
        <w:tc>
          <w:tcPr>
            <w:tcW w:type="dxa" w:w="1242"/>
            <w:vAlign w:val="center"/>
            <w:tcMar>
              <w:top w:w="80" w:type="dxa"/>
              <w:start w:w="90" w:type="dxa"/>
              <w:bottom w:w="80" w:type="dxa"/>
              <w:end w:w="90" w:type="dxa"/>
            </w:tcMar>
          </w:tcPr>
          <w:p>
            <w:pPr>
              <w:jc w:val="center"/>
            </w:pPr>
            <w:r>
              <w:rPr>
                <w:sz w:val="14"/>
              </w:rPr>
              <w:t>1,867,497 (1,364,871-2,322,508)</w:t>
            </w:r>
          </w:p>
        </w:tc>
        <w:tc>
          <w:tcPr>
            <w:tcW w:type="dxa" w:w="1242"/>
            <w:vAlign w:val="center"/>
            <w:tcMar>
              <w:top w:w="80" w:type="dxa"/>
              <w:start w:w="90" w:type="dxa"/>
              <w:bottom w:w="80" w:type="dxa"/>
              <w:end w:w="90" w:type="dxa"/>
            </w:tcMar>
          </w:tcPr>
          <w:p>
            <w:pPr>
              <w:jc w:val="center"/>
            </w:pPr>
            <w:r>
              <w:rPr>
                <w:sz w:val="14"/>
              </w:rPr>
              <w:t>49.5</w:t>
            </w:r>
          </w:p>
        </w:tc>
        <w:tc>
          <w:tcPr>
            <w:tcW w:type="dxa" w:w="1242"/>
            <w:vAlign w:val="center"/>
            <w:tcMar>
              <w:top w:w="80" w:type="dxa"/>
              <w:start w:w="90" w:type="dxa"/>
              <w:bottom w:w="80" w:type="dxa"/>
              <w:end w:w="90" w:type="dxa"/>
            </w:tcMar>
          </w:tcPr>
          <w:p>
            <w:pPr>
              <w:jc w:val="center"/>
            </w:pPr>
            <w:r>
              <w:rPr>
                <w:sz w:val="14"/>
              </w:rPr>
              <w:t>207.25</w:t>
            </w:r>
          </w:p>
        </w:tc>
        <w:tc>
          <w:tcPr>
            <w:tcW w:type="dxa" w:w="1242"/>
            <w:vAlign w:val="center"/>
            <w:tcMar>
              <w:top w:w="80" w:type="dxa"/>
              <w:start w:w="90" w:type="dxa"/>
              <w:bottom w:w="80" w:type="dxa"/>
              <w:end w:w="90" w:type="dxa"/>
            </w:tcMar>
          </w:tcPr>
          <w:p>
            <w:pPr>
              <w:jc w:val="center"/>
            </w:pPr>
            <w:r>
              <w:rPr>
                <w:sz w:val="14"/>
              </w:rPr>
              <w:t>209.14 (154.27-260.57)</w:t>
            </w:r>
          </w:p>
        </w:tc>
        <w:tc>
          <w:tcPr>
            <w:tcW w:type="dxa" w:w="1242"/>
            <w:vAlign w:val="center"/>
            <w:tcMar>
              <w:top w:w="80" w:type="dxa"/>
              <w:start w:w="90" w:type="dxa"/>
              <w:bottom w:w="80" w:type="dxa"/>
              <w:end w:w="90" w:type="dxa"/>
            </w:tcMar>
          </w:tcPr>
          <w:p>
            <w:pPr>
              <w:jc w:val="center"/>
            </w:pPr>
            <w:r>
              <w:rPr>
                <w:sz w:val="14"/>
              </w:rPr>
              <w:t>0.036</w:t>
            </w:r>
          </w:p>
        </w:tc>
      </w:tr>
      <w:tr>
        <w:trPr>
          <w:cantSplit/>
        </w:trPr>
        <w:tc>
          <w:tcPr>
            <w:tcW w:type="dxa" w:w="1242"/>
            <w:vAlign w:val="center"/>
            <w:tcMar>
              <w:top w:w="80" w:type="dxa"/>
              <w:start w:w="90" w:type="dxa"/>
              <w:bottom w:w="80" w:type="dxa"/>
              <w:end w:w="90" w:type="dxa"/>
            </w:tcMar>
          </w:tcPr>
          <w:p>
            <w:pPr>
              <w:jc w:val="left"/>
            </w:pPr>
            <w:r>
              <w:rPr>
                <w:sz w:val="14"/>
              </w:rPr>
              <w:t>United States</w:t>
            </w:r>
          </w:p>
        </w:tc>
        <w:tc>
          <w:tcPr>
            <w:tcW w:type="dxa" w:w="1242"/>
            <w:vAlign w:val="center"/>
            <w:tcMar>
              <w:top w:w="80" w:type="dxa"/>
              <w:start w:w="90" w:type="dxa"/>
              <w:bottom w:w="80" w:type="dxa"/>
              <w:end w:w="90" w:type="dxa"/>
            </w:tcMar>
          </w:tcPr>
          <w:p>
            <w:pPr>
              <w:jc w:val="center"/>
            </w:pPr>
            <w:r>
              <w:rPr>
                <w:sz w:val="14"/>
              </w:rPr>
              <w:t>Female</w:t>
            </w:r>
          </w:p>
        </w:tc>
        <w:tc>
          <w:tcPr>
            <w:tcW w:type="dxa" w:w="1242"/>
            <w:vAlign w:val="center"/>
            <w:tcMar>
              <w:top w:w="80" w:type="dxa"/>
              <w:start w:w="90" w:type="dxa"/>
              <w:bottom w:w="80" w:type="dxa"/>
              <w:end w:w="90" w:type="dxa"/>
            </w:tcMar>
          </w:tcPr>
          <w:p>
            <w:pPr>
              <w:jc w:val="center"/>
            </w:pPr>
            <w:r>
              <w:rPr>
                <w:sz w:val="14"/>
              </w:rPr>
              <w:t>Incidence</w:t>
            </w:r>
          </w:p>
        </w:tc>
        <w:tc>
          <w:tcPr>
            <w:tcW w:type="dxa" w:w="1242"/>
            <w:vAlign w:val="center"/>
            <w:tcMar>
              <w:top w:w="80" w:type="dxa"/>
              <w:start w:w="90" w:type="dxa"/>
              <w:bottom w:w="80" w:type="dxa"/>
              <w:end w:w="90" w:type="dxa"/>
            </w:tcMar>
          </w:tcPr>
          <w:p>
            <w:pPr>
              <w:jc w:val="center"/>
            </w:pPr>
            <w:r>
              <w:rPr>
                <w:sz w:val="14"/>
              </w:rPr>
              <w:t>36,071 (30,645-42,094)</w:t>
            </w:r>
          </w:p>
        </w:tc>
        <w:tc>
          <w:tcPr>
            <w:tcW w:type="dxa" w:w="1242"/>
            <w:vAlign w:val="center"/>
            <w:tcMar>
              <w:top w:w="80" w:type="dxa"/>
              <w:start w:w="90" w:type="dxa"/>
              <w:bottom w:w="80" w:type="dxa"/>
              <w:end w:w="90" w:type="dxa"/>
            </w:tcMar>
          </w:tcPr>
          <w:p>
            <w:pPr>
              <w:jc w:val="center"/>
            </w:pPr>
            <w:r>
              <w:rPr>
                <w:sz w:val="14"/>
              </w:rPr>
              <w:t>13.2</w:t>
            </w:r>
          </w:p>
        </w:tc>
        <w:tc>
          <w:tcPr>
            <w:tcW w:type="dxa" w:w="1242"/>
            <w:vAlign w:val="center"/>
            <w:tcMar>
              <w:top w:w="80" w:type="dxa"/>
              <w:start w:w="90" w:type="dxa"/>
              <w:bottom w:w="80" w:type="dxa"/>
              <w:end w:w="90" w:type="dxa"/>
            </w:tcMar>
          </w:tcPr>
          <w:p>
            <w:pPr>
              <w:jc w:val="center"/>
            </w:pPr>
            <w:r>
              <w:rPr>
                <w:sz w:val="14"/>
              </w:rPr>
              <w:t>24.55</w:t>
            </w:r>
          </w:p>
        </w:tc>
        <w:tc>
          <w:tcPr>
            <w:tcW w:type="dxa" w:w="1242"/>
            <w:vAlign w:val="center"/>
            <w:tcMar>
              <w:top w:w="80" w:type="dxa"/>
              <w:start w:w="90" w:type="dxa"/>
              <w:bottom w:w="80" w:type="dxa"/>
              <w:end w:w="90" w:type="dxa"/>
            </w:tcMar>
          </w:tcPr>
          <w:p>
            <w:pPr>
              <w:jc w:val="center"/>
            </w:pPr>
            <w:r>
              <w:rPr>
                <w:sz w:val="14"/>
              </w:rPr>
              <w:t>23.04 (19.65-27.07)</w:t>
            </w:r>
          </w:p>
        </w:tc>
        <w:tc>
          <w:tcPr>
            <w:tcW w:type="dxa" w:w="1242"/>
            <w:vAlign w:val="center"/>
            <w:tcMar>
              <w:top w:w="80" w:type="dxa"/>
              <w:start w:w="90" w:type="dxa"/>
              <w:bottom w:w="80" w:type="dxa"/>
              <w:end w:w="90" w:type="dxa"/>
            </w:tcMar>
          </w:tcPr>
          <w:p>
            <w:pPr>
              <w:jc w:val="center"/>
            </w:pPr>
            <w:r>
              <w:rPr>
                <w:sz w:val="14"/>
              </w:rPr>
              <w:t>-0.210</w:t>
            </w:r>
          </w:p>
        </w:tc>
      </w:tr>
      <w:tr>
        <w:trPr>
          <w:cantSplit/>
        </w:trPr>
        <w:tc>
          <w:tcPr>
            <w:tcW w:type="dxa" w:w="1242"/>
            <w:vAlign w:val="center"/>
            <w:tcMar>
              <w:top w:w="80" w:type="dxa"/>
              <w:start w:w="90" w:type="dxa"/>
              <w:bottom w:w="80" w:type="dxa"/>
              <w:end w:w="90" w:type="dxa"/>
            </w:tcMar>
          </w:tcPr>
          <w:p>
            <w:pPr>
              <w:jc w:val="left"/>
            </w:pPr>
            <w:r>
              <w:rPr>
                <w:sz w:val="14"/>
              </w:rPr>
              <w:t>United States</w:t>
            </w:r>
          </w:p>
        </w:tc>
        <w:tc>
          <w:tcPr>
            <w:tcW w:type="dxa" w:w="1242"/>
            <w:vAlign w:val="center"/>
            <w:tcMar>
              <w:top w:w="80" w:type="dxa"/>
              <w:start w:w="90" w:type="dxa"/>
              <w:bottom w:w="80" w:type="dxa"/>
              <w:end w:w="90" w:type="dxa"/>
            </w:tcMar>
          </w:tcPr>
          <w:p>
            <w:pPr>
              <w:jc w:val="center"/>
            </w:pPr>
            <w:r>
              <w:rPr>
                <w:sz w:val="14"/>
              </w:rPr>
              <w:t>Female</w:t>
            </w:r>
          </w:p>
        </w:tc>
        <w:tc>
          <w:tcPr>
            <w:tcW w:type="dxa" w:w="1242"/>
            <w:vAlign w:val="center"/>
            <w:tcMar>
              <w:top w:w="80" w:type="dxa"/>
              <w:start w:w="90" w:type="dxa"/>
              <w:bottom w:w="80" w:type="dxa"/>
              <w:end w:w="90" w:type="dxa"/>
            </w:tcMar>
          </w:tcPr>
          <w:p>
            <w:pPr>
              <w:jc w:val="center"/>
            </w:pPr>
            <w:r>
              <w:rPr>
                <w:sz w:val="14"/>
              </w:rPr>
              <w:t>Prevalence</w:t>
            </w:r>
          </w:p>
        </w:tc>
        <w:tc>
          <w:tcPr>
            <w:tcW w:type="dxa" w:w="1242"/>
            <w:vAlign w:val="center"/>
            <w:tcMar>
              <w:top w:w="80" w:type="dxa"/>
              <w:start w:w="90" w:type="dxa"/>
              <w:bottom w:w="80" w:type="dxa"/>
              <w:end w:w="90" w:type="dxa"/>
            </w:tcMar>
          </w:tcPr>
          <w:p>
            <w:pPr>
              <w:jc w:val="center"/>
            </w:pPr>
            <w:r>
              <w:rPr>
                <w:sz w:val="14"/>
              </w:rPr>
              <w:t>767,642 (646,811-896,627)</w:t>
            </w:r>
          </w:p>
        </w:tc>
        <w:tc>
          <w:tcPr>
            <w:tcW w:type="dxa" w:w="1242"/>
            <w:vAlign w:val="center"/>
            <w:tcMar>
              <w:top w:w="80" w:type="dxa"/>
              <w:start w:w="90" w:type="dxa"/>
              <w:bottom w:w="80" w:type="dxa"/>
              <w:end w:w="90" w:type="dxa"/>
            </w:tcMar>
          </w:tcPr>
          <w:p>
            <w:pPr>
              <w:jc w:val="center"/>
            </w:pPr>
            <w:r>
              <w:rPr>
                <w:sz w:val="14"/>
              </w:rPr>
              <w:t>22.7</w:t>
            </w:r>
          </w:p>
        </w:tc>
        <w:tc>
          <w:tcPr>
            <w:tcW w:type="dxa" w:w="1242"/>
            <w:vAlign w:val="center"/>
            <w:tcMar>
              <w:top w:w="80" w:type="dxa"/>
              <w:start w:w="90" w:type="dxa"/>
              <w:bottom w:w="80" w:type="dxa"/>
              <w:end w:w="90" w:type="dxa"/>
            </w:tcMar>
          </w:tcPr>
          <w:p>
            <w:pPr>
              <w:jc w:val="center"/>
            </w:pPr>
            <w:r>
              <w:rPr>
                <w:sz w:val="14"/>
              </w:rPr>
              <w:t>435.19</w:t>
            </w:r>
          </w:p>
        </w:tc>
        <w:tc>
          <w:tcPr>
            <w:tcW w:type="dxa" w:w="1242"/>
            <w:vAlign w:val="center"/>
            <w:tcMar>
              <w:top w:w="80" w:type="dxa"/>
              <w:start w:w="90" w:type="dxa"/>
              <w:bottom w:w="80" w:type="dxa"/>
              <w:end w:w="90" w:type="dxa"/>
            </w:tcMar>
          </w:tcPr>
          <w:p>
            <w:pPr>
              <w:jc w:val="center"/>
            </w:pPr>
            <w:r>
              <w:rPr>
                <w:sz w:val="14"/>
              </w:rPr>
              <w:t>403.27 (336.96-477.10)</w:t>
            </w:r>
          </w:p>
        </w:tc>
        <w:tc>
          <w:tcPr>
            <w:tcW w:type="dxa" w:w="1242"/>
            <w:vAlign w:val="center"/>
            <w:tcMar>
              <w:top w:w="80" w:type="dxa"/>
              <w:start w:w="90" w:type="dxa"/>
              <w:bottom w:w="80" w:type="dxa"/>
              <w:end w:w="90" w:type="dxa"/>
            </w:tcMar>
          </w:tcPr>
          <w:p>
            <w:pPr>
              <w:jc w:val="center"/>
            </w:pPr>
            <w:r>
              <w:rPr>
                <w:sz w:val="14"/>
              </w:rPr>
              <w:t>-0.230</w:t>
            </w:r>
          </w:p>
        </w:tc>
      </w:tr>
      <w:tr>
        <w:trPr>
          <w:cantSplit/>
        </w:trPr>
        <w:tc>
          <w:tcPr>
            <w:tcW w:type="dxa" w:w="1242"/>
            <w:vAlign w:val="center"/>
            <w:tcMar>
              <w:top w:w="80" w:type="dxa"/>
              <w:start w:w="90" w:type="dxa"/>
              <w:bottom w:w="80" w:type="dxa"/>
              <w:end w:w="90" w:type="dxa"/>
            </w:tcMar>
          </w:tcPr>
          <w:p>
            <w:pPr>
              <w:jc w:val="left"/>
            </w:pPr>
            <w:r>
              <w:rPr>
                <w:sz w:val="14"/>
              </w:rPr>
              <w:t>United States</w:t>
            </w:r>
          </w:p>
        </w:tc>
        <w:tc>
          <w:tcPr>
            <w:tcW w:type="dxa" w:w="1242"/>
            <w:vAlign w:val="center"/>
            <w:tcMar>
              <w:top w:w="80" w:type="dxa"/>
              <w:start w:w="90" w:type="dxa"/>
              <w:bottom w:w="80" w:type="dxa"/>
              <w:end w:w="90" w:type="dxa"/>
            </w:tcMar>
          </w:tcPr>
          <w:p>
            <w:pPr>
              <w:jc w:val="center"/>
            </w:pPr>
            <w:r>
              <w:rPr>
                <w:sz w:val="14"/>
              </w:rPr>
              <w:t>Female</w:t>
            </w:r>
          </w:p>
        </w:tc>
        <w:tc>
          <w:tcPr>
            <w:tcW w:type="dxa" w:w="1242"/>
            <w:vAlign w:val="center"/>
            <w:tcMar>
              <w:top w:w="80" w:type="dxa"/>
              <w:start w:w="90" w:type="dxa"/>
              <w:bottom w:w="80" w:type="dxa"/>
              <w:end w:w="90" w:type="dxa"/>
            </w:tcMar>
          </w:tcPr>
          <w:p>
            <w:pPr>
              <w:jc w:val="center"/>
            </w:pPr>
            <w:r>
              <w:rPr>
                <w:sz w:val="14"/>
              </w:rPr>
              <w:t>DALYs</w:t>
            </w:r>
          </w:p>
        </w:tc>
        <w:tc>
          <w:tcPr>
            <w:tcW w:type="dxa" w:w="1242"/>
            <w:vAlign w:val="center"/>
            <w:tcMar>
              <w:top w:w="80" w:type="dxa"/>
              <w:start w:w="90" w:type="dxa"/>
              <w:bottom w:w="80" w:type="dxa"/>
              <w:end w:w="90" w:type="dxa"/>
            </w:tcMar>
          </w:tcPr>
          <w:p>
            <w:pPr>
              <w:jc w:val="center"/>
            </w:pPr>
            <w:r>
              <w:rPr>
                <w:sz w:val="14"/>
              </w:rPr>
              <w:t>465,494 (334,682-564,154)</w:t>
            </w:r>
          </w:p>
        </w:tc>
        <w:tc>
          <w:tcPr>
            <w:tcW w:type="dxa" w:w="1242"/>
            <w:vAlign w:val="center"/>
            <w:tcMar>
              <w:top w:w="80" w:type="dxa"/>
              <w:start w:w="90" w:type="dxa"/>
              <w:bottom w:w="80" w:type="dxa"/>
              <w:end w:w="90" w:type="dxa"/>
            </w:tcMar>
          </w:tcPr>
          <w:p>
            <w:pPr>
              <w:jc w:val="center"/>
            </w:pPr>
            <w:r>
              <w:rPr>
                <w:sz w:val="14"/>
              </w:rPr>
              <w:t>20.5</w:t>
            </w:r>
          </w:p>
        </w:tc>
        <w:tc>
          <w:tcPr>
            <w:tcW w:type="dxa" w:w="1242"/>
            <w:vAlign w:val="center"/>
            <w:tcMar>
              <w:top w:w="80" w:type="dxa"/>
              <w:start w:w="90" w:type="dxa"/>
              <w:bottom w:w="80" w:type="dxa"/>
              <w:end w:w="90" w:type="dxa"/>
            </w:tcMar>
          </w:tcPr>
          <w:p>
            <w:pPr>
              <w:jc w:val="center"/>
            </w:pPr>
            <w:r>
              <w:rPr>
                <w:sz w:val="14"/>
              </w:rPr>
              <w:t>269.48</w:t>
            </w:r>
          </w:p>
        </w:tc>
        <w:tc>
          <w:tcPr>
            <w:tcW w:type="dxa" w:w="1242"/>
            <w:vAlign w:val="center"/>
            <w:tcMar>
              <w:top w:w="80" w:type="dxa"/>
              <w:start w:w="90" w:type="dxa"/>
              <w:bottom w:w="80" w:type="dxa"/>
              <w:end w:w="90" w:type="dxa"/>
            </w:tcMar>
          </w:tcPr>
          <w:p>
            <w:pPr>
              <w:jc w:val="center"/>
            </w:pPr>
            <w:r>
              <w:rPr>
                <w:sz w:val="14"/>
              </w:rPr>
              <w:t>247.86 (176.81-305.03)</w:t>
            </w:r>
          </w:p>
        </w:tc>
        <w:tc>
          <w:tcPr>
            <w:tcW w:type="dxa" w:w="1242"/>
            <w:vAlign w:val="center"/>
            <w:tcMar>
              <w:top w:w="80" w:type="dxa"/>
              <w:start w:w="90" w:type="dxa"/>
              <w:bottom w:w="80" w:type="dxa"/>
              <w:end w:w="90" w:type="dxa"/>
            </w:tcMar>
          </w:tcPr>
          <w:p>
            <w:pPr>
              <w:jc w:val="center"/>
            </w:pPr>
            <w:r>
              <w:rPr>
                <w:sz w:val="14"/>
              </w:rPr>
              <w:t>-0.249</w:t>
            </w:r>
          </w:p>
        </w:tc>
      </w:tr>
      <w:tr>
        <w:trPr>
          <w:cantSplit/>
        </w:trPr>
        <w:tc>
          <w:tcPr>
            <w:tcW w:type="dxa" w:w="1242"/>
            <w:vAlign w:val="center"/>
            <w:tcMar>
              <w:top w:w="80" w:type="dxa"/>
              <w:start w:w="90" w:type="dxa"/>
              <w:bottom w:w="80" w:type="dxa"/>
              <w:end w:w="90" w:type="dxa"/>
            </w:tcMar>
          </w:tcPr>
          <w:p>
            <w:pPr>
              <w:jc w:val="left"/>
            </w:pPr>
            <w:r>
              <w:rPr>
                <w:sz w:val="14"/>
              </w:rPr>
              <w:t>United States</w:t>
            </w:r>
          </w:p>
        </w:tc>
        <w:tc>
          <w:tcPr>
            <w:tcW w:type="dxa" w:w="1242"/>
            <w:vAlign w:val="center"/>
            <w:tcMar>
              <w:top w:w="80" w:type="dxa"/>
              <w:start w:w="90" w:type="dxa"/>
              <w:bottom w:w="80" w:type="dxa"/>
              <w:end w:w="90" w:type="dxa"/>
            </w:tcMar>
          </w:tcPr>
          <w:p>
            <w:pPr>
              <w:jc w:val="center"/>
            </w:pPr>
            <w:r>
              <w:rPr>
                <w:sz w:val="14"/>
              </w:rPr>
              <w:t>Male</w:t>
            </w:r>
          </w:p>
        </w:tc>
        <w:tc>
          <w:tcPr>
            <w:tcW w:type="dxa" w:w="1242"/>
            <w:vAlign w:val="center"/>
            <w:tcMar>
              <w:top w:w="80" w:type="dxa"/>
              <w:start w:w="90" w:type="dxa"/>
              <w:bottom w:w="80" w:type="dxa"/>
              <w:end w:w="90" w:type="dxa"/>
            </w:tcMar>
          </w:tcPr>
          <w:p>
            <w:pPr>
              <w:jc w:val="center"/>
            </w:pPr>
            <w:r>
              <w:rPr>
                <w:sz w:val="14"/>
              </w:rPr>
              <w:t>Incidence</w:t>
            </w:r>
          </w:p>
        </w:tc>
        <w:tc>
          <w:tcPr>
            <w:tcW w:type="dxa" w:w="1242"/>
            <w:vAlign w:val="center"/>
            <w:tcMar>
              <w:top w:w="80" w:type="dxa"/>
              <w:start w:w="90" w:type="dxa"/>
              <w:bottom w:w="80" w:type="dxa"/>
              <w:end w:w="90" w:type="dxa"/>
            </w:tcMar>
          </w:tcPr>
          <w:p>
            <w:pPr>
              <w:jc w:val="center"/>
            </w:pPr>
            <w:r>
              <w:rPr>
                <w:sz w:val="14"/>
              </w:rPr>
              <w:t>42,426 (36,456-49,242)</w:t>
            </w:r>
          </w:p>
        </w:tc>
        <w:tc>
          <w:tcPr>
            <w:tcW w:type="dxa" w:w="1242"/>
            <w:vAlign w:val="center"/>
            <w:tcMar>
              <w:top w:w="80" w:type="dxa"/>
              <w:start w:w="90" w:type="dxa"/>
              <w:bottom w:w="80" w:type="dxa"/>
              <w:end w:w="90" w:type="dxa"/>
            </w:tcMar>
          </w:tcPr>
          <w:p>
            <w:pPr>
              <w:jc w:val="center"/>
            </w:pPr>
            <w:r>
              <w:rPr>
                <w:sz w:val="14"/>
              </w:rPr>
              <w:t>18.2</w:t>
            </w:r>
          </w:p>
        </w:tc>
        <w:tc>
          <w:tcPr>
            <w:tcW w:type="dxa" w:w="1242"/>
            <w:vAlign w:val="center"/>
            <w:tcMar>
              <w:top w:w="80" w:type="dxa"/>
              <w:start w:w="90" w:type="dxa"/>
              <w:bottom w:w="80" w:type="dxa"/>
              <w:end w:w="90" w:type="dxa"/>
            </w:tcMar>
          </w:tcPr>
          <w:p>
            <w:pPr>
              <w:jc w:val="center"/>
            </w:pPr>
            <w:r>
              <w:rPr>
                <w:sz w:val="14"/>
              </w:rPr>
              <w:t>27.28</w:t>
            </w:r>
          </w:p>
        </w:tc>
        <w:tc>
          <w:tcPr>
            <w:tcW w:type="dxa" w:w="1242"/>
            <w:vAlign w:val="center"/>
            <w:tcMar>
              <w:top w:w="80" w:type="dxa"/>
              <w:start w:w="90" w:type="dxa"/>
              <w:bottom w:w="80" w:type="dxa"/>
              <w:end w:w="90" w:type="dxa"/>
            </w:tcMar>
          </w:tcPr>
          <w:p>
            <w:pPr>
              <w:jc w:val="center"/>
            </w:pPr>
            <w:r>
              <w:rPr>
                <w:sz w:val="14"/>
              </w:rPr>
              <w:t>26.42 (22.57-30.86)</w:t>
            </w:r>
          </w:p>
        </w:tc>
        <w:tc>
          <w:tcPr>
            <w:tcW w:type="dxa" w:w="1242"/>
            <w:vAlign w:val="center"/>
            <w:tcMar>
              <w:top w:w="80" w:type="dxa"/>
              <w:start w:w="90" w:type="dxa"/>
              <w:bottom w:w="80" w:type="dxa"/>
              <w:end w:w="90" w:type="dxa"/>
            </w:tcMar>
          </w:tcPr>
          <w:p>
            <w:pPr>
              <w:jc w:val="center"/>
            </w:pPr>
            <w:r>
              <w:rPr>
                <w:sz w:val="14"/>
              </w:rPr>
              <w:t>-0.076</w:t>
            </w:r>
          </w:p>
        </w:tc>
      </w:tr>
      <w:tr>
        <w:trPr>
          <w:cantSplit/>
        </w:trPr>
        <w:tc>
          <w:tcPr>
            <w:tcW w:type="dxa" w:w="1242"/>
            <w:vAlign w:val="center"/>
            <w:tcMar>
              <w:top w:w="80" w:type="dxa"/>
              <w:start w:w="90" w:type="dxa"/>
              <w:bottom w:w="80" w:type="dxa"/>
              <w:end w:w="90" w:type="dxa"/>
            </w:tcMar>
          </w:tcPr>
          <w:p>
            <w:pPr>
              <w:jc w:val="left"/>
            </w:pPr>
            <w:r>
              <w:rPr>
                <w:sz w:val="14"/>
              </w:rPr>
              <w:t>United States</w:t>
            </w:r>
          </w:p>
        </w:tc>
        <w:tc>
          <w:tcPr>
            <w:tcW w:type="dxa" w:w="1242"/>
            <w:vAlign w:val="center"/>
            <w:tcMar>
              <w:top w:w="80" w:type="dxa"/>
              <w:start w:w="90" w:type="dxa"/>
              <w:bottom w:w="80" w:type="dxa"/>
              <w:end w:w="90" w:type="dxa"/>
            </w:tcMar>
          </w:tcPr>
          <w:p>
            <w:pPr>
              <w:jc w:val="center"/>
            </w:pPr>
            <w:r>
              <w:rPr>
                <w:sz w:val="14"/>
              </w:rPr>
              <w:t>Male</w:t>
            </w:r>
          </w:p>
        </w:tc>
        <w:tc>
          <w:tcPr>
            <w:tcW w:type="dxa" w:w="1242"/>
            <w:vAlign w:val="center"/>
            <w:tcMar>
              <w:top w:w="80" w:type="dxa"/>
              <w:start w:w="90" w:type="dxa"/>
              <w:bottom w:w="80" w:type="dxa"/>
              <w:end w:w="90" w:type="dxa"/>
            </w:tcMar>
          </w:tcPr>
          <w:p>
            <w:pPr>
              <w:jc w:val="center"/>
            </w:pPr>
            <w:r>
              <w:rPr>
                <w:sz w:val="14"/>
              </w:rPr>
              <w:t>Prevalence</w:t>
            </w:r>
          </w:p>
        </w:tc>
        <w:tc>
          <w:tcPr>
            <w:tcW w:type="dxa" w:w="1242"/>
            <w:vAlign w:val="center"/>
            <w:tcMar>
              <w:top w:w="80" w:type="dxa"/>
              <w:start w:w="90" w:type="dxa"/>
              <w:bottom w:w="80" w:type="dxa"/>
              <w:end w:w="90" w:type="dxa"/>
            </w:tcMar>
          </w:tcPr>
          <w:p>
            <w:pPr>
              <w:jc w:val="center"/>
            </w:pPr>
            <w:r>
              <w:rPr>
                <w:sz w:val="14"/>
              </w:rPr>
              <w:t>800,475 (674,409-934,021)</w:t>
            </w:r>
          </w:p>
        </w:tc>
        <w:tc>
          <w:tcPr>
            <w:tcW w:type="dxa" w:w="1242"/>
            <w:vAlign w:val="center"/>
            <w:tcMar>
              <w:top w:w="80" w:type="dxa"/>
              <w:start w:w="90" w:type="dxa"/>
              <w:bottom w:w="80" w:type="dxa"/>
              <w:end w:w="90" w:type="dxa"/>
            </w:tcMar>
          </w:tcPr>
          <w:p>
            <w:pPr>
              <w:jc w:val="center"/>
            </w:pPr>
            <w:r>
              <w:rPr>
                <w:sz w:val="14"/>
              </w:rPr>
              <w:t>31.6</w:t>
            </w:r>
          </w:p>
        </w:tc>
        <w:tc>
          <w:tcPr>
            <w:tcW w:type="dxa" w:w="1242"/>
            <w:vAlign w:val="center"/>
            <w:tcMar>
              <w:top w:w="80" w:type="dxa"/>
              <w:start w:w="90" w:type="dxa"/>
              <w:bottom w:w="80" w:type="dxa"/>
              <w:end w:w="90" w:type="dxa"/>
            </w:tcMar>
          </w:tcPr>
          <w:p>
            <w:pPr>
              <w:jc w:val="center"/>
            </w:pPr>
            <w:r>
              <w:rPr>
                <w:sz w:val="14"/>
              </w:rPr>
              <w:t>443.11</w:t>
            </w:r>
          </w:p>
        </w:tc>
        <w:tc>
          <w:tcPr>
            <w:tcW w:type="dxa" w:w="1242"/>
            <w:vAlign w:val="center"/>
            <w:tcMar>
              <w:top w:w="80" w:type="dxa"/>
              <w:start w:w="90" w:type="dxa"/>
              <w:bottom w:w="80" w:type="dxa"/>
              <w:end w:w="90" w:type="dxa"/>
            </w:tcMar>
          </w:tcPr>
          <w:p>
            <w:pPr>
              <w:jc w:val="center"/>
            </w:pPr>
            <w:r>
              <w:rPr>
                <w:sz w:val="14"/>
              </w:rPr>
              <w:t>428.80 (358.33-502.32)</w:t>
            </w:r>
          </w:p>
        </w:tc>
        <w:tc>
          <w:tcPr>
            <w:tcW w:type="dxa" w:w="1242"/>
            <w:vAlign w:val="center"/>
            <w:tcMar>
              <w:top w:w="80" w:type="dxa"/>
              <w:start w:w="90" w:type="dxa"/>
              <w:bottom w:w="80" w:type="dxa"/>
              <w:end w:w="90" w:type="dxa"/>
            </w:tcMar>
          </w:tcPr>
          <w:p>
            <w:pPr>
              <w:jc w:val="center"/>
            </w:pPr>
            <w:r>
              <w:rPr>
                <w:sz w:val="14"/>
              </w:rPr>
              <w:t>-0.079</w:t>
            </w:r>
          </w:p>
        </w:tc>
      </w:tr>
      <w:tr>
        <w:trPr>
          <w:cantSplit/>
        </w:trPr>
        <w:tc>
          <w:tcPr>
            <w:tcW w:type="dxa" w:w="1242"/>
            <w:vAlign w:val="center"/>
            <w:tcMar>
              <w:top w:w="80" w:type="dxa"/>
              <w:start w:w="90" w:type="dxa"/>
              <w:bottom w:w="80" w:type="dxa"/>
              <w:end w:w="90" w:type="dxa"/>
            </w:tcMar>
          </w:tcPr>
          <w:p>
            <w:pPr>
              <w:jc w:val="left"/>
            </w:pPr>
            <w:r>
              <w:rPr>
                <w:sz w:val="14"/>
              </w:rPr>
              <w:t>United States</w:t>
            </w:r>
          </w:p>
        </w:tc>
        <w:tc>
          <w:tcPr>
            <w:tcW w:type="dxa" w:w="1242"/>
            <w:vAlign w:val="center"/>
            <w:tcMar>
              <w:top w:w="80" w:type="dxa"/>
              <w:start w:w="90" w:type="dxa"/>
              <w:bottom w:w="80" w:type="dxa"/>
              <w:end w:w="90" w:type="dxa"/>
            </w:tcMar>
          </w:tcPr>
          <w:p>
            <w:pPr>
              <w:jc w:val="center"/>
            </w:pPr>
            <w:r>
              <w:rPr>
                <w:sz w:val="14"/>
              </w:rPr>
              <w:t>Male</w:t>
            </w:r>
          </w:p>
        </w:tc>
        <w:tc>
          <w:tcPr>
            <w:tcW w:type="dxa" w:w="1242"/>
            <w:vAlign w:val="center"/>
            <w:tcMar>
              <w:top w:w="80" w:type="dxa"/>
              <w:start w:w="90" w:type="dxa"/>
              <w:bottom w:w="80" w:type="dxa"/>
              <w:end w:w="90" w:type="dxa"/>
            </w:tcMar>
          </w:tcPr>
          <w:p>
            <w:pPr>
              <w:jc w:val="center"/>
            </w:pPr>
            <w:r>
              <w:rPr>
                <w:sz w:val="14"/>
              </w:rPr>
              <w:t>DALYs</w:t>
            </w:r>
          </w:p>
        </w:tc>
        <w:tc>
          <w:tcPr>
            <w:tcW w:type="dxa" w:w="1242"/>
            <w:vAlign w:val="center"/>
            <w:tcMar>
              <w:top w:w="80" w:type="dxa"/>
              <w:start w:w="90" w:type="dxa"/>
              <w:bottom w:w="80" w:type="dxa"/>
              <w:end w:w="90" w:type="dxa"/>
            </w:tcMar>
          </w:tcPr>
          <w:p>
            <w:pPr>
              <w:jc w:val="center"/>
            </w:pPr>
            <w:r>
              <w:rPr>
                <w:sz w:val="14"/>
              </w:rPr>
              <w:t>499,087 (362,580-610,406)</w:t>
            </w:r>
          </w:p>
        </w:tc>
        <w:tc>
          <w:tcPr>
            <w:tcW w:type="dxa" w:w="1242"/>
            <w:vAlign w:val="center"/>
            <w:tcMar>
              <w:top w:w="80" w:type="dxa"/>
              <w:start w:w="90" w:type="dxa"/>
              <w:bottom w:w="80" w:type="dxa"/>
              <w:end w:w="90" w:type="dxa"/>
            </w:tcMar>
          </w:tcPr>
          <w:p>
            <w:pPr>
              <w:jc w:val="center"/>
            </w:pPr>
            <w:r>
              <w:rPr>
                <w:sz w:val="14"/>
              </w:rPr>
              <w:t>29.2</w:t>
            </w:r>
          </w:p>
        </w:tc>
        <w:tc>
          <w:tcPr>
            <w:tcW w:type="dxa" w:w="1242"/>
            <w:vAlign w:val="center"/>
            <w:tcMar>
              <w:top w:w="80" w:type="dxa"/>
              <w:start w:w="90" w:type="dxa"/>
              <w:bottom w:w="80" w:type="dxa"/>
              <w:end w:w="90" w:type="dxa"/>
            </w:tcMar>
          </w:tcPr>
          <w:p>
            <w:pPr>
              <w:jc w:val="center"/>
            </w:pPr>
            <w:r>
              <w:rPr>
                <w:sz w:val="14"/>
              </w:rPr>
              <w:t>281.20</w:t>
            </w:r>
          </w:p>
        </w:tc>
        <w:tc>
          <w:tcPr>
            <w:tcW w:type="dxa" w:w="1242"/>
            <w:vAlign w:val="center"/>
            <w:tcMar>
              <w:top w:w="80" w:type="dxa"/>
              <w:start w:w="90" w:type="dxa"/>
              <w:bottom w:w="80" w:type="dxa"/>
              <w:end w:w="90" w:type="dxa"/>
            </w:tcMar>
          </w:tcPr>
          <w:p>
            <w:pPr>
              <w:jc w:val="center"/>
            </w:pPr>
            <w:r>
              <w:rPr>
                <w:sz w:val="14"/>
              </w:rPr>
              <w:t>270.16 (194.75-334.97)</w:t>
            </w:r>
          </w:p>
        </w:tc>
        <w:tc>
          <w:tcPr>
            <w:tcW w:type="dxa" w:w="1242"/>
            <w:vAlign w:val="center"/>
            <w:tcMar>
              <w:top w:w="80" w:type="dxa"/>
              <w:start w:w="90" w:type="dxa"/>
              <w:bottom w:w="80" w:type="dxa"/>
              <w:end w:w="90" w:type="dxa"/>
            </w:tcMar>
          </w:tcPr>
          <w:p>
            <w:pPr>
              <w:jc w:val="center"/>
            </w:pPr>
            <w:r>
              <w:rPr>
                <w:sz w:val="14"/>
              </w:rPr>
              <w:t>-0.109</w:t>
            </w:r>
          </w:p>
        </w:tc>
      </w:tr>
    </w:tbl>
    <w:p/>
    <w:p>
      <w:r>
        <w:t>Quantity denotes incident cases, prevalent cases, or DALYs; DALYs are healthy life-years lost, not people. The 95% UIs apply to native GBD endpoint estimates. Percentage changes and AAPCs are point summaries without propagated posterior uncertainty.</w:t>
      </w:r>
    </w:p>
    <w:p>
      <w:pPr>
        <w:jc w:val="center"/>
      </w:pPr>
      <w:r>
        <w:drawing>
          <wp:inline xmlns:a="http://schemas.openxmlformats.org/drawingml/2006/main" xmlns:pic="http://schemas.openxmlformats.org/drawingml/2006/picture">
            <wp:extent cx="6126480" cy="2001023"/>
            <wp:docPr id="1" name="Picture 1" descr="Three panels showing incidence, prevalence, and DALY age-standardized rate trends by country and sex." title="Three panels showing incidence, prevalence, and DALY age-standardized rate trend"/>
            <wp:cNvGraphicFramePr>
              <a:graphicFrameLocks noChangeAspect="1"/>
            </wp:cNvGraphicFramePr>
            <a:graphic>
              <a:graphicData uri="http://schemas.openxmlformats.org/drawingml/2006/picture">
                <pic:pic>
                  <pic:nvPicPr>
                    <pic:cNvPr id="0" name="figure_1_asr_trends.png"/>
                    <pic:cNvPicPr/>
                  </pic:nvPicPr>
                  <pic:blipFill>
                    <a:blip r:embed="rId10"/>
                    <a:stretch>
                      <a:fillRect/>
                    </a:stretch>
                  </pic:blipFill>
                  <pic:spPr>
                    <a:xfrm>
                      <a:off x="0" y="0"/>
                      <a:ext cx="6126480" cy="2001023"/>
                    </a:xfrm>
                    <a:prstGeom prst="rect"/>
                  </pic:spPr>
                </pic:pic>
              </a:graphicData>
            </a:graphic>
          </wp:inline>
        </w:drawing>
      </w:r>
    </w:p>
    <w:p>
      <w:pPr>
        <w:spacing w:after="200"/>
        <w:jc w:val="left"/>
      </w:pPr>
      <w:r>
        <w:rPr>
          <w:b/>
        </w:rPr>
        <w:t xml:space="preserve">Figure 1. </w:t>
      </w:r>
      <w:r>
        <w:t>Sex-specific schizophrenia age-standardized rates in China and the United States, 1990-2023. Shading shows native 95% GBD uncertainty intervals.</w:t>
      </w:r>
    </w:p>
    <w:p>
      <w:pPr>
        <w:pStyle w:val="Heading2"/>
      </w:pPr>
      <w:r>
        <w:t>Segmented trends and descriptive comparisons</w:t>
      </w:r>
    </w:p>
    <w:p>
      <w:r>
        <w:t>BIC-selected segmented curves summarized nonlinear features of the annual posterior means. Lag-1 residual diagnostics flagged material autocorrelation in 8 of 12 panels. No change point, slope, or between-group contrast was interpreted as a significance test.</w:t>
      </w:r>
    </w:p>
    <w:p>
      <w:r>
        <w:rPr>
          <w:b/>
        </w:rPr>
        <w:t>Table 2.</w:t>
      </w:r>
      <w:r>
        <w:t xml:space="preserve"> Prespecified descriptive trajectory contrasts</w:t>
      </w:r>
    </w:p>
    <w:tbl>
      <w:tblPr>
        <w:tblStyle w:val="TableGrid"/>
        <w:tblW w:type="auto" w:w="0"/>
        <w:jc w:val="center"/>
        <w:tblLook w:firstColumn="1" w:firstRow="1" w:lastColumn="0" w:lastRow="0" w:noHBand="0" w:noVBand="1" w:val="04A0"/>
      </w:tblPr>
      <w:tblGrid>
        <w:gridCol w:w="1104"/>
        <w:gridCol w:w="1104"/>
        <w:gridCol w:w="1104"/>
        <w:gridCol w:w="1104"/>
        <w:gridCol w:w="1104"/>
        <w:gridCol w:w="1104"/>
        <w:gridCol w:w="1104"/>
        <w:gridCol w:w="1104"/>
        <w:gridCol w:w="1104"/>
      </w:tblGrid>
      <w:tr>
        <w:trPr>
          <w:tblHeader w:val="true"/>
        </w:trPr>
        <w:tc>
          <w:tcPr>
            <w:tcW w:type="dxa" w:w="1104"/>
            <w:shd w:fill="1F4E78"/>
            <w:tcMar>
              <w:top w:w="80" w:type="dxa"/>
              <w:start w:w="90" w:type="dxa"/>
              <w:bottom w:w="80" w:type="dxa"/>
              <w:end w:w="90" w:type="dxa"/>
            </w:tcMar>
            <w:vAlign w:val="center"/>
          </w:tcPr>
          <w:p>
            <w:pPr>
              <w:jc w:val="center"/>
            </w:pPr>
            <w:r>
              <w:rPr>
                <w:b/>
                <w:color w:val="FFFFFF"/>
                <w:sz w:val="14"/>
              </w:rPr>
              <w:t>Family</w:t>
            </w:r>
          </w:p>
        </w:tc>
        <w:tc>
          <w:tcPr>
            <w:tcW w:type="dxa" w:w="1104"/>
            <w:shd w:fill="1F4E78"/>
            <w:tcMar>
              <w:top w:w="80" w:type="dxa"/>
              <w:start w:w="90" w:type="dxa"/>
              <w:bottom w:w="80" w:type="dxa"/>
              <w:end w:w="90" w:type="dxa"/>
            </w:tcMar>
            <w:vAlign w:val="center"/>
          </w:tcPr>
          <w:p>
            <w:pPr>
              <w:jc w:val="center"/>
            </w:pPr>
            <w:r>
              <w:rPr>
                <w:b/>
                <w:color w:val="FFFFFF"/>
                <w:sz w:val="14"/>
              </w:rPr>
              <w:t>Stratum</w:t>
            </w:r>
          </w:p>
        </w:tc>
        <w:tc>
          <w:tcPr>
            <w:tcW w:type="dxa" w:w="1104"/>
            <w:shd w:fill="1F4E78"/>
            <w:tcMar>
              <w:top w:w="80" w:type="dxa"/>
              <w:start w:w="90" w:type="dxa"/>
              <w:bottom w:w="80" w:type="dxa"/>
              <w:end w:w="90" w:type="dxa"/>
            </w:tcMar>
            <w:vAlign w:val="center"/>
          </w:tcPr>
          <w:p>
            <w:pPr>
              <w:jc w:val="center"/>
            </w:pPr>
            <w:r>
              <w:rPr>
                <w:b/>
                <w:color w:val="FFFFFF"/>
                <w:sz w:val="14"/>
              </w:rPr>
              <w:t>Outcome</w:t>
            </w:r>
          </w:p>
        </w:tc>
        <w:tc>
          <w:tcPr>
            <w:tcW w:type="dxa" w:w="1104"/>
            <w:shd w:fill="1F4E78"/>
            <w:tcMar>
              <w:top w:w="80" w:type="dxa"/>
              <w:start w:w="90" w:type="dxa"/>
              <w:bottom w:w="80" w:type="dxa"/>
              <w:end w:w="90" w:type="dxa"/>
            </w:tcMar>
            <w:vAlign w:val="center"/>
          </w:tcPr>
          <w:p>
            <w:pPr>
              <w:jc w:val="center"/>
            </w:pPr>
            <w:r>
              <w:rPr>
                <w:b/>
                <w:color w:val="FFFFFF"/>
                <w:sz w:val="14"/>
              </w:rPr>
              <w:t>Comparison</w:t>
            </w:r>
          </w:p>
        </w:tc>
        <w:tc>
          <w:tcPr>
            <w:tcW w:type="dxa" w:w="1104"/>
            <w:shd w:fill="1F4E78"/>
            <w:tcMar>
              <w:top w:w="80" w:type="dxa"/>
              <w:start w:w="90" w:type="dxa"/>
              <w:bottom w:w="80" w:type="dxa"/>
              <w:end w:w="90" w:type="dxa"/>
            </w:tcMar>
            <w:vAlign w:val="center"/>
          </w:tcPr>
          <w:p>
            <w:pPr>
              <w:jc w:val="center"/>
            </w:pPr>
            <w:r>
              <w:rPr>
                <w:b/>
                <w:color w:val="FFFFFF"/>
                <w:sz w:val="14"/>
              </w:rPr>
              <w:t>Group A annualized change, %/year</w:t>
            </w:r>
          </w:p>
        </w:tc>
        <w:tc>
          <w:tcPr>
            <w:tcW w:type="dxa" w:w="1104"/>
            <w:shd w:fill="1F4E78"/>
            <w:tcMar>
              <w:top w:w="80" w:type="dxa"/>
              <w:start w:w="90" w:type="dxa"/>
              <w:bottom w:w="80" w:type="dxa"/>
              <w:end w:w="90" w:type="dxa"/>
            </w:tcMar>
            <w:vAlign w:val="center"/>
          </w:tcPr>
          <w:p>
            <w:pPr>
              <w:jc w:val="center"/>
            </w:pPr>
            <w:r>
              <w:rPr>
                <w:b/>
                <w:color w:val="FFFFFF"/>
                <w:sz w:val="14"/>
              </w:rPr>
              <w:t>Group B annualized change, %/year</w:t>
            </w:r>
          </w:p>
        </w:tc>
        <w:tc>
          <w:tcPr>
            <w:tcW w:type="dxa" w:w="1104"/>
            <w:shd w:fill="1F4E78"/>
            <w:tcMar>
              <w:top w:w="80" w:type="dxa"/>
              <w:start w:w="90" w:type="dxa"/>
              <w:bottom w:w="80" w:type="dxa"/>
              <w:end w:w="90" w:type="dxa"/>
            </w:tcMar>
            <w:vAlign w:val="center"/>
          </w:tcPr>
          <w:p>
            <w:pPr>
              <w:jc w:val="center"/>
            </w:pPr>
            <w:r>
              <w:rPr>
                <w:b/>
                <w:color w:val="FFFFFF"/>
                <w:sz w:val="14"/>
              </w:rPr>
              <w:t>Difference, B-A</w:t>
            </w:r>
          </w:p>
        </w:tc>
        <w:tc>
          <w:tcPr>
            <w:tcW w:type="dxa" w:w="1104"/>
            <w:shd w:fill="1F4E78"/>
            <w:tcMar>
              <w:top w:w="80" w:type="dxa"/>
              <w:start w:w="90" w:type="dxa"/>
              <w:bottom w:w="80" w:type="dxa"/>
              <w:end w:w="90" w:type="dxa"/>
            </w:tcMar>
            <w:vAlign w:val="center"/>
          </w:tcPr>
          <w:p>
            <w:pPr>
              <w:jc w:val="center"/>
            </w:pPr>
            <w:r>
              <w:rPr>
                <w:b/>
                <w:color w:val="FFFFFF"/>
                <w:sz w:val="14"/>
              </w:rPr>
              <w:t>Annual-change correlation</w:t>
            </w:r>
          </w:p>
        </w:tc>
        <w:tc>
          <w:tcPr>
            <w:tcW w:type="dxa" w:w="1104"/>
            <w:shd w:fill="1F4E78"/>
            <w:tcMar>
              <w:top w:w="80" w:type="dxa"/>
              <w:start w:w="90" w:type="dxa"/>
              <w:bottom w:w="80" w:type="dxa"/>
              <w:end w:w="90" w:type="dxa"/>
            </w:tcMar>
            <w:vAlign w:val="center"/>
          </w:tcPr>
          <w:p>
            <w:pPr>
              <w:jc w:val="center"/>
            </w:pPr>
            <w:r>
              <w:rPr>
                <w:b/>
                <w:color w:val="FFFFFF"/>
                <w:sz w:val="14"/>
              </w:rPr>
              <w:t>Same direction</w:t>
            </w:r>
          </w:p>
        </w:tc>
      </w:tr>
      <w:tr>
        <w:trPr>
          <w:cantSplit/>
        </w:trPr>
        <w:tc>
          <w:tcPr>
            <w:tcW w:type="dxa" w:w="1104"/>
            <w:vAlign w:val="center"/>
            <w:tcMar>
              <w:top w:w="80" w:type="dxa"/>
              <w:start w:w="90" w:type="dxa"/>
              <w:bottom w:w="80" w:type="dxa"/>
              <w:end w:w="90" w:type="dxa"/>
            </w:tcMar>
          </w:tcPr>
          <w:p>
            <w:pPr>
              <w:jc w:val="left"/>
            </w:pPr>
            <w:r>
              <w:rPr>
                <w:sz w:val="14"/>
              </w:rPr>
              <w:t>country</w:t>
            </w:r>
          </w:p>
        </w:tc>
        <w:tc>
          <w:tcPr>
            <w:tcW w:type="dxa" w:w="1104"/>
            <w:vAlign w:val="center"/>
            <w:tcMar>
              <w:top w:w="80" w:type="dxa"/>
              <w:start w:w="90" w:type="dxa"/>
              <w:bottom w:w="80" w:type="dxa"/>
              <w:end w:w="90" w:type="dxa"/>
            </w:tcMar>
          </w:tcPr>
          <w:p>
            <w:pPr>
              <w:jc w:val="center"/>
            </w:pPr>
            <w:r>
              <w:rPr>
                <w:sz w:val="14"/>
              </w:rPr>
              <w:t>Female</w:t>
            </w:r>
          </w:p>
        </w:tc>
        <w:tc>
          <w:tcPr>
            <w:tcW w:type="dxa" w:w="1104"/>
            <w:vAlign w:val="center"/>
            <w:tcMar>
              <w:top w:w="80" w:type="dxa"/>
              <w:start w:w="90" w:type="dxa"/>
              <w:bottom w:w="80" w:type="dxa"/>
              <w:end w:w="90" w:type="dxa"/>
            </w:tcMar>
          </w:tcPr>
          <w:p>
            <w:pPr>
              <w:jc w:val="center"/>
            </w:pPr>
            <w:r>
              <w:rPr>
                <w:sz w:val="14"/>
              </w:rPr>
              <w:t>Incidence</w:t>
            </w:r>
          </w:p>
        </w:tc>
        <w:tc>
          <w:tcPr>
            <w:tcW w:type="dxa" w:w="1104"/>
            <w:vAlign w:val="center"/>
            <w:tcMar>
              <w:top w:w="80" w:type="dxa"/>
              <w:start w:w="90" w:type="dxa"/>
              <w:bottom w:w="80" w:type="dxa"/>
              <w:end w:w="90" w:type="dxa"/>
            </w:tcMar>
          </w:tcPr>
          <w:p>
            <w:pPr>
              <w:jc w:val="center"/>
            </w:pPr>
            <w:r>
              <w:rPr>
                <w:sz w:val="14"/>
              </w:rPr>
              <w:t>China vs United States</w:t>
            </w:r>
          </w:p>
        </w:tc>
        <w:tc>
          <w:tcPr>
            <w:tcW w:type="dxa" w:w="1104"/>
            <w:vAlign w:val="center"/>
            <w:tcMar>
              <w:top w:w="80" w:type="dxa"/>
              <w:start w:w="90" w:type="dxa"/>
              <w:bottom w:w="80" w:type="dxa"/>
              <w:end w:w="90" w:type="dxa"/>
            </w:tcMar>
          </w:tcPr>
          <w:p>
            <w:pPr>
              <w:jc w:val="center"/>
            </w:pPr>
            <w:r>
              <w:rPr>
                <w:sz w:val="14"/>
              </w:rPr>
              <w:t>0.013</w:t>
            </w:r>
          </w:p>
        </w:tc>
        <w:tc>
          <w:tcPr>
            <w:tcW w:type="dxa" w:w="1104"/>
            <w:vAlign w:val="center"/>
            <w:tcMar>
              <w:top w:w="80" w:type="dxa"/>
              <w:start w:w="90" w:type="dxa"/>
              <w:bottom w:w="80" w:type="dxa"/>
              <w:end w:w="90" w:type="dxa"/>
            </w:tcMar>
          </w:tcPr>
          <w:p>
            <w:pPr>
              <w:jc w:val="center"/>
            </w:pPr>
            <w:r>
              <w:rPr>
                <w:sz w:val="14"/>
              </w:rPr>
              <w:t>-0.193</w:t>
            </w:r>
          </w:p>
        </w:tc>
        <w:tc>
          <w:tcPr>
            <w:tcW w:type="dxa" w:w="1104"/>
            <w:vAlign w:val="center"/>
            <w:tcMar>
              <w:top w:w="80" w:type="dxa"/>
              <w:start w:w="90" w:type="dxa"/>
              <w:bottom w:w="80" w:type="dxa"/>
              <w:end w:w="90" w:type="dxa"/>
            </w:tcMar>
          </w:tcPr>
          <w:p>
            <w:pPr>
              <w:jc w:val="center"/>
            </w:pPr>
            <w:r>
              <w:rPr>
                <w:sz w:val="14"/>
              </w:rPr>
              <w:t>-0.206</w:t>
            </w:r>
          </w:p>
        </w:tc>
        <w:tc>
          <w:tcPr>
            <w:tcW w:type="dxa" w:w="1104"/>
            <w:vAlign w:val="center"/>
            <w:tcMar>
              <w:top w:w="80" w:type="dxa"/>
              <w:start w:w="90" w:type="dxa"/>
              <w:bottom w:w="80" w:type="dxa"/>
              <w:end w:w="90" w:type="dxa"/>
            </w:tcMar>
          </w:tcPr>
          <w:p>
            <w:pPr>
              <w:jc w:val="center"/>
            </w:pPr>
            <w:r>
              <w:rPr>
                <w:sz w:val="14"/>
              </w:rPr>
              <w:t>0.543</w:t>
            </w:r>
          </w:p>
        </w:tc>
        <w:tc>
          <w:tcPr>
            <w:tcW w:type="dxa" w:w="1104"/>
            <w:vAlign w:val="center"/>
            <w:tcMar>
              <w:top w:w="80" w:type="dxa"/>
              <w:start w:w="90" w:type="dxa"/>
              <w:bottom w:w="80" w:type="dxa"/>
              <w:end w:w="90" w:type="dxa"/>
            </w:tcMar>
          </w:tcPr>
          <w:p>
            <w:pPr>
              <w:jc w:val="center"/>
            </w:pPr>
            <w:r>
              <w:rPr>
                <w:sz w:val="14"/>
              </w:rPr>
              <w:t>No</w:t>
            </w:r>
          </w:p>
        </w:tc>
      </w:tr>
      <w:tr>
        <w:trPr>
          <w:cantSplit/>
        </w:trPr>
        <w:tc>
          <w:tcPr>
            <w:tcW w:type="dxa" w:w="1104"/>
            <w:vAlign w:val="center"/>
            <w:tcMar>
              <w:top w:w="80" w:type="dxa"/>
              <w:start w:w="90" w:type="dxa"/>
              <w:bottom w:w="80" w:type="dxa"/>
              <w:end w:w="90" w:type="dxa"/>
            </w:tcMar>
          </w:tcPr>
          <w:p>
            <w:pPr>
              <w:jc w:val="left"/>
            </w:pPr>
            <w:r>
              <w:rPr>
                <w:sz w:val="14"/>
              </w:rPr>
              <w:t>country</w:t>
            </w:r>
          </w:p>
        </w:tc>
        <w:tc>
          <w:tcPr>
            <w:tcW w:type="dxa" w:w="1104"/>
            <w:vAlign w:val="center"/>
            <w:tcMar>
              <w:top w:w="80" w:type="dxa"/>
              <w:start w:w="90" w:type="dxa"/>
              <w:bottom w:w="80" w:type="dxa"/>
              <w:end w:w="90" w:type="dxa"/>
            </w:tcMar>
          </w:tcPr>
          <w:p>
            <w:pPr>
              <w:jc w:val="center"/>
            </w:pPr>
            <w:r>
              <w:rPr>
                <w:sz w:val="14"/>
              </w:rPr>
              <w:t>Female</w:t>
            </w:r>
          </w:p>
        </w:tc>
        <w:tc>
          <w:tcPr>
            <w:tcW w:type="dxa" w:w="1104"/>
            <w:vAlign w:val="center"/>
            <w:tcMar>
              <w:top w:w="80" w:type="dxa"/>
              <w:start w:w="90" w:type="dxa"/>
              <w:bottom w:w="80" w:type="dxa"/>
              <w:end w:w="90" w:type="dxa"/>
            </w:tcMar>
          </w:tcPr>
          <w:p>
            <w:pPr>
              <w:jc w:val="center"/>
            </w:pPr>
            <w:r>
              <w:rPr>
                <w:sz w:val="14"/>
              </w:rPr>
              <w:t>Prevalence</w:t>
            </w:r>
          </w:p>
        </w:tc>
        <w:tc>
          <w:tcPr>
            <w:tcW w:type="dxa" w:w="1104"/>
            <w:vAlign w:val="center"/>
            <w:tcMar>
              <w:top w:w="80" w:type="dxa"/>
              <w:start w:w="90" w:type="dxa"/>
              <w:bottom w:w="80" w:type="dxa"/>
              <w:end w:w="90" w:type="dxa"/>
            </w:tcMar>
          </w:tcPr>
          <w:p>
            <w:pPr>
              <w:jc w:val="center"/>
            </w:pPr>
            <w:r>
              <w:rPr>
                <w:sz w:val="14"/>
              </w:rPr>
              <w:t>China vs United States</w:t>
            </w:r>
          </w:p>
        </w:tc>
        <w:tc>
          <w:tcPr>
            <w:tcW w:type="dxa" w:w="1104"/>
            <w:vAlign w:val="center"/>
            <w:tcMar>
              <w:top w:w="80" w:type="dxa"/>
              <w:start w:w="90" w:type="dxa"/>
              <w:bottom w:w="80" w:type="dxa"/>
              <w:end w:w="90" w:type="dxa"/>
            </w:tcMar>
          </w:tcPr>
          <w:p>
            <w:pPr>
              <w:jc w:val="center"/>
            </w:pPr>
            <w:r>
              <w:rPr>
                <w:sz w:val="14"/>
              </w:rPr>
              <w:t>0.021</w:t>
            </w:r>
          </w:p>
        </w:tc>
        <w:tc>
          <w:tcPr>
            <w:tcW w:type="dxa" w:w="1104"/>
            <w:vAlign w:val="center"/>
            <w:tcMar>
              <w:top w:w="80" w:type="dxa"/>
              <w:start w:w="90" w:type="dxa"/>
              <w:bottom w:w="80" w:type="dxa"/>
              <w:end w:w="90" w:type="dxa"/>
            </w:tcMar>
          </w:tcPr>
          <w:p>
            <w:pPr>
              <w:jc w:val="center"/>
            </w:pPr>
            <w:r>
              <w:rPr>
                <w:sz w:val="14"/>
              </w:rPr>
              <w:t>-0.231</w:t>
            </w:r>
          </w:p>
        </w:tc>
        <w:tc>
          <w:tcPr>
            <w:tcW w:type="dxa" w:w="1104"/>
            <w:vAlign w:val="center"/>
            <w:tcMar>
              <w:top w:w="80" w:type="dxa"/>
              <w:start w:w="90" w:type="dxa"/>
              <w:bottom w:w="80" w:type="dxa"/>
              <w:end w:w="90" w:type="dxa"/>
            </w:tcMar>
          </w:tcPr>
          <w:p>
            <w:pPr>
              <w:jc w:val="center"/>
            </w:pPr>
            <w:r>
              <w:rPr>
                <w:sz w:val="14"/>
              </w:rPr>
              <w:t>-0.252</w:t>
            </w:r>
          </w:p>
        </w:tc>
        <w:tc>
          <w:tcPr>
            <w:tcW w:type="dxa" w:w="1104"/>
            <w:vAlign w:val="center"/>
            <w:tcMar>
              <w:top w:w="80" w:type="dxa"/>
              <w:start w:w="90" w:type="dxa"/>
              <w:bottom w:w="80" w:type="dxa"/>
              <w:end w:w="90" w:type="dxa"/>
            </w:tcMar>
          </w:tcPr>
          <w:p>
            <w:pPr>
              <w:jc w:val="center"/>
            </w:pPr>
            <w:r>
              <w:rPr>
                <w:sz w:val="14"/>
              </w:rPr>
              <w:t>-0.330</w:t>
            </w:r>
          </w:p>
        </w:tc>
        <w:tc>
          <w:tcPr>
            <w:tcW w:type="dxa" w:w="1104"/>
            <w:vAlign w:val="center"/>
            <w:tcMar>
              <w:top w:w="80" w:type="dxa"/>
              <w:start w:w="90" w:type="dxa"/>
              <w:bottom w:w="80" w:type="dxa"/>
              <w:end w:w="90" w:type="dxa"/>
            </w:tcMar>
          </w:tcPr>
          <w:p>
            <w:pPr>
              <w:jc w:val="center"/>
            </w:pPr>
            <w:r>
              <w:rPr>
                <w:sz w:val="14"/>
              </w:rPr>
              <w:t>No</w:t>
            </w:r>
          </w:p>
        </w:tc>
      </w:tr>
      <w:tr>
        <w:trPr>
          <w:cantSplit/>
        </w:trPr>
        <w:tc>
          <w:tcPr>
            <w:tcW w:type="dxa" w:w="1104"/>
            <w:vAlign w:val="center"/>
            <w:tcMar>
              <w:top w:w="80" w:type="dxa"/>
              <w:start w:w="90" w:type="dxa"/>
              <w:bottom w:w="80" w:type="dxa"/>
              <w:end w:w="90" w:type="dxa"/>
            </w:tcMar>
          </w:tcPr>
          <w:p>
            <w:pPr>
              <w:jc w:val="left"/>
            </w:pPr>
            <w:r>
              <w:rPr>
                <w:sz w:val="14"/>
              </w:rPr>
              <w:t>country</w:t>
            </w:r>
          </w:p>
        </w:tc>
        <w:tc>
          <w:tcPr>
            <w:tcW w:type="dxa" w:w="1104"/>
            <w:vAlign w:val="center"/>
            <w:tcMar>
              <w:top w:w="80" w:type="dxa"/>
              <w:start w:w="90" w:type="dxa"/>
              <w:bottom w:w="80" w:type="dxa"/>
              <w:end w:w="90" w:type="dxa"/>
            </w:tcMar>
          </w:tcPr>
          <w:p>
            <w:pPr>
              <w:jc w:val="center"/>
            </w:pPr>
            <w:r>
              <w:rPr>
                <w:sz w:val="14"/>
              </w:rPr>
              <w:t>Female</w:t>
            </w:r>
          </w:p>
        </w:tc>
        <w:tc>
          <w:tcPr>
            <w:tcW w:type="dxa" w:w="1104"/>
            <w:vAlign w:val="center"/>
            <w:tcMar>
              <w:top w:w="80" w:type="dxa"/>
              <w:start w:w="90" w:type="dxa"/>
              <w:bottom w:w="80" w:type="dxa"/>
              <w:end w:w="90" w:type="dxa"/>
            </w:tcMar>
          </w:tcPr>
          <w:p>
            <w:pPr>
              <w:jc w:val="center"/>
            </w:pPr>
            <w:r>
              <w:rPr>
                <w:sz w:val="14"/>
              </w:rPr>
              <w:t>DALYs</w:t>
            </w:r>
          </w:p>
        </w:tc>
        <w:tc>
          <w:tcPr>
            <w:tcW w:type="dxa" w:w="1104"/>
            <w:vAlign w:val="center"/>
            <w:tcMar>
              <w:top w:w="80" w:type="dxa"/>
              <w:start w:w="90" w:type="dxa"/>
              <w:bottom w:w="80" w:type="dxa"/>
              <w:end w:w="90" w:type="dxa"/>
            </w:tcMar>
          </w:tcPr>
          <w:p>
            <w:pPr>
              <w:jc w:val="center"/>
            </w:pPr>
            <w:r>
              <w:rPr>
                <w:sz w:val="14"/>
              </w:rPr>
              <w:t>China vs United States</w:t>
            </w:r>
          </w:p>
        </w:tc>
        <w:tc>
          <w:tcPr>
            <w:tcW w:type="dxa" w:w="1104"/>
            <w:vAlign w:val="center"/>
            <w:tcMar>
              <w:top w:w="80" w:type="dxa"/>
              <w:start w:w="90" w:type="dxa"/>
              <w:bottom w:w="80" w:type="dxa"/>
              <w:end w:w="90" w:type="dxa"/>
            </w:tcMar>
          </w:tcPr>
          <w:p>
            <w:pPr>
              <w:jc w:val="center"/>
            </w:pPr>
            <w:r>
              <w:rPr>
                <w:sz w:val="14"/>
              </w:rPr>
              <w:t>0.040</w:t>
            </w:r>
          </w:p>
        </w:tc>
        <w:tc>
          <w:tcPr>
            <w:tcW w:type="dxa" w:w="1104"/>
            <w:vAlign w:val="center"/>
            <w:tcMar>
              <w:top w:w="80" w:type="dxa"/>
              <w:start w:w="90" w:type="dxa"/>
              <w:bottom w:w="80" w:type="dxa"/>
              <w:end w:w="90" w:type="dxa"/>
            </w:tcMar>
          </w:tcPr>
          <w:p>
            <w:pPr>
              <w:jc w:val="center"/>
            </w:pPr>
            <w:r>
              <w:rPr>
                <w:sz w:val="14"/>
              </w:rPr>
              <w:t>-0.253</w:t>
            </w:r>
          </w:p>
        </w:tc>
        <w:tc>
          <w:tcPr>
            <w:tcW w:type="dxa" w:w="1104"/>
            <w:vAlign w:val="center"/>
            <w:tcMar>
              <w:top w:w="80" w:type="dxa"/>
              <w:start w:w="90" w:type="dxa"/>
              <w:bottom w:w="80" w:type="dxa"/>
              <w:end w:w="90" w:type="dxa"/>
            </w:tcMar>
          </w:tcPr>
          <w:p>
            <w:pPr>
              <w:jc w:val="center"/>
            </w:pPr>
            <w:r>
              <w:rPr>
                <w:sz w:val="14"/>
              </w:rPr>
              <w:t>-0.293</w:t>
            </w:r>
          </w:p>
        </w:tc>
        <w:tc>
          <w:tcPr>
            <w:tcW w:type="dxa" w:w="1104"/>
            <w:vAlign w:val="center"/>
            <w:tcMar>
              <w:top w:w="80" w:type="dxa"/>
              <w:start w:w="90" w:type="dxa"/>
              <w:bottom w:w="80" w:type="dxa"/>
              <w:end w:w="90" w:type="dxa"/>
            </w:tcMar>
          </w:tcPr>
          <w:p>
            <w:pPr>
              <w:jc w:val="center"/>
            </w:pPr>
            <w:r>
              <w:rPr>
                <w:sz w:val="14"/>
              </w:rPr>
              <w:t>0.083</w:t>
            </w:r>
          </w:p>
        </w:tc>
        <w:tc>
          <w:tcPr>
            <w:tcW w:type="dxa" w:w="1104"/>
            <w:vAlign w:val="center"/>
            <w:tcMar>
              <w:top w:w="80" w:type="dxa"/>
              <w:start w:w="90" w:type="dxa"/>
              <w:bottom w:w="80" w:type="dxa"/>
              <w:end w:w="90" w:type="dxa"/>
            </w:tcMar>
          </w:tcPr>
          <w:p>
            <w:pPr>
              <w:jc w:val="center"/>
            </w:pPr>
            <w:r>
              <w:rPr>
                <w:sz w:val="14"/>
              </w:rPr>
              <w:t>No</w:t>
            </w:r>
          </w:p>
        </w:tc>
      </w:tr>
      <w:tr>
        <w:trPr>
          <w:cantSplit/>
        </w:trPr>
        <w:tc>
          <w:tcPr>
            <w:tcW w:type="dxa" w:w="1104"/>
            <w:vAlign w:val="center"/>
            <w:tcMar>
              <w:top w:w="80" w:type="dxa"/>
              <w:start w:w="90" w:type="dxa"/>
              <w:bottom w:w="80" w:type="dxa"/>
              <w:end w:w="90" w:type="dxa"/>
            </w:tcMar>
          </w:tcPr>
          <w:p>
            <w:pPr>
              <w:jc w:val="left"/>
            </w:pPr>
            <w:r>
              <w:rPr>
                <w:sz w:val="14"/>
              </w:rPr>
              <w:t>country</w:t>
            </w:r>
          </w:p>
        </w:tc>
        <w:tc>
          <w:tcPr>
            <w:tcW w:type="dxa" w:w="1104"/>
            <w:vAlign w:val="center"/>
            <w:tcMar>
              <w:top w:w="80" w:type="dxa"/>
              <w:start w:w="90" w:type="dxa"/>
              <w:bottom w:w="80" w:type="dxa"/>
              <w:end w:w="90" w:type="dxa"/>
            </w:tcMar>
          </w:tcPr>
          <w:p>
            <w:pPr>
              <w:jc w:val="center"/>
            </w:pPr>
            <w:r>
              <w:rPr>
                <w:sz w:val="14"/>
              </w:rPr>
              <w:t>Male</w:t>
            </w:r>
          </w:p>
        </w:tc>
        <w:tc>
          <w:tcPr>
            <w:tcW w:type="dxa" w:w="1104"/>
            <w:vAlign w:val="center"/>
            <w:tcMar>
              <w:top w:w="80" w:type="dxa"/>
              <w:start w:w="90" w:type="dxa"/>
              <w:bottom w:w="80" w:type="dxa"/>
              <w:end w:w="90" w:type="dxa"/>
            </w:tcMar>
          </w:tcPr>
          <w:p>
            <w:pPr>
              <w:jc w:val="center"/>
            </w:pPr>
            <w:r>
              <w:rPr>
                <w:sz w:val="14"/>
              </w:rPr>
              <w:t>Incidence</w:t>
            </w:r>
          </w:p>
        </w:tc>
        <w:tc>
          <w:tcPr>
            <w:tcW w:type="dxa" w:w="1104"/>
            <w:vAlign w:val="center"/>
            <w:tcMar>
              <w:top w:w="80" w:type="dxa"/>
              <w:start w:w="90" w:type="dxa"/>
              <w:bottom w:w="80" w:type="dxa"/>
              <w:end w:w="90" w:type="dxa"/>
            </w:tcMar>
          </w:tcPr>
          <w:p>
            <w:pPr>
              <w:jc w:val="center"/>
            </w:pPr>
            <w:r>
              <w:rPr>
                <w:sz w:val="14"/>
              </w:rPr>
              <w:t>China vs United States</w:t>
            </w:r>
          </w:p>
        </w:tc>
        <w:tc>
          <w:tcPr>
            <w:tcW w:type="dxa" w:w="1104"/>
            <w:vAlign w:val="center"/>
            <w:tcMar>
              <w:top w:w="80" w:type="dxa"/>
              <w:start w:w="90" w:type="dxa"/>
              <w:bottom w:w="80" w:type="dxa"/>
              <w:end w:w="90" w:type="dxa"/>
            </w:tcMar>
          </w:tcPr>
          <w:p>
            <w:pPr>
              <w:jc w:val="center"/>
            </w:pPr>
            <w:r>
              <w:rPr>
                <w:sz w:val="14"/>
              </w:rPr>
              <w:t>-0.001</w:t>
            </w:r>
          </w:p>
        </w:tc>
        <w:tc>
          <w:tcPr>
            <w:tcW w:type="dxa" w:w="1104"/>
            <w:vAlign w:val="center"/>
            <w:tcMar>
              <w:top w:w="80" w:type="dxa"/>
              <w:start w:w="90" w:type="dxa"/>
              <w:bottom w:w="80" w:type="dxa"/>
              <w:end w:w="90" w:type="dxa"/>
            </w:tcMar>
          </w:tcPr>
          <w:p>
            <w:pPr>
              <w:jc w:val="center"/>
            </w:pPr>
            <w:r>
              <w:rPr>
                <w:sz w:val="14"/>
              </w:rPr>
              <w:t>-0.097</w:t>
            </w:r>
          </w:p>
        </w:tc>
        <w:tc>
          <w:tcPr>
            <w:tcW w:type="dxa" w:w="1104"/>
            <w:vAlign w:val="center"/>
            <w:tcMar>
              <w:top w:w="80" w:type="dxa"/>
              <w:start w:w="90" w:type="dxa"/>
              <w:bottom w:w="80" w:type="dxa"/>
              <w:end w:w="90" w:type="dxa"/>
            </w:tcMar>
          </w:tcPr>
          <w:p>
            <w:pPr>
              <w:jc w:val="center"/>
            </w:pPr>
            <w:r>
              <w:rPr>
                <w:sz w:val="14"/>
              </w:rPr>
              <w:t>-0.095</w:t>
            </w:r>
          </w:p>
        </w:tc>
        <w:tc>
          <w:tcPr>
            <w:tcW w:type="dxa" w:w="1104"/>
            <w:vAlign w:val="center"/>
            <w:tcMar>
              <w:top w:w="80" w:type="dxa"/>
              <w:start w:w="90" w:type="dxa"/>
              <w:bottom w:w="80" w:type="dxa"/>
              <w:end w:w="90" w:type="dxa"/>
            </w:tcMar>
          </w:tcPr>
          <w:p>
            <w:pPr>
              <w:jc w:val="center"/>
            </w:pPr>
            <w:r>
              <w:rPr>
                <w:sz w:val="14"/>
              </w:rPr>
              <w:t>0.415</w:t>
            </w:r>
          </w:p>
        </w:tc>
        <w:tc>
          <w:tcPr>
            <w:tcW w:type="dxa" w:w="1104"/>
            <w:vAlign w:val="center"/>
            <w:tcMar>
              <w:top w:w="80" w:type="dxa"/>
              <w:start w:w="90" w:type="dxa"/>
              <w:bottom w:w="80" w:type="dxa"/>
              <w:end w:w="90" w:type="dxa"/>
            </w:tcMar>
          </w:tcPr>
          <w:p>
            <w:pPr>
              <w:jc w:val="center"/>
            </w:pPr>
            <w:r>
              <w:rPr>
                <w:sz w:val="14"/>
              </w:rPr>
              <w:t>Yes</w:t>
            </w:r>
          </w:p>
        </w:tc>
      </w:tr>
      <w:tr>
        <w:trPr>
          <w:cantSplit/>
        </w:trPr>
        <w:tc>
          <w:tcPr>
            <w:tcW w:type="dxa" w:w="1104"/>
            <w:vAlign w:val="center"/>
            <w:tcMar>
              <w:top w:w="80" w:type="dxa"/>
              <w:start w:w="90" w:type="dxa"/>
              <w:bottom w:w="80" w:type="dxa"/>
              <w:end w:w="90" w:type="dxa"/>
            </w:tcMar>
          </w:tcPr>
          <w:p>
            <w:pPr>
              <w:jc w:val="left"/>
            </w:pPr>
            <w:r>
              <w:rPr>
                <w:sz w:val="14"/>
              </w:rPr>
              <w:t>country</w:t>
            </w:r>
          </w:p>
        </w:tc>
        <w:tc>
          <w:tcPr>
            <w:tcW w:type="dxa" w:w="1104"/>
            <w:vAlign w:val="center"/>
            <w:tcMar>
              <w:top w:w="80" w:type="dxa"/>
              <w:start w:w="90" w:type="dxa"/>
              <w:bottom w:w="80" w:type="dxa"/>
              <w:end w:w="90" w:type="dxa"/>
            </w:tcMar>
          </w:tcPr>
          <w:p>
            <w:pPr>
              <w:jc w:val="center"/>
            </w:pPr>
            <w:r>
              <w:rPr>
                <w:sz w:val="14"/>
              </w:rPr>
              <w:t>Male</w:t>
            </w:r>
          </w:p>
        </w:tc>
        <w:tc>
          <w:tcPr>
            <w:tcW w:type="dxa" w:w="1104"/>
            <w:vAlign w:val="center"/>
            <w:tcMar>
              <w:top w:w="80" w:type="dxa"/>
              <w:start w:w="90" w:type="dxa"/>
              <w:bottom w:w="80" w:type="dxa"/>
              <w:end w:w="90" w:type="dxa"/>
            </w:tcMar>
          </w:tcPr>
          <w:p>
            <w:pPr>
              <w:jc w:val="center"/>
            </w:pPr>
            <w:r>
              <w:rPr>
                <w:sz w:val="14"/>
              </w:rPr>
              <w:t>Prevalence</w:t>
            </w:r>
          </w:p>
        </w:tc>
        <w:tc>
          <w:tcPr>
            <w:tcW w:type="dxa" w:w="1104"/>
            <w:vAlign w:val="center"/>
            <w:tcMar>
              <w:top w:w="80" w:type="dxa"/>
              <w:start w:w="90" w:type="dxa"/>
              <w:bottom w:w="80" w:type="dxa"/>
              <w:end w:w="90" w:type="dxa"/>
            </w:tcMar>
          </w:tcPr>
          <w:p>
            <w:pPr>
              <w:jc w:val="center"/>
            </w:pPr>
            <w:r>
              <w:rPr>
                <w:sz w:val="14"/>
              </w:rPr>
              <w:t>China vs United States</w:t>
            </w:r>
          </w:p>
        </w:tc>
        <w:tc>
          <w:tcPr>
            <w:tcW w:type="dxa" w:w="1104"/>
            <w:vAlign w:val="center"/>
            <w:tcMar>
              <w:top w:w="80" w:type="dxa"/>
              <w:start w:w="90" w:type="dxa"/>
              <w:bottom w:w="80" w:type="dxa"/>
              <w:end w:w="90" w:type="dxa"/>
            </w:tcMar>
          </w:tcPr>
          <w:p>
            <w:pPr>
              <w:jc w:val="center"/>
            </w:pPr>
            <w:r>
              <w:rPr>
                <w:sz w:val="14"/>
              </w:rPr>
              <w:t>0.018</w:t>
            </w:r>
          </w:p>
        </w:tc>
        <w:tc>
          <w:tcPr>
            <w:tcW w:type="dxa" w:w="1104"/>
            <w:vAlign w:val="center"/>
            <w:tcMar>
              <w:top w:w="80" w:type="dxa"/>
              <w:start w:w="90" w:type="dxa"/>
              <w:bottom w:w="80" w:type="dxa"/>
              <w:end w:w="90" w:type="dxa"/>
            </w:tcMar>
          </w:tcPr>
          <w:p>
            <w:pPr>
              <w:jc w:val="center"/>
            </w:pPr>
            <w:r>
              <w:rPr>
                <w:sz w:val="14"/>
              </w:rPr>
              <w:t>-0.099</w:t>
            </w:r>
          </w:p>
        </w:tc>
        <w:tc>
          <w:tcPr>
            <w:tcW w:type="dxa" w:w="1104"/>
            <w:vAlign w:val="center"/>
            <w:tcMar>
              <w:top w:w="80" w:type="dxa"/>
              <w:start w:w="90" w:type="dxa"/>
              <w:bottom w:w="80" w:type="dxa"/>
              <w:end w:w="90" w:type="dxa"/>
            </w:tcMar>
          </w:tcPr>
          <w:p>
            <w:pPr>
              <w:jc w:val="center"/>
            </w:pPr>
            <w:r>
              <w:rPr>
                <w:sz w:val="14"/>
              </w:rPr>
              <w:t>-0.118</w:t>
            </w:r>
          </w:p>
        </w:tc>
        <w:tc>
          <w:tcPr>
            <w:tcW w:type="dxa" w:w="1104"/>
            <w:vAlign w:val="center"/>
            <w:tcMar>
              <w:top w:w="80" w:type="dxa"/>
              <w:start w:w="90" w:type="dxa"/>
              <w:bottom w:w="80" w:type="dxa"/>
              <w:end w:w="90" w:type="dxa"/>
            </w:tcMar>
          </w:tcPr>
          <w:p>
            <w:pPr>
              <w:jc w:val="center"/>
            </w:pPr>
            <w:r>
              <w:rPr>
                <w:sz w:val="14"/>
              </w:rPr>
              <w:t>0.234</w:t>
            </w:r>
          </w:p>
        </w:tc>
        <w:tc>
          <w:tcPr>
            <w:tcW w:type="dxa" w:w="1104"/>
            <w:vAlign w:val="center"/>
            <w:tcMar>
              <w:top w:w="80" w:type="dxa"/>
              <w:start w:w="90" w:type="dxa"/>
              <w:bottom w:w="80" w:type="dxa"/>
              <w:end w:w="90" w:type="dxa"/>
            </w:tcMar>
          </w:tcPr>
          <w:p>
            <w:pPr>
              <w:jc w:val="center"/>
            </w:pPr>
            <w:r>
              <w:rPr>
                <w:sz w:val="14"/>
              </w:rPr>
              <w:t>No</w:t>
            </w:r>
          </w:p>
        </w:tc>
      </w:tr>
      <w:tr>
        <w:trPr>
          <w:cantSplit/>
        </w:trPr>
        <w:tc>
          <w:tcPr>
            <w:tcW w:type="dxa" w:w="1104"/>
            <w:vAlign w:val="center"/>
            <w:tcMar>
              <w:top w:w="80" w:type="dxa"/>
              <w:start w:w="90" w:type="dxa"/>
              <w:bottom w:w="80" w:type="dxa"/>
              <w:end w:w="90" w:type="dxa"/>
            </w:tcMar>
          </w:tcPr>
          <w:p>
            <w:pPr>
              <w:jc w:val="left"/>
            </w:pPr>
            <w:r>
              <w:rPr>
                <w:sz w:val="14"/>
              </w:rPr>
              <w:t>country</w:t>
            </w:r>
          </w:p>
        </w:tc>
        <w:tc>
          <w:tcPr>
            <w:tcW w:type="dxa" w:w="1104"/>
            <w:vAlign w:val="center"/>
            <w:tcMar>
              <w:top w:w="80" w:type="dxa"/>
              <w:start w:w="90" w:type="dxa"/>
              <w:bottom w:w="80" w:type="dxa"/>
              <w:end w:w="90" w:type="dxa"/>
            </w:tcMar>
          </w:tcPr>
          <w:p>
            <w:pPr>
              <w:jc w:val="center"/>
            </w:pPr>
            <w:r>
              <w:rPr>
                <w:sz w:val="14"/>
              </w:rPr>
              <w:t>Male</w:t>
            </w:r>
          </w:p>
        </w:tc>
        <w:tc>
          <w:tcPr>
            <w:tcW w:type="dxa" w:w="1104"/>
            <w:vAlign w:val="center"/>
            <w:tcMar>
              <w:top w:w="80" w:type="dxa"/>
              <w:start w:w="90" w:type="dxa"/>
              <w:bottom w:w="80" w:type="dxa"/>
              <w:end w:w="90" w:type="dxa"/>
            </w:tcMar>
          </w:tcPr>
          <w:p>
            <w:pPr>
              <w:jc w:val="center"/>
            </w:pPr>
            <w:r>
              <w:rPr>
                <w:sz w:val="14"/>
              </w:rPr>
              <w:t>DALYs</w:t>
            </w:r>
          </w:p>
        </w:tc>
        <w:tc>
          <w:tcPr>
            <w:tcW w:type="dxa" w:w="1104"/>
            <w:vAlign w:val="center"/>
            <w:tcMar>
              <w:top w:w="80" w:type="dxa"/>
              <w:start w:w="90" w:type="dxa"/>
              <w:bottom w:w="80" w:type="dxa"/>
              <w:end w:w="90" w:type="dxa"/>
            </w:tcMar>
          </w:tcPr>
          <w:p>
            <w:pPr>
              <w:jc w:val="center"/>
            </w:pPr>
            <w:r>
              <w:rPr>
                <w:sz w:val="14"/>
              </w:rPr>
              <w:t>China vs United States</w:t>
            </w:r>
          </w:p>
        </w:tc>
        <w:tc>
          <w:tcPr>
            <w:tcW w:type="dxa" w:w="1104"/>
            <w:vAlign w:val="center"/>
            <w:tcMar>
              <w:top w:w="80" w:type="dxa"/>
              <w:start w:w="90" w:type="dxa"/>
              <w:bottom w:w="80" w:type="dxa"/>
              <w:end w:w="90" w:type="dxa"/>
            </w:tcMar>
          </w:tcPr>
          <w:p>
            <w:pPr>
              <w:jc w:val="center"/>
            </w:pPr>
            <w:r>
              <w:rPr>
                <w:sz w:val="14"/>
              </w:rPr>
              <w:t>0.028</w:t>
            </w:r>
          </w:p>
        </w:tc>
        <w:tc>
          <w:tcPr>
            <w:tcW w:type="dxa" w:w="1104"/>
            <w:vAlign w:val="center"/>
            <w:tcMar>
              <w:top w:w="80" w:type="dxa"/>
              <w:start w:w="90" w:type="dxa"/>
              <w:bottom w:w="80" w:type="dxa"/>
              <w:end w:w="90" w:type="dxa"/>
            </w:tcMar>
          </w:tcPr>
          <w:p>
            <w:pPr>
              <w:jc w:val="center"/>
            </w:pPr>
            <w:r>
              <w:rPr>
                <w:sz w:val="14"/>
              </w:rPr>
              <w:t>-0.121</w:t>
            </w:r>
          </w:p>
        </w:tc>
        <w:tc>
          <w:tcPr>
            <w:tcW w:type="dxa" w:w="1104"/>
            <w:vAlign w:val="center"/>
            <w:tcMar>
              <w:top w:w="80" w:type="dxa"/>
              <w:start w:w="90" w:type="dxa"/>
              <w:bottom w:w="80" w:type="dxa"/>
              <w:end w:w="90" w:type="dxa"/>
            </w:tcMar>
          </w:tcPr>
          <w:p>
            <w:pPr>
              <w:jc w:val="center"/>
            </w:pPr>
            <w:r>
              <w:rPr>
                <w:sz w:val="14"/>
              </w:rPr>
              <w:t>-0.149</w:t>
            </w:r>
          </w:p>
        </w:tc>
        <w:tc>
          <w:tcPr>
            <w:tcW w:type="dxa" w:w="1104"/>
            <w:vAlign w:val="center"/>
            <w:tcMar>
              <w:top w:w="80" w:type="dxa"/>
              <w:start w:w="90" w:type="dxa"/>
              <w:bottom w:w="80" w:type="dxa"/>
              <w:end w:w="90" w:type="dxa"/>
            </w:tcMar>
          </w:tcPr>
          <w:p>
            <w:pPr>
              <w:jc w:val="center"/>
            </w:pPr>
            <w:r>
              <w:rPr>
                <w:sz w:val="14"/>
              </w:rPr>
              <w:t>0.214</w:t>
            </w:r>
          </w:p>
        </w:tc>
        <w:tc>
          <w:tcPr>
            <w:tcW w:type="dxa" w:w="1104"/>
            <w:vAlign w:val="center"/>
            <w:tcMar>
              <w:top w:w="80" w:type="dxa"/>
              <w:start w:w="90" w:type="dxa"/>
              <w:bottom w:w="80" w:type="dxa"/>
              <w:end w:w="90" w:type="dxa"/>
            </w:tcMar>
          </w:tcPr>
          <w:p>
            <w:pPr>
              <w:jc w:val="center"/>
            </w:pPr>
            <w:r>
              <w:rPr>
                <w:sz w:val="14"/>
              </w:rPr>
              <w:t>No</w:t>
            </w:r>
          </w:p>
        </w:tc>
      </w:tr>
      <w:tr>
        <w:trPr>
          <w:cantSplit/>
        </w:trPr>
        <w:tc>
          <w:tcPr>
            <w:tcW w:type="dxa" w:w="1104"/>
            <w:vAlign w:val="center"/>
            <w:tcMar>
              <w:top w:w="80" w:type="dxa"/>
              <w:start w:w="90" w:type="dxa"/>
              <w:bottom w:w="80" w:type="dxa"/>
              <w:end w:w="90" w:type="dxa"/>
            </w:tcMar>
          </w:tcPr>
          <w:p>
            <w:pPr>
              <w:jc w:val="left"/>
            </w:pPr>
            <w:r>
              <w:rPr>
                <w:sz w:val="14"/>
              </w:rPr>
              <w:t>sex</w:t>
            </w:r>
          </w:p>
        </w:tc>
        <w:tc>
          <w:tcPr>
            <w:tcW w:type="dxa" w:w="1104"/>
            <w:vAlign w:val="center"/>
            <w:tcMar>
              <w:top w:w="80" w:type="dxa"/>
              <w:start w:w="90" w:type="dxa"/>
              <w:bottom w:w="80" w:type="dxa"/>
              <w:end w:w="90" w:type="dxa"/>
            </w:tcMar>
          </w:tcPr>
          <w:p>
            <w:pPr>
              <w:jc w:val="center"/>
            </w:pPr>
            <w:r>
              <w:rPr>
                <w:sz w:val="14"/>
              </w:rPr>
              <w:t>China</w:t>
            </w:r>
          </w:p>
        </w:tc>
        <w:tc>
          <w:tcPr>
            <w:tcW w:type="dxa" w:w="1104"/>
            <w:vAlign w:val="center"/>
            <w:tcMar>
              <w:top w:w="80" w:type="dxa"/>
              <w:start w:w="90" w:type="dxa"/>
              <w:bottom w:w="80" w:type="dxa"/>
              <w:end w:w="90" w:type="dxa"/>
            </w:tcMar>
          </w:tcPr>
          <w:p>
            <w:pPr>
              <w:jc w:val="center"/>
            </w:pPr>
            <w:r>
              <w:rPr>
                <w:sz w:val="14"/>
              </w:rPr>
              <w:t>Incidence</w:t>
            </w:r>
          </w:p>
        </w:tc>
        <w:tc>
          <w:tcPr>
            <w:tcW w:type="dxa" w:w="1104"/>
            <w:vAlign w:val="center"/>
            <w:tcMar>
              <w:top w:w="80" w:type="dxa"/>
              <w:start w:w="90" w:type="dxa"/>
              <w:bottom w:w="80" w:type="dxa"/>
              <w:end w:w="90" w:type="dxa"/>
            </w:tcMar>
          </w:tcPr>
          <w:p>
            <w:pPr>
              <w:jc w:val="center"/>
            </w:pPr>
            <w:r>
              <w:rPr>
                <w:sz w:val="14"/>
              </w:rPr>
              <w:t>Female vs Male</w:t>
            </w:r>
          </w:p>
        </w:tc>
        <w:tc>
          <w:tcPr>
            <w:tcW w:type="dxa" w:w="1104"/>
            <w:vAlign w:val="center"/>
            <w:tcMar>
              <w:top w:w="80" w:type="dxa"/>
              <w:start w:w="90" w:type="dxa"/>
              <w:bottom w:w="80" w:type="dxa"/>
              <w:end w:w="90" w:type="dxa"/>
            </w:tcMar>
          </w:tcPr>
          <w:p>
            <w:pPr>
              <w:jc w:val="center"/>
            </w:pPr>
            <w:r>
              <w:rPr>
                <w:sz w:val="14"/>
              </w:rPr>
              <w:t>0.013</w:t>
            </w:r>
          </w:p>
        </w:tc>
        <w:tc>
          <w:tcPr>
            <w:tcW w:type="dxa" w:w="1104"/>
            <w:vAlign w:val="center"/>
            <w:tcMar>
              <w:top w:w="80" w:type="dxa"/>
              <w:start w:w="90" w:type="dxa"/>
              <w:bottom w:w="80" w:type="dxa"/>
              <w:end w:w="90" w:type="dxa"/>
            </w:tcMar>
          </w:tcPr>
          <w:p>
            <w:pPr>
              <w:jc w:val="center"/>
            </w:pPr>
            <w:r>
              <w:rPr>
                <w:sz w:val="14"/>
              </w:rPr>
              <w:t>-0.001</w:t>
            </w:r>
          </w:p>
        </w:tc>
        <w:tc>
          <w:tcPr>
            <w:tcW w:type="dxa" w:w="1104"/>
            <w:vAlign w:val="center"/>
            <w:tcMar>
              <w:top w:w="80" w:type="dxa"/>
              <w:start w:w="90" w:type="dxa"/>
              <w:bottom w:w="80" w:type="dxa"/>
              <w:end w:w="90" w:type="dxa"/>
            </w:tcMar>
          </w:tcPr>
          <w:p>
            <w:pPr>
              <w:jc w:val="center"/>
            </w:pPr>
            <w:r>
              <w:rPr>
                <w:sz w:val="14"/>
              </w:rPr>
              <w:t>-0.014</w:t>
            </w:r>
          </w:p>
        </w:tc>
        <w:tc>
          <w:tcPr>
            <w:tcW w:type="dxa" w:w="1104"/>
            <w:vAlign w:val="center"/>
            <w:tcMar>
              <w:top w:w="80" w:type="dxa"/>
              <w:start w:w="90" w:type="dxa"/>
              <w:bottom w:w="80" w:type="dxa"/>
              <w:end w:w="90" w:type="dxa"/>
            </w:tcMar>
          </w:tcPr>
          <w:p>
            <w:pPr>
              <w:jc w:val="center"/>
            </w:pPr>
            <w:r>
              <w:rPr>
                <w:sz w:val="14"/>
              </w:rPr>
              <w:t>0.785</w:t>
            </w:r>
          </w:p>
        </w:tc>
        <w:tc>
          <w:tcPr>
            <w:tcW w:type="dxa" w:w="1104"/>
            <w:vAlign w:val="center"/>
            <w:tcMar>
              <w:top w:w="80" w:type="dxa"/>
              <w:start w:w="90" w:type="dxa"/>
              <w:bottom w:w="80" w:type="dxa"/>
              <w:end w:w="90" w:type="dxa"/>
            </w:tcMar>
          </w:tcPr>
          <w:p>
            <w:pPr>
              <w:jc w:val="center"/>
            </w:pPr>
            <w:r>
              <w:rPr>
                <w:sz w:val="14"/>
              </w:rPr>
              <w:t>No</w:t>
            </w:r>
          </w:p>
        </w:tc>
      </w:tr>
      <w:tr>
        <w:trPr>
          <w:cantSplit/>
        </w:trPr>
        <w:tc>
          <w:tcPr>
            <w:tcW w:type="dxa" w:w="1104"/>
            <w:vAlign w:val="center"/>
            <w:tcMar>
              <w:top w:w="80" w:type="dxa"/>
              <w:start w:w="90" w:type="dxa"/>
              <w:bottom w:w="80" w:type="dxa"/>
              <w:end w:w="90" w:type="dxa"/>
            </w:tcMar>
          </w:tcPr>
          <w:p>
            <w:pPr>
              <w:jc w:val="left"/>
            </w:pPr>
            <w:r>
              <w:rPr>
                <w:sz w:val="14"/>
              </w:rPr>
              <w:t>sex</w:t>
            </w:r>
          </w:p>
        </w:tc>
        <w:tc>
          <w:tcPr>
            <w:tcW w:type="dxa" w:w="1104"/>
            <w:vAlign w:val="center"/>
            <w:tcMar>
              <w:top w:w="80" w:type="dxa"/>
              <w:start w:w="90" w:type="dxa"/>
              <w:bottom w:w="80" w:type="dxa"/>
              <w:end w:w="90" w:type="dxa"/>
            </w:tcMar>
          </w:tcPr>
          <w:p>
            <w:pPr>
              <w:jc w:val="center"/>
            </w:pPr>
            <w:r>
              <w:rPr>
                <w:sz w:val="14"/>
              </w:rPr>
              <w:t>China</w:t>
            </w:r>
          </w:p>
        </w:tc>
        <w:tc>
          <w:tcPr>
            <w:tcW w:type="dxa" w:w="1104"/>
            <w:vAlign w:val="center"/>
            <w:tcMar>
              <w:top w:w="80" w:type="dxa"/>
              <w:start w:w="90" w:type="dxa"/>
              <w:bottom w:w="80" w:type="dxa"/>
              <w:end w:w="90" w:type="dxa"/>
            </w:tcMar>
          </w:tcPr>
          <w:p>
            <w:pPr>
              <w:jc w:val="center"/>
            </w:pPr>
            <w:r>
              <w:rPr>
                <w:sz w:val="14"/>
              </w:rPr>
              <w:t>Prevalence</w:t>
            </w:r>
          </w:p>
        </w:tc>
        <w:tc>
          <w:tcPr>
            <w:tcW w:type="dxa" w:w="1104"/>
            <w:vAlign w:val="center"/>
            <w:tcMar>
              <w:top w:w="80" w:type="dxa"/>
              <w:start w:w="90" w:type="dxa"/>
              <w:bottom w:w="80" w:type="dxa"/>
              <w:end w:w="90" w:type="dxa"/>
            </w:tcMar>
          </w:tcPr>
          <w:p>
            <w:pPr>
              <w:jc w:val="center"/>
            </w:pPr>
            <w:r>
              <w:rPr>
                <w:sz w:val="14"/>
              </w:rPr>
              <w:t>Female vs Male</w:t>
            </w:r>
          </w:p>
        </w:tc>
        <w:tc>
          <w:tcPr>
            <w:tcW w:type="dxa" w:w="1104"/>
            <w:vAlign w:val="center"/>
            <w:tcMar>
              <w:top w:w="80" w:type="dxa"/>
              <w:start w:w="90" w:type="dxa"/>
              <w:bottom w:w="80" w:type="dxa"/>
              <w:end w:w="90" w:type="dxa"/>
            </w:tcMar>
          </w:tcPr>
          <w:p>
            <w:pPr>
              <w:jc w:val="center"/>
            </w:pPr>
            <w:r>
              <w:rPr>
                <w:sz w:val="14"/>
              </w:rPr>
              <w:t>0.021</w:t>
            </w:r>
          </w:p>
        </w:tc>
        <w:tc>
          <w:tcPr>
            <w:tcW w:type="dxa" w:w="1104"/>
            <w:vAlign w:val="center"/>
            <w:tcMar>
              <w:top w:w="80" w:type="dxa"/>
              <w:start w:w="90" w:type="dxa"/>
              <w:bottom w:w="80" w:type="dxa"/>
              <w:end w:w="90" w:type="dxa"/>
            </w:tcMar>
          </w:tcPr>
          <w:p>
            <w:pPr>
              <w:jc w:val="center"/>
            </w:pPr>
            <w:r>
              <w:rPr>
                <w:sz w:val="14"/>
              </w:rPr>
              <w:t>0.018</w:t>
            </w:r>
          </w:p>
        </w:tc>
        <w:tc>
          <w:tcPr>
            <w:tcW w:type="dxa" w:w="1104"/>
            <w:vAlign w:val="center"/>
            <w:tcMar>
              <w:top w:w="80" w:type="dxa"/>
              <w:start w:w="90" w:type="dxa"/>
              <w:bottom w:w="80" w:type="dxa"/>
              <w:end w:w="90" w:type="dxa"/>
            </w:tcMar>
          </w:tcPr>
          <w:p>
            <w:pPr>
              <w:jc w:val="center"/>
            </w:pPr>
            <w:r>
              <w:rPr>
                <w:sz w:val="14"/>
              </w:rPr>
              <w:t>-0.003</w:t>
            </w:r>
          </w:p>
        </w:tc>
        <w:tc>
          <w:tcPr>
            <w:tcW w:type="dxa" w:w="1104"/>
            <w:vAlign w:val="center"/>
            <w:tcMar>
              <w:top w:w="80" w:type="dxa"/>
              <w:start w:w="90" w:type="dxa"/>
              <w:bottom w:w="80" w:type="dxa"/>
              <w:end w:w="90" w:type="dxa"/>
            </w:tcMar>
          </w:tcPr>
          <w:p>
            <w:pPr>
              <w:jc w:val="center"/>
            </w:pPr>
            <w:r>
              <w:rPr>
                <w:sz w:val="14"/>
              </w:rPr>
              <w:t>0.445</w:t>
            </w:r>
          </w:p>
        </w:tc>
        <w:tc>
          <w:tcPr>
            <w:tcW w:type="dxa" w:w="1104"/>
            <w:vAlign w:val="center"/>
            <w:tcMar>
              <w:top w:w="80" w:type="dxa"/>
              <w:start w:w="90" w:type="dxa"/>
              <w:bottom w:w="80" w:type="dxa"/>
              <w:end w:w="90" w:type="dxa"/>
            </w:tcMar>
          </w:tcPr>
          <w:p>
            <w:pPr>
              <w:jc w:val="center"/>
            </w:pPr>
            <w:r>
              <w:rPr>
                <w:sz w:val="14"/>
              </w:rPr>
              <w:t>Yes</w:t>
            </w:r>
          </w:p>
        </w:tc>
      </w:tr>
      <w:tr>
        <w:trPr>
          <w:cantSplit/>
        </w:trPr>
        <w:tc>
          <w:tcPr>
            <w:tcW w:type="dxa" w:w="1104"/>
            <w:vAlign w:val="center"/>
            <w:tcMar>
              <w:top w:w="80" w:type="dxa"/>
              <w:start w:w="90" w:type="dxa"/>
              <w:bottom w:w="80" w:type="dxa"/>
              <w:end w:w="90" w:type="dxa"/>
            </w:tcMar>
          </w:tcPr>
          <w:p>
            <w:pPr>
              <w:jc w:val="left"/>
            </w:pPr>
            <w:r>
              <w:rPr>
                <w:sz w:val="14"/>
              </w:rPr>
              <w:t>sex</w:t>
            </w:r>
          </w:p>
        </w:tc>
        <w:tc>
          <w:tcPr>
            <w:tcW w:type="dxa" w:w="1104"/>
            <w:vAlign w:val="center"/>
            <w:tcMar>
              <w:top w:w="80" w:type="dxa"/>
              <w:start w:w="90" w:type="dxa"/>
              <w:bottom w:w="80" w:type="dxa"/>
              <w:end w:w="90" w:type="dxa"/>
            </w:tcMar>
          </w:tcPr>
          <w:p>
            <w:pPr>
              <w:jc w:val="center"/>
            </w:pPr>
            <w:r>
              <w:rPr>
                <w:sz w:val="14"/>
              </w:rPr>
              <w:t>China</w:t>
            </w:r>
          </w:p>
        </w:tc>
        <w:tc>
          <w:tcPr>
            <w:tcW w:type="dxa" w:w="1104"/>
            <w:vAlign w:val="center"/>
            <w:tcMar>
              <w:top w:w="80" w:type="dxa"/>
              <w:start w:w="90" w:type="dxa"/>
              <w:bottom w:w="80" w:type="dxa"/>
              <w:end w:w="90" w:type="dxa"/>
            </w:tcMar>
          </w:tcPr>
          <w:p>
            <w:pPr>
              <w:jc w:val="center"/>
            </w:pPr>
            <w:r>
              <w:rPr>
                <w:sz w:val="14"/>
              </w:rPr>
              <w:t>DALYs</w:t>
            </w:r>
          </w:p>
        </w:tc>
        <w:tc>
          <w:tcPr>
            <w:tcW w:type="dxa" w:w="1104"/>
            <w:vAlign w:val="center"/>
            <w:tcMar>
              <w:top w:w="80" w:type="dxa"/>
              <w:start w:w="90" w:type="dxa"/>
              <w:bottom w:w="80" w:type="dxa"/>
              <w:end w:w="90" w:type="dxa"/>
            </w:tcMar>
          </w:tcPr>
          <w:p>
            <w:pPr>
              <w:jc w:val="center"/>
            </w:pPr>
            <w:r>
              <w:rPr>
                <w:sz w:val="14"/>
              </w:rPr>
              <w:t>Female vs Male</w:t>
            </w:r>
          </w:p>
        </w:tc>
        <w:tc>
          <w:tcPr>
            <w:tcW w:type="dxa" w:w="1104"/>
            <w:vAlign w:val="center"/>
            <w:tcMar>
              <w:top w:w="80" w:type="dxa"/>
              <w:start w:w="90" w:type="dxa"/>
              <w:bottom w:w="80" w:type="dxa"/>
              <w:end w:w="90" w:type="dxa"/>
            </w:tcMar>
          </w:tcPr>
          <w:p>
            <w:pPr>
              <w:jc w:val="center"/>
            </w:pPr>
            <w:r>
              <w:rPr>
                <w:sz w:val="14"/>
              </w:rPr>
              <w:t>0.040</w:t>
            </w:r>
          </w:p>
        </w:tc>
        <w:tc>
          <w:tcPr>
            <w:tcW w:type="dxa" w:w="1104"/>
            <w:vAlign w:val="center"/>
            <w:tcMar>
              <w:top w:w="80" w:type="dxa"/>
              <w:start w:w="90" w:type="dxa"/>
              <w:bottom w:w="80" w:type="dxa"/>
              <w:end w:w="90" w:type="dxa"/>
            </w:tcMar>
          </w:tcPr>
          <w:p>
            <w:pPr>
              <w:jc w:val="center"/>
            </w:pPr>
            <w:r>
              <w:rPr>
                <w:sz w:val="14"/>
              </w:rPr>
              <w:t>0.028</w:t>
            </w:r>
          </w:p>
        </w:tc>
        <w:tc>
          <w:tcPr>
            <w:tcW w:type="dxa" w:w="1104"/>
            <w:vAlign w:val="center"/>
            <w:tcMar>
              <w:top w:w="80" w:type="dxa"/>
              <w:start w:w="90" w:type="dxa"/>
              <w:bottom w:w="80" w:type="dxa"/>
              <w:end w:w="90" w:type="dxa"/>
            </w:tcMar>
          </w:tcPr>
          <w:p>
            <w:pPr>
              <w:jc w:val="center"/>
            </w:pPr>
            <w:r>
              <w:rPr>
                <w:sz w:val="14"/>
              </w:rPr>
              <w:t>-0.013</w:t>
            </w:r>
          </w:p>
        </w:tc>
        <w:tc>
          <w:tcPr>
            <w:tcW w:type="dxa" w:w="1104"/>
            <w:vAlign w:val="center"/>
            <w:tcMar>
              <w:top w:w="80" w:type="dxa"/>
              <w:start w:w="90" w:type="dxa"/>
              <w:bottom w:w="80" w:type="dxa"/>
              <w:end w:w="90" w:type="dxa"/>
            </w:tcMar>
          </w:tcPr>
          <w:p>
            <w:pPr>
              <w:jc w:val="center"/>
            </w:pPr>
            <w:r>
              <w:rPr>
                <w:sz w:val="14"/>
              </w:rPr>
              <w:t>0.361</w:t>
            </w:r>
          </w:p>
        </w:tc>
        <w:tc>
          <w:tcPr>
            <w:tcW w:type="dxa" w:w="1104"/>
            <w:vAlign w:val="center"/>
            <w:tcMar>
              <w:top w:w="80" w:type="dxa"/>
              <w:start w:w="90" w:type="dxa"/>
              <w:bottom w:w="80" w:type="dxa"/>
              <w:end w:w="90" w:type="dxa"/>
            </w:tcMar>
          </w:tcPr>
          <w:p>
            <w:pPr>
              <w:jc w:val="center"/>
            </w:pPr>
            <w:r>
              <w:rPr>
                <w:sz w:val="14"/>
              </w:rPr>
              <w:t>Yes</w:t>
            </w:r>
          </w:p>
        </w:tc>
      </w:tr>
      <w:tr>
        <w:trPr>
          <w:cantSplit/>
        </w:trPr>
        <w:tc>
          <w:tcPr>
            <w:tcW w:type="dxa" w:w="1104"/>
            <w:vAlign w:val="center"/>
            <w:tcMar>
              <w:top w:w="80" w:type="dxa"/>
              <w:start w:w="90" w:type="dxa"/>
              <w:bottom w:w="80" w:type="dxa"/>
              <w:end w:w="90" w:type="dxa"/>
            </w:tcMar>
          </w:tcPr>
          <w:p>
            <w:pPr>
              <w:jc w:val="left"/>
            </w:pPr>
            <w:r>
              <w:rPr>
                <w:sz w:val="14"/>
              </w:rPr>
              <w:t>sex</w:t>
            </w:r>
          </w:p>
        </w:tc>
        <w:tc>
          <w:tcPr>
            <w:tcW w:type="dxa" w:w="1104"/>
            <w:vAlign w:val="center"/>
            <w:tcMar>
              <w:top w:w="80" w:type="dxa"/>
              <w:start w:w="90" w:type="dxa"/>
              <w:bottom w:w="80" w:type="dxa"/>
              <w:end w:w="90" w:type="dxa"/>
            </w:tcMar>
          </w:tcPr>
          <w:p>
            <w:pPr>
              <w:jc w:val="center"/>
            </w:pPr>
            <w:r>
              <w:rPr>
                <w:sz w:val="14"/>
              </w:rPr>
              <w:t>United States</w:t>
            </w:r>
          </w:p>
        </w:tc>
        <w:tc>
          <w:tcPr>
            <w:tcW w:type="dxa" w:w="1104"/>
            <w:vAlign w:val="center"/>
            <w:tcMar>
              <w:top w:w="80" w:type="dxa"/>
              <w:start w:w="90" w:type="dxa"/>
              <w:bottom w:w="80" w:type="dxa"/>
              <w:end w:w="90" w:type="dxa"/>
            </w:tcMar>
          </w:tcPr>
          <w:p>
            <w:pPr>
              <w:jc w:val="center"/>
            </w:pPr>
            <w:r>
              <w:rPr>
                <w:sz w:val="14"/>
              </w:rPr>
              <w:t>Incidence</w:t>
            </w:r>
          </w:p>
        </w:tc>
        <w:tc>
          <w:tcPr>
            <w:tcW w:type="dxa" w:w="1104"/>
            <w:vAlign w:val="center"/>
            <w:tcMar>
              <w:top w:w="80" w:type="dxa"/>
              <w:start w:w="90" w:type="dxa"/>
              <w:bottom w:w="80" w:type="dxa"/>
              <w:end w:w="90" w:type="dxa"/>
            </w:tcMar>
          </w:tcPr>
          <w:p>
            <w:pPr>
              <w:jc w:val="center"/>
            </w:pPr>
            <w:r>
              <w:rPr>
                <w:sz w:val="14"/>
              </w:rPr>
              <w:t>Female vs Male</w:t>
            </w:r>
          </w:p>
        </w:tc>
        <w:tc>
          <w:tcPr>
            <w:tcW w:type="dxa" w:w="1104"/>
            <w:vAlign w:val="center"/>
            <w:tcMar>
              <w:top w:w="80" w:type="dxa"/>
              <w:start w:w="90" w:type="dxa"/>
              <w:bottom w:w="80" w:type="dxa"/>
              <w:end w:w="90" w:type="dxa"/>
            </w:tcMar>
          </w:tcPr>
          <w:p>
            <w:pPr>
              <w:jc w:val="center"/>
            </w:pPr>
            <w:r>
              <w:rPr>
                <w:sz w:val="14"/>
              </w:rPr>
              <w:t>-0.193</w:t>
            </w:r>
          </w:p>
        </w:tc>
        <w:tc>
          <w:tcPr>
            <w:tcW w:type="dxa" w:w="1104"/>
            <w:vAlign w:val="center"/>
            <w:tcMar>
              <w:top w:w="80" w:type="dxa"/>
              <w:start w:w="90" w:type="dxa"/>
              <w:bottom w:w="80" w:type="dxa"/>
              <w:end w:w="90" w:type="dxa"/>
            </w:tcMar>
          </w:tcPr>
          <w:p>
            <w:pPr>
              <w:jc w:val="center"/>
            </w:pPr>
            <w:r>
              <w:rPr>
                <w:sz w:val="14"/>
              </w:rPr>
              <w:t>-0.097</w:t>
            </w:r>
          </w:p>
        </w:tc>
        <w:tc>
          <w:tcPr>
            <w:tcW w:type="dxa" w:w="1104"/>
            <w:vAlign w:val="center"/>
            <w:tcMar>
              <w:top w:w="80" w:type="dxa"/>
              <w:start w:w="90" w:type="dxa"/>
              <w:bottom w:w="80" w:type="dxa"/>
              <w:end w:w="90" w:type="dxa"/>
            </w:tcMar>
          </w:tcPr>
          <w:p>
            <w:pPr>
              <w:jc w:val="center"/>
            </w:pPr>
            <w:r>
              <w:rPr>
                <w:sz w:val="14"/>
              </w:rPr>
              <w:t>0.097</w:t>
            </w:r>
          </w:p>
        </w:tc>
        <w:tc>
          <w:tcPr>
            <w:tcW w:type="dxa" w:w="1104"/>
            <w:vAlign w:val="center"/>
            <w:tcMar>
              <w:top w:w="80" w:type="dxa"/>
              <w:start w:w="90" w:type="dxa"/>
              <w:bottom w:w="80" w:type="dxa"/>
              <w:end w:w="90" w:type="dxa"/>
            </w:tcMar>
          </w:tcPr>
          <w:p>
            <w:pPr>
              <w:jc w:val="center"/>
            </w:pPr>
            <w:r>
              <w:rPr>
                <w:sz w:val="14"/>
              </w:rPr>
              <w:t>0.277</w:t>
            </w:r>
          </w:p>
        </w:tc>
        <w:tc>
          <w:tcPr>
            <w:tcW w:type="dxa" w:w="1104"/>
            <w:vAlign w:val="center"/>
            <w:tcMar>
              <w:top w:w="80" w:type="dxa"/>
              <w:start w:w="90" w:type="dxa"/>
              <w:bottom w:w="80" w:type="dxa"/>
              <w:end w:w="90" w:type="dxa"/>
            </w:tcMar>
          </w:tcPr>
          <w:p>
            <w:pPr>
              <w:jc w:val="center"/>
            </w:pPr>
            <w:r>
              <w:rPr>
                <w:sz w:val="14"/>
              </w:rPr>
              <w:t>Yes</w:t>
            </w:r>
          </w:p>
        </w:tc>
      </w:tr>
      <w:tr>
        <w:trPr>
          <w:cantSplit/>
        </w:trPr>
        <w:tc>
          <w:tcPr>
            <w:tcW w:type="dxa" w:w="1104"/>
            <w:vAlign w:val="center"/>
            <w:tcMar>
              <w:top w:w="80" w:type="dxa"/>
              <w:start w:w="90" w:type="dxa"/>
              <w:bottom w:w="80" w:type="dxa"/>
              <w:end w:w="90" w:type="dxa"/>
            </w:tcMar>
          </w:tcPr>
          <w:p>
            <w:pPr>
              <w:jc w:val="left"/>
            </w:pPr>
            <w:r>
              <w:rPr>
                <w:sz w:val="14"/>
              </w:rPr>
              <w:t>sex</w:t>
            </w:r>
          </w:p>
        </w:tc>
        <w:tc>
          <w:tcPr>
            <w:tcW w:type="dxa" w:w="1104"/>
            <w:vAlign w:val="center"/>
            <w:tcMar>
              <w:top w:w="80" w:type="dxa"/>
              <w:start w:w="90" w:type="dxa"/>
              <w:bottom w:w="80" w:type="dxa"/>
              <w:end w:w="90" w:type="dxa"/>
            </w:tcMar>
          </w:tcPr>
          <w:p>
            <w:pPr>
              <w:jc w:val="center"/>
            </w:pPr>
            <w:r>
              <w:rPr>
                <w:sz w:val="14"/>
              </w:rPr>
              <w:t>United States</w:t>
            </w:r>
          </w:p>
        </w:tc>
        <w:tc>
          <w:tcPr>
            <w:tcW w:type="dxa" w:w="1104"/>
            <w:vAlign w:val="center"/>
            <w:tcMar>
              <w:top w:w="80" w:type="dxa"/>
              <w:start w:w="90" w:type="dxa"/>
              <w:bottom w:w="80" w:type="dxa"/>
              <w:end w:w="90" w:type="dxa"/>
            </w:tcMar>
          </w:tcPr>
          <w:p>
            <w:pPr>
              <w:jc w:val="center"/>
            </w:pPr>
            <w:r>
              <w:rPr>
                <w:sz w:val="14"/>
              </w:rPr>
              <w:t>Prevalence</w:t>
            </w:r>
          </w:p>
        </w:tc>
        <w:tc>
          <w:tcPr>
            <w:tcW w:type="dxa" w:w="1104"/>
            <w:vAlign w:val="center"/>
            <w:tcMar>
              <w:top w:w="80" w:type="dxa"/>
              <w:start w:w="90" w:type="dxa"/>
              <w:bottom w:w="80" w:type="dxa"/>
              <w:end w:w="90" w:type="dxa"/>
            </w:tcMar>
          </w:tcPr>
          <w:p>
            <w:pPr>
              <w:jc w:val="center"/>
            </w:pPr>
            <w:r>
              <w:rPr>
                <w:sz w:val="14"/>
              </w:rPr>
              <w:t>Female vs Male</w:t>
            </w:r>
          </w:p>
        </w:tc>
        <w:tc>
          <w:tcPr>
            <w:tcW w:type="dxa" w:w="1104"/>
            <w:vAlign w:val="center"/>
            <w:tcMar>
              <w:top w:w="80" w:type="dxa"/>
              <w:start w:w="90" w:type="dxa"/>
              <w:bottom w:w="80" w:type="dxa"/>
              <w:end w:w="90" w:type="dxa"/>
            </w:tcMar>
          </w:tcPr>
          <w:p>
            <w:pPr>
              <w:jc w:val="center"/>
            </w:pPr>
            <w:r>
              <w:rPr>
                <w:sz w:val="14"/>
              </w:rPr>
              <w:t>-0.231</w:t>
            </w:r>
          </w:p>
        </w:tc>
        <w:tc>
          <w:tcPr>
            <w:tcW w:type="dxa" w:w="1104"/>
            <w:vAlign w:val="center"/>
            <w:tcMar>
              <w:top w:w="80" w:type="dxa"/>
              <w:start w:w="90" w:type="dxa"/>
              <w:bottom w:w="80" w:type="dxa"/>
              <w:end w:w="90" w:type="dxa"/>
            </w:tcMar>
          </w:tcPr>
          <w:p>
            <w:pPr>
              <w:jc w:val="center"/>
            </w:pPr>
            <w:r>
              <w:rPr>
                <w:sz w:val="14"/>
              </w:rPr>
              <w:t>-0.099</w:t>
            </w:r>
          </w:p>
        </w:tc>
        <w:tc>
          <w:tcPr>
            <w:tcW w:type="dxa" w:w="1104"/>
            <w:vAlign w:val="center"/>
            <w:tcMar>
              <w:top w:w="80" w:type="dxa"/>
              <w:start w:w="90" w:type="dxa"/>
              <w:bottom w:w="80" w:type="dxa"/>
              <w:end w:w="90" w:type="dxa"/>
            </w:tcMar>
          </w:tcPr>
          <w:p>
            <w:pPr>
              <w:jc w:val="center"/>
            </w:pPr>
            <w:r>
              <w:rPr>
                <w:sz w:val="14"/>
              </w:rPr>
              <w:t>0.131</w:t>
            </w:r>
          </w:p>
        </w:tc>
        <w:tc>
          <w:tcPr>
            <w:tcW w:type="dxa" w:w="1104"/>
            <w:vAlign w:val="center"/>
            <w:tcMar>
              <w:top w:w="80" w:type="dxa"/>
              <w:start w:w="90" w:type="dxa"/>
              <w:bottom w:w="80" w:type="dxa"/>
              <w:end w:w="90" w:type="dxa"/>
            </w:tcMar>
          </w:tcPr>
          <w:p>
            <w:pPr>
              <w:jc w:val="center"/>
            </w:pPr>
            <w:r>
              <w:rPr>
                <w:sz w:val="14"/>
              </w:rPr>
              <w:t>0.535</w:t>
            </w:r>
          </w:p>
        </w:tc>
        <w:tc>
          <w:tcPr>
            <w:tcW w:type="dxa" w:w="1104"/>
            <w:vAlign w:val="center"/>
            <w:tcMar>
              <w:top w:w="80" w:type="dxa"/>
              <w:start w:w="90" w:type="dxa"/>
              <w:bottom w:w="80" w:type="dxa"/>
              <w:end w:w="90" w:type="dxa"/>
            </w:tcMar>
          </w:tcPr>
          <w:p>
            <w:pPr>
              <w:jc w:val="center"/>
            </w:pPr>
            <w:r>
              <w:rPr>
                <w:sz w:val="14"/>
              </w:rPr>
              <w:t>Yes</w:t>
            </w:r>
          </w:p>
        </w:tc>
      </w:tr>
      <w:tr>
        <w:trPr>
          <w:cantSplit/>
        </w:trPr>
        <w:tc>
          <w:tcPr>
            <w:tcW w:type="dxa" w:w="1104"/>
            <w:vAlign w:val="center"/>
            <w:tcMar>
              <w:top w:w="80" w:type="dxa"/>
              <w:start w:w="90" w:type="dxa"/>
              <w:bottom w:w="80" w:type="dxa"/>
              <w:end w:w="90" w:type="dxa"/>
            </w:tcMar>
          </w:tcPr>
          <w:p>
            <w:pPr>
              <w:jc w:val="left"/>
            </w:pPr>
            <w:r>
              <w:rPr>
                <w:sz w:val="14"/>
              </w:rPr>
              <w:t>sex</w:t>
            </w:r>
          </w:p>
        </w:tc>
        <w:tc>
          <w:tcPr>
            <w:tcW w:type="dxa" w:w="1104"/>
            <w:vAlign w:val="center"/>
            <w:tcMar>
              <w:top w:w="80" w:type="dxa"/>
              <w:start w:w="90" w:type="dxa"/>
              <w:bottom w:w="80" w:type="dxa"/>
              <w:end w:w="90" w:type="dxa"/>
            </w:tcMar>
          </w:tcPr>
          <w:p>
            <w:pPr>
              <w:jc w:val="center"/>
            </w:pPr>
            <w:r>
              <w:rPr>
                <w:sz w:val="14"/>
              </w:rPr>
              <w:t>United States</w:t>
            </w:r>
          </w:p>
        </w:tc>
        <w:tc>
          <w:tcPr>
            <w:tcW w:type="dxa" w:w="1104"/>
            <w:vAlign w:val="center"/>
            <w:tcMar>
              <w:top w:w="80" w:type="dxa"/>
              <w:start w:w="90" w:type="dxa"/>
              <w:bottom w:w="80" w:type="dxa"/>
              <w:end w:w="90" w:type="dxa"/>
            </w:tcMar>
          </w:tcPr>
          <w:p>
            <w:pPr>
              <w:jc w:val="center"/>
            </w:pPr>
            <w:r>
              <w:rPr>
                <w:sz w:val="14"/>
              </w:rPr>
              <w:t>DALYs</w:t>
            </w:r>
          </w:p>
        </w:tc>
        <w:tc>
          <w:tcPr>
            <w:tcW w:type="dxa" w:w="1104"/>
            <w:vAlign w:val="center"/>
            <w:tcMar>
              <w:top w:w="80" w:type="dxa"/>
              <w:start w:w="90" w:type="dxa"/>
              <w:bottom w:w="80" w:type="dxa"/>
              <w:end w:w="90" w:type="dxa"/>
            </w:tcMar>
          </w:tcPr>
          <w:p>
            <w:pPr>
              <w:jc w:val="center"/>
            </w:pPr>
            <w:r>
              <w:rPr>
                <w:sz w:val="14"/>
              </w:rPr>
              <w:t>Female vs Male</w:t>
            </w:r>
          </w:p>
        </w:tc>
        <w:tc>
          <w:tcPr>
            <w:tcW w:type="dxa" w:w="1104"/>
            <w:vAlign w:val="center"/>
            <w:tcMar>
              <w:top w:w="80" w:type="dxa"/>
              <w:start w:w="90" w:type="dxa"/>
              <w:bottom w:w="80" w:type="dxa"/>
              <w:end w:w="90" w:type="dxa"/>
            </w:tcMar>
          </w:tcPr>
          <w:p>
            <w:pPr>
              <w:jc w:val="center"/>
            </w:pPr>
            <w:r>
              <w:rPr>
                <w:sz w:val="14"/>
              </w:rPr>
              <w:t>-0.253</w:t>
            </w:r>
          </w:p>
        </w:tc>
        <w:tc>
          <w:tcPr>
            <w:tcW w:type="dxa" w:w="1104"/>
            <w:vAlign w:val="center"/>
            <w:tcMar>
              <w:top w:w="80" w:type="dxa"/>
              <w:start w:w="90" w:type="dxa"/>
              <w:bottom w:w="80" w:type="dxa"/>
              <w:end w:w="90" w:type="dxa"/>
            </w:tcMar>
          </w:tcPr>
          <w:p>
            <w:pPr>
              <w:jc w:val="center"/>
            </w:pPr>
            <w:r>
              <w:rPr>
                <w:sz w:val="14"/>
              </w:rPr>
              <w:t>-0.121</w:t>
            </w:r>
          </w:p>
        </w:tc>
        <w:tc>
          <w:tcPr>
            <w:tcW w:type="dxa" w:w="1104"/>
            <w:vAlign w:val="center"/>
            <w:tcMar>
              <w:top w:w="80" w:type="dxa"/>
              <w:start w:w="90" w:type="dxa"/>
              <w:bottom w:w="80" w:type="dxa"/>
              <w:end w:w="90" w:type="dxa"/>
            </w:tcMar>
          </w:tcPr>
          <w:p>
            <w:pPr>
              <w:jc w:val="center"/>
            </w:pPr>
            <w:r>
              <w:rPr>
                <w:sz w:val="14"/>
              </w:rPr>
              <w:t>0.132</w:t>
            </w:r>
          </w:p>
        </w:tc>
        <w:tc>
          <w:tcPr>
            <w:tcW w:type="dxa" w:w="1104"/>
            <w:vAlign w:val="center"/>
            <w:tcMar>
              <w:top w:w="80" w:type="dxa"/>
              <w:start w:w="90" w:type="dxa"/>
              <w:bottom w:w="80" w:type="dxa"/>
              <w:end w:w="90" w:type="dxa"/>
            </w:tcMar>
          </w:tcPr>
          <w:p>
            <w:pPr>
              <w:jc w:val="center"/>
            </w:pPr>
            <w:r>
              <w:rPr>
                <w:sz w:val="14"/>
              </w:rPr>
              <w:t>0.613</w:t>
            </w:r>
          </w:p>
        </w:tc>
        <w:tc>
          <w:tcPr>
            <w:tcW w:type="dxa" w:w="1104"/>
            <w:vAlign w:val="center"/>
            <w:tcMar>
              <w:top w:w="80" w:type="dxa"/>
              <w:start w:w="90" w:type="dxa"/>
              <w:bottom w:w="80" w:type="dxa"/>
              <w:end w:w="90" w:type="dxa"/>
            </w:tcMar>
          </w:tcPr>
          <w:p>
            <w:pPr>
              <w:jc w:val="center"/>
            </w:pPr>
            <w:r>
              <w:rPr>
                <w:sz w:val="14"/>
              </w:rPr>
              <w:t>Yes</w:t>
            </w:r>
          </w:p>
        </w:tc>
      </w:tr>
    </w:tbl>
    <w:p/>
    <w:p>
      <w:r>
        <w:t>Table 2 contains descriptive point contrasts only. It provides no test of parallelism and no inferential p or q values.</w:t>
      </w:r>
    </w:p>
    <w:p>
      <w:pPr>
        <w:jc w:val="center"/>
      </w:pPr>
      <w:r>
        <w:drawing>
          <wp:inline xmlns:a="http://schemas.openxmlformats.org/drawingml/2006/main" xmlns:pic="http://schemas.openxmlformats.org/drawingml/2006/picture">
            <wp:extent cx="6126480" cy="5616798"/>
            <wp:docPr id="2" name="Picture 2" descr="Six panels showing observed and fitted sex-specific segmented rate trends." title="Six panels showing observed and fitted sex-specific segmented rate trends."/>
            <wp:cNvGraphicFramePr>
              <a:graphicFrameLocks noChangeAspect="1"/>
            </wp:cNvGraphicFramePr>
            <a:graphic>
              <a:graphicData uri="http://schemas.openxmlformats.org/drawingml/2006/picture">
                <pic:pic>
                  <pic:nvPicPr>
                    <pic:cNvPr id="0" name="figure_2_segmented_trends.png"/>
                    <pic:cNvPicPr/>
                  </pic:nvPicPr>
                  <pic:blipFill>
                    <a:blip r:embed="rId11"/>
                    <a:stretch>
                      <a:fillRect/>
                    </a:stretch>
                  </pic:blipFill>
                  <pic:spPr>
                    <a:xfrm>
                      <a:off x="0" y="0"/>
                      <a:ext cx="6126480" cy="5616798"/>
                    </a:xfrm>
                    <a:prstGeom prst="rect"/>
                  </pic:spPr>
                </pic:pic>
              </a:graphicData>
            </a:graphic>
          </wp:inline>
        </w:drawing>
      </w:r>
    </w:p>
    <w:p>
      <w:pPr>
        <w:spacing w:after="200"/>
        <w:jc w:val="left"/>
      </w:pPr>
      <w:r>
        <w:rPr>
          <w:b/>
        </w:rPr>
        <w:t xml:space="preserve">Figure 2. </w:t>
      </w:r>
      <w:r>
        <w:t>Observed and fitted descriptive segmented age-standardized rate trajectories. Curves were selected by BIC in the open Python workflow and are not NCI Joinpoint output.</w:t>
      </w:r>
    </w:p>
    <w:p>
      <w:pPr>
        <w:pStyle w:val="Heading2"/>
      </w:pPr>
      <w:r>
        <w:t>Age-specific patterns</w:t>
      </w:r>
    </w:p>
    <w:p>
      <w:r>
        <w:t>The age profiles differed by outcome and sex, but male rates were generally higher. Incidence peaked in early adulthood, whereas prevalence and DALY rates remained substantial across middle adulthood. The coarse 70+ terminal category limited interpretation of late-life heterogeneity.</w:t>
      </w:r>
    </w:p>
    <w:p>
      <w:pPr>
        <w:jc w:val="center"/>
      </w:pPr>
      <w:r>
        <w:drawing>
          <wp:inline xmlns:a="http://schemas.openxmlformats.org/drawingml/2006/main" xmlns:pic="http://schemas.openxmlformats.org/drawingml/2006/picture">
            <wp:extent cx="6126480" cy="5616798"/>
            <wp:docPr id="3" name="Picture 3" descr="Six panels showing age-specific schizophrenia rates in 2023 by country and sex." title="Six panels showing age-specific schizophrenia rates in 2023 by country and sex."/>
            <wp:cNvGraphicFramePr>
              <a:graphicFrameLocks noChangeAspect="1"/>
            </wp:cNvGraphicFramePr>
            <a:graphic>
              <a:graphicData uri="http://schemas.openxmlformats.org/drawingml/2006/picture">
                <pic:pic>
                  <pic:nvPicPr>
                    <pic:cNvPr id="0" name="figure_3_age_patterns.png"/>
                    <pic:cNvPicPr/>
                  </pic:nvPicPr>
                  <pic:blipFill>
                    <a:blip r:embed="rId12"/>
                    <a:stretch>
                      <a:fillRect/>
                    </a:stretch>
                  </pic:blipFill>
                  <pic:spPr>
                    <a:xfrm>
                      <a:off x="0" y="0"/>
                      <a:ext cx="6126480" cy="5616798"/>
                    </a:xfrm>
                    <a:prstGeom prst="rect"/>
                  </pic:spPr>
                </pic:pic>
              </a:graphicData>
            </a:graphic>
          </wp:inline>
        </w:drawing>
      </w:r>
    </w:p>
    <w:p>
      <w:pPr>
        <w:spacing w:after="200"/>
        <w:jc w:val="left"/>
      </w:pPr>
      <w:r>
        <w:rPr>
          <w:b/>
        </w:rPr>
        <w:t xml:space="preserve">Figure 3. </w:t>
      </w:r>
      <w:r>
        <w:t>Age-specific incidence, prevalence, and DALY rates in 2023 by country and sex. Shading shows native 95% GBD uncertainty intervals.</w:t>
      </w:r>
    </w:p>
    <w:p>
      <w:pPr>
        <w:pStyle w:val="Heading2"/>
      </w:pPr>
      <w:r>
        <w:t>Drivers of changing quantities among persons aged 15 years and older</w:t>
      </w:r>
    </w:p>
    <w:p>
      <w:r>
        <w:rPr>
          <w:b/>
        </w:rPr>
        <w:t>Table 3.</w:t>
      </w:r>
      <w:r>
        <w:t xml:space="preserve"> Shapley decomposition of changes among persons aged 15 years and older, 1990-2023</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fill="1F4E78"/>
            <w:tcMar>
              <w:top w:w="80" w:type="dxa"/>
              <w:start w:w="90" w:type="dxa"/>
              <w:bottom w:w="80" w:type="dxa"/>
              <w:end w:w="90" w:type="dxa"/>
            </w:tcMar>
            <w:vAlign w:val="center"/>
          </w:tcPr>
          <w:p>
            <w:pPr>
              <w:jc w:val="center"/>
            </w:pPr>
            <w:r>
              <w:rPr>
                <w:b/>
                <w:color w:val="FFFFFF"/>
                <w:sz w:val="16"/>
              </w:rPr>
              <w:t>Location</w:t>
            </w:r>
          </w:p>
        </w:tc>
        <w:tc>
          <w:tcPr>
            <w:tcW w:type="dxa" w:w="1419"/>
            <w:shd w:fill="1F4E78"/>
            <w:tcMar>
              <w:top w:w="80" w:type="dxa"/>
              <w:start w:w="90" w:type="dxa"/>
              <w:bottom w:w="80" w:type="dxa"/>
              <w:end w:w="90" w:type="dxa"/>
            </w:tcMar>
            <w:vAlign w:val="center"/>
          </w:tcPr>
          <w:p>
            <w:pPr>
              <w:jc w:val="center"/>
            </w:pPr>
            <w:r>
              <w:rPr>
                <w:b/>
                <w:color w:val="FFFFFF"/>
                <w:sz w:val="16"/>
              </w:rPr>
              <w:t>Sex</w:t>
            </w:r>
          </w:p>
        </w:tc>
        <w:tc>
          <w:tcPr>
            <w:tcW w:type="dxa" w:w="1419"/>
            <w:shd w:fill="1F4E78"/>
            <w:tcMar>
              <w:top w:w="80" w:type="dxa"/>
              <w:start w:w="90" w:type="dxa"/>
              <w:bottom w:w="80" w:type="dxa"/>
              <w:end w:w="90" w:type="dxa"/>
            </w:tcMar>
            <w:vAlign w:val="center"/>
          </w:tcPr>
          <w:p>
            <w:pPr>
              <w:jc w:val="center"/>
            </w:pPr>
            <w:r>
              <w:rPr>
                <w:b/>
                <w:color w:val="FFFFFF"/>
                <w:sz w:val="16"/>
              </w:rPr>
              <w:t>Outcome</w:t>
            </w:r>
          </w:p>
        </w:tc>
        <w:tc>
          <w:tcPr>
            <w:tcW w:type="dxa" w:w="1419"/>
            <w:shd w:fill="1F4E78"/>
            <w:tcMar>
              <w:top w:w="80" w:type="dxa"/>
              <w:start w:w="90" w:type="dxa"/>
              <w:bottom w:w="80" w:type="dxa"/>
              <w:end w:w="90" w:type="dxa"/>
            </w:tcMar>
            <w:vAlign w:val="center"/>
          </w:tcPr>
          <w:p>
            <w:pPr>
              <w:jc w:val="center"/>
            </w:pPr>
            <w:r>
              <w:rPr>
                <w:b/>
                <w:color w:val="FFFFFF"/>
                <w:sz w:val="16"/>
              </w:rPr>
              <w:t>Population growth</w:t>
            </w:r>
          </w:p>
        </w:tc>
        <w:tc>
          <w:tcPr>
            <w:tcW w:type="dxa" w:w="1419"/>
            <w:shd w:fill="1F4E78"/>
            <w:tcMar>
              <w:top w:w="80" w:type="dxa"/>
              <w:start w:w="90" w:type="dxa"/>
              <w:bottom w:w="80" w:type="dxa"/>
              <w:end w:w="90" w:type="dxa"/>
            </w:tcMar>
            <w:vAlign w:val="center"/>
          </w:tcPr>
          <w:p>
            <w:pPr>
              <w:jc w:val="center"/>
            </w:pPr>
            <w:r>
              <w:rPr>
                <w:b/>
                <w:color w:val="FFFFFF"/>
                <w:sz w:val="16"/>
              </w:rPr>
              <w:t>Population ageing</w:t>
            </w:r>
          </w:p>
        </w:tc>
        <w:tc>
          <w:tcPr>
            <w:tcW w:type="dxa" w:w="1419"/>
            <w:shd w:fill="1F4E78"/>
            <w:tcMar>
              <w:top w:w="80" w:type="dxa"/>
              <w:start w:w="90" w:type="dxa"/>
              <w:bottom w:w="80" w:type="dxa"/>
              <w:end w:w="90" w:type="dxa"/>
            </w:tcMar>
            <w:vAlign w:val="center"/>
          </w:tcPr>
          <w:p>
            <w:pPr>
              <w:jc w:val="center"/>
            </w:pPr>
            <w:r>
              <w:rPr>
                <w:b/>
                <w:color w:val="FFFFFF"/>
                <w:sz w:val="16"/>
              </w:rPr>
              <w:t>Rate change</w:t>
            </w:r>
          </w:p>
        </w:tc>
        <w:tc>
          <w:tcPr>
            <w:tcW w:type="dxa" w:w="1419"/>
            <w:shd w:fill="1F4E78"/>
            <w:tcMar>
              <w:top w:w="80" w:type="dxa"/>
              <w:start w:w="90" w:type="dxa"/>
              <w:bottom w:w="80" w:type="dxa"/>
              <w:end w:w="90" w:type="dxa"/>
            </w:tcMar>
            <w:vAlign w:val="center"/>
          </w:tcPr>
          <w:p>
            <w:pPr>
              <w:jc w:val="center"/>
            </w:pPr>
            <w:r>
              <w:rPr>
                <w:b/>
                <w:color w:val="FFFFFF"/>
                <w:sz w:val="16"/>
              </w:rPr>
              <w:t>Total change</w:t>
            </w:r>
          </w:p>
        </w:tc>
      </w:tr>
      <w:tr>
        <w:trPr>
          <w:cantSplit/>
        </w:trPr>
        <w:tc>
          <w:tcPr>
            <w:tcW w:type="dxa" w:w="1419"/>
            <w:vAlign w:val="center"/>
            <w:tcMar>
              <w:top w:w="80" w:type="dxa"/>
              <w:start w:w="90" w:type="dxa"/>
              <w:bottom w:w="80" w:type="dxa"/>
              <w:end w:w="90" w:type="dxa"/>
            </w:tcMar>
          </w:tcPr>
          <w:p>
            <w:pPr>
              <w:jc w:val="left"/>
            </w:pPr>
            <w:r>
              <w:rPr>
                <w:sz w:val="16"/>
              </w:rPr>
              <w:t>China</w:t>
            </w:r>
          </w:p>
        </w:tc>
        <w:tc>
          <w:tcPr>
            <w:tcW w:type="dxa" w:w="1419"/>
            <w:vAlign w:val="center"/>
            <w:tcMar>
              <w:top w:w="80" w:type="dxa"/>
              <w:start w:w="90" w:type="dxa"/>
              <w:bottom w:w="80" w:type="dxa"/>
              <w:end w:w="90" w:type="dxa"/>
            </w:tcMar>
          </w:tcPr>
          <w:p>
            <w:pPr>
              <w:jc w:val="center"/>
            </w:pPr>
            <w:r>
              <w:rPr>
                <w:sz w:val="16"/>
              </w:rPr>
              <w:t>Female</w:t>
            </w:r>
          </w:p>
        </w:tc>
        <w:tc>
          <w:tcPr>
            <w:tcW w:type="dxa" w:w="1419"/>
            <w:vAlign w:val="center"/>
            <w:tcMar>
              <w:top w:w="80" w:type="dxa"/>
              <w:start w:w="90" w:type="dxa"/>
              <w:bottom w:w="80" w:type="dxa"/>
              <w:end w:w="90" w:type="dxa"/>
            </w:tcMar>
          </w:tcPr>
          <w:p>
            <w:pPr>
              <w:jc w:val="center"/>
            </w:pPr>
            <w:r>
              <w:rPr>
                <w:sz w:val="16"/>
              </w:rPr>
              <w:t>Incidence</w:t>
            </w:r>
          </w:p>
        </w:tc>
        <w:tc>
          <w:tcPr>
            <w:tcW w:type="dxa" w:w="1419"/>
            <w:vAlign w:val="center"/>
            <w:tcMar>
              <w:top w:w="80" w:type="dxa"/>
              <w:start w:w="90" w:type="dxa"/>
              <w:bottom w:w="80" w:type="dxa"/>
              <w:end w:w="90" w:type="dxa"/>
            </w:tcMar>
          </w:tcPr>
          <w:p>
            <w:pPr>
              <w:jc w:val="center"/>
            </w:pPr>
            <w:r>
              <w:rPr>
                <w:sz w:val="16"/>
              </w:rPr>
              <w:t>39,630</w:t>
            </w:r>
          </w:p>
        </w:tc>
        <w:tc>
          <w:tcPr>
            <w:tcW w:type="dxa" w:w="1419"/>
            <w:vAlign w:val="center"/>
            <w:tcMar>
              <w:top w:w="80" w:type="dxa"/>
              <w:start w:w="90" w:type="dxa"/>
              <w:bottom w:w="80" w:type="dxa"/>
              <w:end w:w="90" w:type="dxa"/>
            </w:tcMar>
          </w:tcPr>
          <w:p>
            <w:pPr>
              <w:jc w:val="center"/>
            </w:pPr>
            <w:r>
              <w:rPr>
                <w:sz w:val="16"/>
              </w:rPr>
              <w:t>-22,787</w:t>
            </w:r>
          </w:p>
        </w:tc>
        <w:tc>
          <w:tcPr>
            <w:tcW w:type="dxa" w:w="1419"/>
            <w:vAlign w:val="center"/>
            <w:tcMar>
              <w:top w:w="80" w:type="dxa"/>
              <w:start w:w="90" w:type="dxa"/>
              <w:bottom w:w="80" w:type="dxa"/>
              <w:end w:w="90" w:type="dxa"/>
            </w:tcMar>
          </w:tcPr>
          <w:p>
            <w:pPr>
              <w:jc w:val="center"/>
            </w:pPr>
            <w:r>
              <w:rPr>
                <w:sz w:val="16"/>
              </w:rPr>
              <w:t>628</w:t>
            </w:r>
          </w:p>
        </w:tc>
        <w:tc>
          <w:tcPr>
            <w:tcW w:type="dxa" w:w="1419"/>
            <w:vAlign w:val="center"/>
            <w:tcMar>
              <w:top w:w="80" w:type="dxa"/>
              <w:start w:w="90" w:type="dxa"/>
              <w:bottom w:w="80" w:type="dxa"/>
              <w:end w:w="90" w:type="dxa"/>
            </w:tcMar>
          </w:tcPr>
          <w:p>
            <w:pPr>
              <w:jc w:val="center"/>
            </w:pPr>
            <w:r>
              <w:rPr>
                <w:sz w:val="16"/>
              </w:rPr>
              <w:t>17,471</w:t>
            </w:r>
          </w:p>
        </w:tc>
      </w:tr>
      <w:tr>
        <w:trPr>
          <w:cantSplit/>
        </w:trPr>
        <w:tc>
          <w:tcPr>
            <w:tcW w:type="dxa" w:w="1419"/>
            <w:vAlign w:val="center"/>
            <w:tcMar>
              <w:top w:w="80" w:type="dxa"/>
              <w:start w:w="90" w:type="dxa"/>
              <w:bottom w:w="80" w:type="dxa"/>
              <w:end w:w="90" w:type="dxa"/>
            </w:tcMar>
          </w:tcPr>
          <w:p>
            <w:pPr>
              <w:jc w:val="left"/>
            </w:pPr>
            <w:r>
              <w:rPr>
                <w:sz w:val="16"/>
              </w:rPr>
              <w:t>China</w:t>
            </w:r>
          </w:p>
        </w:tc>
        <w:tc>
          <w:tcPr>
            <w:tcW w:type="dxa" w:w="1419"/>
            <w:vAlign w:val="center"/>
            <w:tcMar>
              <w:top w:w="80" w:type="dxa"/>
              <w:start w:w="90" w:type="dxa"/>
              <w:bottom w:w="80" w:type="dxa"/>
              <w:end w:w="90" w:type="dxa"/>
            </w:tcMar>
          </w:tcPr>
          <w:p>
            <w:pPr>
              <w:jc w:val="center"/>
            </w:pPr>
            <w:r>
              <w:rPr>
                <w:sz w:val="16"/>
              </w:rPr>
              <w:t>Female</w:t>
            </w:r>
          </w:p>
        </w:tc>
        <w:tc>
          <w:tcPr>
            <w:tcW w:type="dxa" w:w="1419"/>
            <w:vAlign w:val="center"/>
            <w:tcMar>
              <w:top w:w="80" w:type="dxa"/>
              <w:start w:w="90" w:type="dxa"/>
              <w:bottom w:w="80" w:type="dxa"/>
              <w:end w:w="90" w:type="dxa"/>
            </w:tcMar>
          </w:tcPr>
          <w:p>
            <w:pPr>
              <w:jc w:val="center"/>
            </w:pPr>
            <w:r>
              <w:rPr>
                <w:sz w:val="16"/>
              </w:rPr>
              <w:t>Prevalence</w:t>
            </w:r>
          </w:p>
        </w:tc>
        <w:tc>
          <w:tcPr>
            <w:tcW w:type="dxa" w:w="1419"/>
            <w:vAlign w:val="center"/>
            <w:tcMar>
              <w:top w:w="80" w:type="dxa"/>
              <w:start w:w="90" w:type="dxa"/>
              <w:bottom w:w="80" w:type="dxa"/>
              <w:end w:w="90" w:type="dxa"/>
            </w:tcMar>
          </w:tcPr>
          <w:p>
            <w:pPr>
              <w:jc w:val="center"/>
            </w:pPr>
            <w:r>
              <w:rPr>
                <w:sz w:val="16"/>
              </w:rPr>
              <w:t>637,194</w:t>
            </w:r>
          </w:p>
        </w:tc>
        <w:tc>
          <w:tcPr>
            <w:tcW w:type="dxa" w:w="1419"/>
            <w:vAlign w:val="center"/>
            <w:tcMar>
              <w:top w:w="80" w:type="dxa"/>
              <w:start w:w="90" w:type="dxa"/>
              <w:bottom w:w="80" w:type="dxa"/>
              <w:end w:w="90" w:type="dxa"/>
            </w:tcMar>
          </w:tcPr>
          <w:p>
            <w:pPr>
              <w:jc w:val="center"/>
            </w:pPr>
            <w:r>
              <w:rPr>
                <w:sz w:val="16"/>
              </w:rPr>
              <w:t>278,108</w:t>
            </w:r>
          </w:p>
        </w:tc>
        <w:tc>
          <w:tcPr>
            <w:tcW w:type="dxa" w:w="1419"/>
            <w:vAlign w:val="center"/>
            <w:tcMar>
              <w:top w:w="80" w:type="dxa"/>
              <w:start w:w="90" w:type="dxa"/>
              <w:bottom w:w="80" w:type="dxa"/>
              <w:end w:w="90" w:type="dxa"/>
            </w:tcMar>
          </w:tcPr>
          <w:p>
            <w:pPr>
              <w:jc w:val="center"/>
            </w:pPr>
            <w:r>
              <w:rPr>
                <w:sz w:val="16"/>
              </w:rPr>
              <w:t>10,526</w:t>
            </w:r>
          </w:p>
        </w:tc>
        <w:tc>
          <w:tcPr>
            <w:tcW w:type="dxa" w:w="1419"/>
            <w:vAlign w:val="center"/>
            <w:tcMar>
              <w:top w:w="80" w:type="dxa"/>
              <w:start w:w="90" w:type="dxa"/>
              <w:bottom w:w="80" w:type="dxa"/>
              <w:end w:w="90" w:type="dxa"/>
            </w:tcMar>
          </w:tcPr>
          <w:p>
            <w:pPr>
              <w:jc w:val="center"/>
            </w:pPr>
            <w:r>
              <w:rPr>
                <w:sz w:val="16"/>
              </w:rPr>
              <w:t>925,828</w:t>
            </w:r>
          </w:p>
        </w:tc>
      </w:tr>
      <w:tr>
        <w:trPr>
          <w:cantSplit/>
        </w:trPr>
        <w:tc>
          <w:tcPr>
            <w:tcW w:type="dxa" w:w="1419"/>
            <w:vAlign w:val="center"/>
            <w:tcMar>
              <w:top w:w="80" w:type="dxa"/>
              <w:start w:w="90" w:type="dxa"/>
              <w:bottom w:w="80" w:type="dxa"/>
              <w:end w:w="90" w:type="dxa"/>
            </w:tcMar>
          </w:tcPr>
          <w:p>
            <w:pPr>
              <w:jc w:val="left"/>
            </w:pPr>
            <w:r>
              <w:rPr>
                <w:sz w:val="16"/>
              </w:rPr>
              <w:t>China</w:t>
            </w:r>
          </w:p>
        </w:tc>
        <w:tc>
          <w:tcPr>
            <w:tcW w:type="dxa" w:w="1419"/>
            <w:vAlign w:val="center"/>
            <w:tcMar>
              <w:top w:w="80" w:type="dxa"/>
              <w:start w:w="90" w:type="dxa"/>
              <w:bottom w:w="80" w:type="dxa"/>
              <w:end w:w="90" w:type="dxa"/>
            </w:tcMar>
          </w:tcPr>
          <w:p>
            <w:pPr>
              <w:jc w:val="center"/>
            </w:pPr>
            <w:r>
              <w:rPr>
                <w:sz w:val="16"/>
              </w:rPr>
              <w:t>Female</w:t>
            </w:r>
          </w:p>
        </w:tc>
        <w:tc>
          <w:tcPr>
            <w:tcW w:type="dxa" w:w="1419"/>
            <w:vAlign w:val="center"/>
            <w:tcMar>
              <w:top w:w="80" w:type="dxa"/>
              <w:start w:w="90" w:type="dxa"/>
              <w:bottom w:w="80" w:type="dxa"/>
              <w:end w:w="90" w:type="dxa"/>
            </w:tcMar>
          </w:tcPr>
          <w:p>
            <w:pPr>
              <w:jc w:val="center"/>
            </w:pPr>
            <w:r>
              <w:rPr>
                <w:sz w:val="16"/>
              </w:rPr>
              <w:t>DALYs</w:t>
            </w:r>
          </w:p>
        </w:tc>
        <w:tc>
          <w:tcPr>
            <w:tcW w:type="dxa" w:w="1419"/>
            <w:vAlign w:val="center"/>
            <w:tcMar>
              <w:top w:w="80" w:type="dxa"/>
              <w:start w:w="90" w:type="dxa"/>
              <w:bottom w:w="80" w:type="dxa"/>
              <w:end w:w="90" w:type="dxa"/>
            </w:tcMar>
          </w:tcPr>
          <w:p>
            <w:pPr>
              <w:jc w:val="center"/>
            </w:pPr>
            <w:r>
              <w:rPr>
                <w:sz w:val="16"/>
              </w:rPr>
              <w:t>403,067</w:t>
            </w:r>
          </w:p>
        </w:tc>
        <w:tc>
          <w:tcPr>
            <w:tcW w:type="dxa" w:w="1419"/>
            <w:vAlign w:val="center"/>
            <w:tcMar>
              <w:top w:w="80" w:type="dxa"/>
              <w:start w:w="90" w:type="dxa"/>
              <w:bottom w:w="80" w:type="dxa"/>
              <w:end w:w="90" w:type="dxa"/>
            </w:tcMar>
          </w:tcPr>
          <w:p>
            <w:pPr>
              <w:jc w:val="center"/>
            </w:pPr>
            <w:r>
              <w:rPr>
                <w:sz w:val="16"/>
              </w:rPr>
              <w:t>149,622</w:t>
            </w:r>
          </w:p>
        </w:tc>
        <w:tc>
          <w:tcPr>
            <w:tcW w:type="dxa" w:w="1419"/>
            <w:vAlign w:val="center"/>
            <w:tcMar>
              <w:top w:w="80" w:type="dxa"/>
              <w:start w:w="90" w:type="dxa"/>
              <w:bottom w:w="80" w:type="dxa"/>
              <w:end w:w="90" w:type="dxa"/>
            </w:tcMar>
          </w:tcPr>
          <w:p>
            <w:pPr>
              <w:jc w:val="center"/>
            </w:pPr>
            <w:r>
              <w:rPr>
                <w:sz w:val="16"/>
              </w:rPr>
              <w:t>14,750</w:t>
            </w:r>
          </w:p>
        </w:tc>
        <w:tc>
          <w:tcPr>
            <w:tcW w:type="dxa" w:w="1419"/>
            <w:vAlign w:val="center"/>
            <w:tcMar>
              <w:top w:w="80" w:type="dxa"/>
              <w:start w:w="90" w:type="dxa"/>
              <w:bottom w:w="80" w:type="dxa"/>
              <w:end w:w="90" w:type="dxa"/>
            </w:tcMar>
          </w:tcPr>
          <w:p>
            <w:pPr>
              <w:jc w:val="center"/>
            </w:pPr>
            <w:r>
              <w:rPr>
                <w:sz w:val="16"/>
              </w:rPr>
              <w:t>567,438</w:t>
            </w:r>
          </w:p>
        </w:tc>
      </w:tr>
      <w:tr>
        <w:trPr>
          <w:cantSplit/>
        </w:trPr>
        <w:tc>
          <w:tcPr>
            <w:tcW w:type="dxa" w:w="1419"/>
            <w:vAlign w:val="center"/>
            <w:tcMar>
              <w:top w:w="80" w:type="dxa"/>
              <w:start w:w="90" w:type="dxa"/>
              <w:bottom w:w="80" w:type="dxa"/>
              <w:end w:w="90" w:type="dxa"/>
            </w:tcMar>
          </w:tcPr>
          <w:p>
            <w:pPr>
              <w:jc w:val="left"/>
            </w:pPr>
            <w:r>
              <w:rPr>
                <w:sz w:val="16"/>
              </w:rPr>
              <w:t>China</w:t>
            </w:r>
          </w:p>
        </w:tc>
        <w:tc>
          <w:tcPr>
            <w:tcW w:type="dxa" w:w="1419"/>
            <w:vAlign w:val="center"/>
            <w:tcMar>
              <w:top w:w="80" w:type="dxa"/>
              <w:start w:w="90" w:type="dxa"/>
              <w:bottom w:w="80" w:type="dxa"/>
              <w:end w:w="90" w:type="dxa"/>
            </w:tcMar>
          </w:tcPr>
          <w:p>
            <w:pPr>
              <w:jc w:val="center"/>
            </w:pPr>
            <w:r>
              <w:rPr>
                <w:sz w:val="16"/>
              </w:rPr>
              <w:t>Male</w:t>
            </w:r>
          </w:p>
        </w:tc>
        <w:tc>
          <w:tcPr>
            <w:tcW w:type="dxa" w:w="1419"/>
            <w:vAlign w:val="center"/>
            <w:tcMar>
              <w:top w:w="80" w:type="dxa"/>
              <w:start w:w="90" w:type="dxa"/>
              <w:bottom w:w="80" w:type="dxa"/>
              <w:end w:w="90" w:type="dxa"/>
            </w:tcMar>
          </w:tcPr>
          <w:p>
            <w:pPr>
              <w:jc w:val="center"/>
            </w:pPr>
            <w:r>
              <w:rPr>
                <w:sz w:val="16"/>
              </w:rPr>
              <w:t>Incidence</w:t>
            </w:r>
          </w:p>
        </w:tc>
        <w:tc>
          <w:tcPr>
            <w:tcW w:type="dxa" w:w="1419"/>
            <w:vAlign w:val="center"/>
            <w:tcMar>
              <w:top w:w="80" w:type="dxa"/>
              <w:start w:w="90" w:type="dxa"/>
              <w:bottom w:w="80" w:type="dxa"/>
              <w:end w:w="90" w:type="dxa"/>
            </w:tcMar>
          </w:tcPr>
          <w:p>
            <w:pPr>
              <w:jc w:val="center"/>
            </w:pPr>
            <w:r>
              <w:rPr>
                <w:sz w:val="16"/>
              </w:rPr>
              <w:t>48,764</w:t>
            </w:r>
          </w:p>
        </w:tc>
        <w:tc>
          <w:tcPr>
            <w:tcW w:type="dxa" w:w="1419"/>
            <w:vAlign w:val="center"/>
            <w:tcMar>
              <w:top w:w="80" w:type="dxa"/>
              <w:start w:w="90" w:type="dxa"/>
              <w:bottom w:w="80" w:type="dxa"/>
              <w:end w:w="90" w:type="dxa"/>
            </w:tcMar>
          </w:tcPr>
          <w:p>
            <w:pPr>
              <w:jc w:val="center"/>
            </w:pPr>
            <w:r>
              <w:rPr>
                <w:sz w:val="16"/>
              </w:rPr>
              <w:t>-26,291</w:t>
            </w:r>
          </w:p>
        </w:tc>
        <w:tc>
          <w:tcPr>
            <w:tcW w:type="dxa" w:w="1419"/>
            <w:vAlign w:val="center"/>
            <w:tcMar>
              <w:top w:w="80" w:type="dxa"/>
              <w:start w:w="90" w:type="dxa"/>
              <w:bottom w:w="80" w:type="dxa"/>
              <w:end w:w="90" w:type="dxa"/>
            </w:tcMar>
          </w:tcPr>
          <w:p>
            <w:pPr>
              <w:jc w:val="center"/>
            </w:pPr>
            <w:r>
              <w:rPr>
                <w:sz w:val="16"/>
              </w:rPr>
              <w:t>-384</w:t>
            </w:r>
          </w:p>
        </w:tc>
        <w:tc>
          <w:tcPr>
            <w:tcW w:type="dxa" w:w="1419"/>
            <w:vAlign w:val="center"/>
            <w:tcMar>
              <w:top w:w="80" w:type="dxa"/>
              <w:start w:w="90" w:type="dxa"/>
              <w:bottom w:w="80" w:type="dxa"/>
              <w:end w:w="90" w:type="dxa"/>
            </w:tcMar>
          </w:tcPr>
          <w:p>
            <w:pPr>
              <w:jc w:val="center"/>
            </w:pPr>
            <w:r>
              <w:rPr>
                <w:sz w:val="16"/>
              </w:rPr>
              <w:t>22,089</w:t>
            </w:r>
          </w:p>
        </w:tc>
      </w:tr>
      <w:tr>
        <w:trPr>
          <w:cantSplit/>
        </w:trPr>
        <w:tc>
          <w:tcPr>
            <w:tcW w:type="dxa" w:w="1419"/>
            <w:vAlign w:val="center"/>
            <w:tcMar>
              <w:top w:w="80" w:type="dxa"/>
              <w:start w:w="90" w:type="dxa"/>
              <w:bottom w:w="80" w:type="dxa"/>
              <w:end w:w="90" w:type="dxa"/>
            </w:tcMar>
          </w:tcPr>
          <w:p>
            <w:pPr>
              <w:jc w:val="left"/>
            </w:pPr>
            <w:r>
              <w:rPr>
                <w:sz w:val="16"/>
              </w:rPr>
              <w:t>China</w:t>
            </w:r>
          </w:p>
        </w:tc>
        <w:tc>
          <w:tcPr>
            <w:tcW w:type="dxa" w:w="1419"/>
            <w:vAlign w:val="center"/>
            <w:tcMar>
              <w:top w:w="80" w:type="dxa"/>
              <w:start w:w="90" w:type="dxa"/>
              <w:bottom w:w="80" w:type="dxa"/>
              <w:end w:w="90" w:type="dxa"/>
            </w:tcMar>
          </w:tcPr>
          <w:p>
            <w:pPr>
              <w:jc w:val="center"/>
            </w:pPr>
            <w:r>
              <w:rPr>
                <w:sz w:val="16"/>
              </w:rPr>
              <w:t>Male</w:t>
            </w:r>
          </w:p>
        </w:tc>
        <w:tc>
          <w:tcPr>
            <w:tcW w:type="dxa" w:w="1419"/>
            <w:vAlign w:val="center"/>
            <w:tcMar>
              <w:top w:w="80" w:type="dxa"/>
              <w:start w:w="90" w:type="dxa"/>
              <w:bottom w:w="80" w:type="dxa"/>
              <w:end w:w="90" w:type="dxa"/>
            </w:tcMar>
          </w:tcPr>
          <w:p>
            <w:pPr>
              <w:jc w:val="center"/>
            </w:pPr>
            <w:r>
              <w:rPr>
                <w:sz w:val="16"/>
              </w:rPr>
              <w:t>Prevalence</w:t>
            </w:r>
          </w:p>
        </w:tc>
        <w:tc>
          <w:tcPr>
            <w:tcW w:type="dxa" w:w="1419"/>
            <w:vAlign w:val="center"/>
            <w:tcMar>
              <w:top w:w="80" w:type="dxa"/>
              <w:start w:w="90" w:type="dxa"/>
              <w:bottom w:w="80" w:type="dxa"/>
              <w:end w:w="90" w:type="dxa"/>
            </w:tcMar>
          </w:tcPr>
          <w:p>
            <w:pPr>
              <w:jc w:val="center"/>
            </w:pPr>
            <w:r>
              <w:rPr>
                <w:sz w:val="16"/>
              </w:rPr>
              <w:t>720,519</w:t>
            </w:r>
          </w:p>
        </w:tc>
        <w:tc>
          <w:tcPr>
            <w:tcW w:type="dxa" w:w="1419"/>
            <w:vAlign w:val="center"/>
            <w:tcMar>
              <w:top w:w="80" w:type="dxa"/>
              <w:start w:w="90" w:type="dxa"/>
              <w:bottom w:w="80" w:type="dxa"/>
              <w:end w:w="90" w:type="dxa"/>
            </w:tcMar>
          </w:tcPr>
          <w:p>
            <w:pPr>
              <w:jc w:val="center"/>
            </w:pPr>
            <w:r>
              <w:rPr>
                <w:sz w:val="16"/>
              </w:rPr>
              <w:t>273,232</w:t>
            </w:r>
          </w:p>
        </w:tc>
        <w:tc>
          <w:tcPr>
            <w:tcW w:type="dxa" w:w="1419"/>
            <w:vAlign w:val="center"/>
            <w:tcMar>
              <w:top w:w="80" w:type="dxa"/>
              <w:start w:w="90" w:type="dxa"/>
              <w:bottom w:w="80" w:type="dxa"/>
              <w:end w:w="90" w:type="dxa"/>
            </w:tcMar>
          </w:tcPr>
          <w:p>
            <w:pPr>
              <w:jc w:val="center"/>
            </w:pPr>
            <w:r>
              <w:rPr>
                <w:sz w:val="16"/>
              </w:rPr>
              <w:t>6,207</w:t>
            </w:r>
          </w:p>
        </w:tc>
        <w:tc>
          <w:tcPr>
            <w:tcW w:type="dxa" w:w="1419"/>
            <w:vAlign w:val="center"/>
            <w:tcMar>
              <w:top w:w="80" w:type="dxa"/>
              <w:start w:w="90" w:type="dxa"/>
              <w:bottom w:w="80" w:type="dxa"/>
              <w:end w:w="90" w:type="dxa"/>
            </w:tcMar>
          </w:tcPr>
          <w:p>
            <w:pPr>
              <w:jc w:val="center"/>
            </w:pPr>
            <w:r>
              <w:rPr>
                <w:sz w:val="16"/>
              </w:rPr>
              <w:t>999,958</w:t>
            </w:r>
          </w:p>
        </w:tc>
      </w:tr>
      <w:tr>
        <w:trPr>
          <w:cantSplit/>
        </w:trPr>
        <w:tc>
          <w:tcPr>
            <w:tcW w:type="dxa" w:w="1419"/>
            <w:vAlign w:val="center"/>
            <w:tcMar>
              <w:top w:w="80" w:type="dxa"/>
              <w:start w:w="90" w:type="dxa"/>
              <w:bottom w:w="80" w:type="dxa"/>
              <w:end w:w="90" w:type="dxa"/>
            </w:tcMar>
          </w:tcPr>
          <w:p>
            <w:pPr>
              <w:jc w:val="left"/>
            </w:pPr>
            <w:r>
              <w:rPr>
                <w:sz w:val="16"/>
              </w:rPr>
              <w:t>China</w:t>
            </w:r>
          </w:p>
        </w:tc>
        <w:tc>
          <w:tcPr>
            <w:tcW w:type="dxa" w:w="1419"/>
            <w:vAlign w:val="center"/>
            <w:tcMar>
              <w:top w:w="80" w:type="dxa"/>
              <w:start w:w="90" w:type="dxa"/>
              <w:bottom w:w="80" w:type="dxa"/>
              <w:end w:w="90" w:type="dxa"/>
            </w:tcMar>
          </w:tcPr>
          <w:p>
            <w:pPr>
              <w:jc w:val="center"/>
            </w:pPr>
            <w:r>
              <w:rPr>
                <w:sz w:val="16"/>
              </w:rPr>
              <w:t>Male</w:t>
            </w:r>
          </w:p>
        </w:tc>
        <w:tc>
          <w:tcPr>
            <w:tcW w:type="dxa" w:w="1419"/>
            <w:vAlign w:val="center"/>
            <w:tcMar>
              <w:top w:w="80" w:type="dxa"/>
              <w:start w:w="90" w:type="dxa"/>
              <w:bottom w:w="80" w:type="dxa"/>
              <w:end w:w="90" w:type="dxa"/>
            </w:tcMar>
          </w:tcPr>
          <w:p>
            <w:pPr>
              <w:jc w:val="center"/>
            </w:pPr>
            <w:r>
              <w:rPr>
                <w:sz w:val="16"/>
              </w:rPr>
              <w:t>DALYs</w:t>
            </w:r>
          </w:p>
        </w:tc>
        <w:tc>
          <w:tcPr>
            <w:tcW w:type="dxa" w:w="1419"/>
            <w:vAlign w:val="center"/>
            <w:tcMar>
              <w:top w:w="80" w:type="dxa"/>
              <w:start w:w="90" w:type="dxa"/>
              <w:bottom w:w="80" w:type="dxa"/>
              <w:end w:w="90" w:type="dxa"/>
            </w:tcMar>
          </w:tcPr>
          <w:p>
            <w:pPr>
              <w:jc w:val="center"/>
            </w:pPr>
            <w:r>
              <w:rPr>
                <w:sz w:val="16"/>
              </w:rPr>
              <w:t>463,193</w:t>
            </w:r>
          </w:p>
        </w:tc>
        <w:tc>
          <w:tcPr>
            <w:tcW w:type="dxa" w:w="1419"/>
            <w:vAlign w:val="center"/>
            <w:tcMar>
              <w:top w:w="80" w:type="dxa"/>
              <w:start w:w="90" w:type="dxa"/>
              <w:bottom w:w="80" w:type="dxa"/>
              <w:end w:w="90" w:type="dxa"/>
            </w:tcMar>
          </w:tcPr>
          <w:p>
            <w:pPr>
              <w:jc w:val="center"/>
            </w:pPr>
            <w:r>
              <w:rPr>
                <w:sz w:val="16"/>
              </w:rPr>
              <w:t>146,923</w:t>
            </w:r>
          </w:p>
        </w:tc>
        <w:tc>
          <w:tcPr>
            <w:tcW w:type="dxa" w:w="1419"/>
            <w:vAlign w:val="center"/>
            <w:tcMar>
              <w:top w:w="80" w:type="dxa"/>
              <w:start w:w="90" w:type="dxa"/>
              <w:bottom w:w="80" w:type="dxa"/>
              <w:end w:w="90" w:type="dxa"/>
            </w:tcMar>
          </w:tcPr>
          <w:p>
            <w:pPr>
              <w:jc w:val="center"/>
            </w:pPr>
            <w:r>
              <w:rPr>
                <w:sz w:val="16"/>
              </w:rPr>
              <w:t>8,917</w:t>
            </w:r>
          </w:p>
        </w:tc>
        <w:tc>
          <w:tcPr>
            <w:tcW w:type="dxa" w:w="1419"/>
            <w:vAlign w:val="center"/>
            <w:tcMar>
              <w:top w:w="80" w:type="dxa"/>
              <w:start w:w="90" w:type="dxa"/>
              <w:bottom w:w="80" w:type="dxa"/>
              <w:end w:w="90" w:type="dxa"/>
            </w:tcMar>
          </w:tcPr>
          <w:p>
            <w:pPr>
              <w:jc w:val="center"/>
            </w:pPr>
            <w:r>
              <w:rPr>
                <w:sz w:val="16"/>
              </w:rPr>
              <w:t>619,033</w:t>
            </w:r>
          </w:p>
        </w:tc>
      </w:tr>
      <w:tr>
        <w:trPr>
          <w:cantSplit/>
        </w:trPr>
        <w:tc>
          <w:tcPr>
            <w:tcW w:type="dxa" w:w="1419"/>
            <w:vAlign w:val="center"/>
            <w:tcMar>
              <w:top w:w="80" w:type="dxa"/>
              <w:start w:w="90" w:type="dxa"/>
              <w:bottom w:w="80" w:type="dxa"/>
              <w:end w:w="90" w:type="dxa"/>
            </w:tcMar>
          </w:tcPr>
          <w:p>
            <w:pPr>
              <w:jc w:val="left"/>
            </w:pPr>
            <w:r>
              <w:rPr>
                <w:sz w:val="16"/>
              </w:rPr>
              <w:t>United States</w:t>
            </w:r>
          </w:p>
        </w:tc>
        <w:tc>
          <w:tcPr>
            <w:tcW w:type="dxa" w:w="1419"/>
            <w:vAlign w:val="center"/>
            <w:tcMar>
              <w:top w:w="80" w:type="dxa"/>
              <w:start w:w="90" w:type="dxa"/>
              <w:bottom w:w="80" w:type="dxa"/>
              <w:end w:w="90" w:type="dxa"/>
            </w:tcMar>
          </w:tcPr>
          <w:p>
            <w:pPr>
              <w:jc w:val="center"/>
            </w:pPr>
            <w:r>
              <w:rPr>
                <w:sz w:val="16"/>
              </w:rPr>
              <w:t>Female</w:t>
            </w:r>
          </w:p>
        </w:tc>
        <w:tc>
          <w:tcPr>
            <w:tcW w:type="dxa" w:w="1419"/>
            <w:vAlign w:val="center"/>
            <w:tcMar>
              <w:top w:w="80" w:type="dxa"/>
              <w:start w:w="90" w:type="dxa"/>
              <w:bottom w:w="80" w:type="dxa"/>
              <w:end w:w="90" w:type="dxa"/>
            </w:tcMar>
          </w:tcPr>
          <w:p>
            <w:pPr>
              <w:jc w:val="center"/>
            </w:pPr>
            <w:r>
              <w:rPr>
                <w:sz w:val="16"/>
              </w:rPr>
              <w:t>Incidence</w:t>
            </w:r>
          </w:p>
        </w:tc>
        <w:tc>
          <w:tcPr>
            <w:tcW w:type="dxa" w:w="1419"/>
            <w:vAlign w:val="center"/>
            <w:tcMar>
              <w:top w:w="80" w:type="dxa"/>
              <w:start w:w="90" w:type="dxa"/>
              <w:bottom w:w="80" w:type="dxa"/>
              <w:end w:w="90" w:type="dxa"/>
            </w:tcMar>
          </w:tcPr>
          <w:p>
            <w:pPr>
              <w:jc w:val="center"/>
            </w:pPr>
            <w:r>
              <w:rPr>
                <w:sz w:val="16"/>
              </w:rPr>
              <w:t>10,364</w:t>
            </w:r>
          </w:p>
        </w:tc>
        <w:tc>
          <w:tcPr>
            <w:tcW w:type="dxa" w:w="1419"/>
            <w:vAlign w:val="center"/>
            <w:tcMar>
              <w:top w:w="80" w:type="dxa"/>
              <w:start w:w="90" w:type="dxa"/>
              <w:bottom w:w="80" w:type="dxa"/>
              <w:end w:w="90" w:type="dxa"/>
            </w:tcMar>
          </w:tcPr>
          <w:p>
            <w:pPr>
              <w:jc w:val="center"/>
            </w:pPr>
            <w:r>
              <w:rPr>
                <w:sz w:val="16"/>
              </w:rPr>
              <w:t>-4,422</w:t>
            </w:r>
          </w:p>
        </w:tc>
        <w:tc>
          <w:tcPr>
            <w:tcW w:type="dxa" w:w="1419"/>
            <w:vAlign w:val="center"/>
            <w:tcMar>
              <w:top w:w="80" w:type="dxa"/>
              <w:start w:w="90" w:type="dxa"/>
              <w:bottom w:w="80" w:type="dxa"/>
              <w:end w:w="90" w:type="dxa"/>
            </w:tcMar>
          </w:tcPr>
          <w:p>
            <w:pPr>
              <w:jc w:val="center"/>
            </w:pPr>
            <w:r>
              <w:rPr>
                <w:sz w:val="16"/>
              </w:rPr>
              <w:t>-1,862</w:t>
            </w:r>
          </w:p>
        </w:tc>
        <w:tc>
          <w:tcPr>
            <w:tcW w:type="dxa" w:w="1419"/>
            <w:vAlign w:val="center"/>
            <w:tcMar>
              <w:top w:w="80" w:type="dxa"/>
              <w:start w:w="90" w:type="dxa"/>
              <w:bottom w:w="80" w:type="dxa"/>
              <w:end w:w="90" w:type="dxa"/>
            </w:tcMar>
          </w:tcPr>
          <w:p>
            <w:pPr>
              <w:jc w:val="center"/>
            </w:pPr>
            <w:r>
              <w:rPr>
                <w:sz w:val="16"/>
              </w:rPr>
              <w:t>4,079</w:t>
            </w:r>
          </w:p>
        </w:tc>
      </w:tr>
      <w:tr>
        <w:trPr>
          <w:cantSplit/>
        </w:trPr>
        <w:tc>
          <w:tcPr>
            <w:tcW w:type="dxa" w:w="1419"/>
            <w:vAlign w:val="center"/>
            <w:tcMar>
              <w:top w:w="80" w:type="dxa"/>
              <w:start w:w="90" w:type="dxa"/>
              <w:bottom w:w="80" w:type="dxa"/>
              <w:end w:w="90" w:type="dxa"/>
            </w:tcMar>
          </w:tcPr>
          <w:p>
            <w:pPr>
              <w:jc w:val="left"/>
            </w:pPr>
            <w:r>
              <w:rPr>
                <w:sz w:val="16"/>
              </w:rPr>
              <w:t>United States</w:t>
            </w:r>
          </w:p>
        </w:tc>
        <w:tc>
          <w:tcPr>
            <w:tcW w:type="dxa" w:w="1419"/>
            <w:vAlign w:val="center"/>
            <w:tcMar>
              <w:top w:w="80" w:type="dxa"/>
              <w:start w:w="90" w:type="dxa"/>
              <w:bottom w:w="80" w:type="dxa"/>
              <w:end w:w="90" w:type="dxa"/>
            </w:tcMar>
          </w:tcPr>
          <w:p>
            <w:pPr>
              <w:jc w:val="center"/>
            </w:pPr>
            <w:r>
              <w:rPr>
                <w:sz w:val="16"/>
              </w:rPr>
              <w:t>Female</w:t>
            </w:r>
          </w:p>
        </w:tc>
        <w:tc>
          <w:tcPr>
            <w:tcW w:type="dxa" w:w="1419"/>
            <w:vAlign w:val="center"/>
            <w:tcMar>
              <w:top w:w="80" w:type="dxa"/>
              <w:start w:w="90" w:type="dxa"/>
              <w:bottom w:w="80" w:type="dxa"/>
              <w:end w:w="90" w:type="dxa"/>
            </w:tcMar>
          </w:tcPr>
          <w:p>
            <w:pPr>
              <w:jc w:val="center"/>
            </w:pPr>
            <w:r>
              <w:rPr>
                <w:sz w:val="16"/>
              </w:rPr>
              <w:t>Prevalence</w:t>
            </w:r>
          </w:p>
        </w:tc>
        <w:tc>
          <w:tcPr>
            <w:tcW w:type="dxa" w:w="1419"/>
            <w:vAlign w:val="center"/>
            <w:tcMar>
              <w:top w:w="80" w:type="dxa"/>
              <w:start w:w="90" w:type="dxa"/>
              <w:bottom w:w="80" w:type="dxa"/>
              <w:end w:w="90" w:type="dxa"/>
            </w:tcMar>
          </w:tcPr>
          <w:p>
            <w:pPr>
              <w:jc w:val="center"/>
            </w:pPr>
            <w:r>
              <w:rPr>
                <w:sz w:val="16"/>
              </w:rPr>
              <w:t>215,130</w:t>
            </w:r>
          </w:p>
        </w:tc>
        <w:tc>
          <w:tcPr>
            <w:tcW w:type="dxa" w:w="1419"/>
            <w:vAlign w:val="center"/>
            <w:tcMar>
              <w:top w:w="80" w:type="dxa"/>
              <w:start w:w="90" w:type="dxa"/>
              <w:bottom w:w="80" w:type="dxa"/>
              <w:end w:w="90" w:type="dxa"/>
            </w:tcMar>
          </w:tcPr>
          <w:p>
            <w:pPr>
              <w:jc w:val="center"/>
            </w:pPr>
            <w:r>
              <w:rPr>
                <w:sz w:val="16"/>
              </w:rPr>
              <w:t>-24,242</w:t>
            </w:r>
          </w:p>
        </w:tc>
        <w:tc>
          <w:tcPr>
            <w:tcW w:type="dxa" w:w="1419"/>
            <w:vAlign w:val="center"/>
            <w:tcMar>
              <w:top w:w="80" w:type="dxa"/>
              <w:start w:w="90" w:type="dxa"/>
              <w:bottom w:w="80" w:type="dxa"/>
              <w:end w:w="90" w:type="dxa"/>
            </w:tcMar>
          </w:tcPr>
          <w:p>
            <w:pPr>
              <w:jc w:val="center"/>
            </w:pPr>
            <w:r>
              <w:rPr>
                <w:sz w:val="16"/>
              </w:rPr>
              <w:t>-49,272</w:t>
            </w:r>
          </w:p>
        </w:tc>
        <w:tc>
          <w:tcPr>
            <w:tcW w:type="dxa" w:w="1419"/>
            <w:vAlign w:val="center"/>
            <w:tcMar>
              <w:top w:w="80" w:type="dxa"/>
              <w:start w:w="90" w:type="dxa"/>
              <w:bottom w:w="80" w:type="dxa"/>
              <w:end w:w="90" w:type="dxa"/>
            </w:tcMar>
          </w:tcPr>
          <w:p>
            <w:pPr>
              <w:jc w:val="center"/>
            </w:pPr>
            <w:r>
              <w:rPr>
                <w:sz w:val="16"/>
              </w:rPr>
              <w:t>141,616</w:t>
            </w:r>
          </w:p>
        </w:tc>
      </w:tr>
      <w:tr>
        <w:trPr>
          <w:cantSplit/>
        </w:trPr>
        <w:tc>
          <w:tcPr>
            <w:tcW w:type="dxa" w:w="1419"/>
            <w:vAlign w:val="center"/>
            <w:tcMar>
              <w:top w:w="80" w:type="dxa"/>
              <w:start w:w="90" w:type="dxa"/>
              <w:bottom w:w="80" w:type="dxa"/>
              <w:end w:w="90" w:type="dxa"/>
            </w:tcMar>
          </w:tcPr>
          <w:p>
            <w:pPr>
              <w:jc w:val="left"/>
            </w:pPr>
            <w:r>
              <w:rPr>
                <w:sz w:val="16"/>
              </w:rPr>
              <w:t>United States</w:t>
            </w:r>
          </w:p>
        </w:tc>
        <w:tc>
          <w:tcPr>
            <w:tcW w:type="dxa" w:w="1419"/>
            <w:vAlign w:val="center"/>
            <w:tcMar>
              <w:top w:w="80" w:type="dxa"/>
              <w:start w:w="90" w:type="dxa"/>
              <w:bottom w:w="80" w:type="dxa"/>
              <w:end w:w="90" w:type="dxa"/>
            </w:tcMar>
          </w:tcPr>
          <w:p>
            <w:pPr>
              <w:jc w:val="center"/>
            </w:pPr>
            <w:r>
              <w:rPr>
                <w:sz w:val="16"/>
              </w:rPr>
              <w:t>Female</w:t>
            </w:r>
          </w:p>
        </w:tc>
        <w:tc>
          <w:tcPr>
            <w:tcW w:type="dxa" w:w="1419"/>
            <w:vAlign w:val="center"/>
            <w:tcMar>
              <w:top w:w="80" w:type="dxa"/>
              <w:start w:w="90" w:type="dxa"/>
              <w:bottom w:w="80" w:type="dxa"/>
              <w:end w:w="90" w:type="dxa"/>
            </w:tcMar>
          </w:tcPr>
          <w:p>
            <w:pPr>
              <w:jc w:val="center"/>
            </w:pPr>
            <w:r>
              <w:rPr>
                <w:sz w:val="16"/>
              </w:rPr>
              <w:t>DALYs</w:t>
            </w:r>
          </w:p>
        </w:tc>
        <w:tc>
          <w:tcPr>
            <w:tcW w:type="dxa" w:w="1419"/>
            <w:vAlign w:val="center"/>
            <w:tcMar>
              <w:top w:w="80" w:type="dxa"/>
              <w:start w:w="90" w:type="dxa"/>
              <w:bottom w:w="80" w:type="dxa"/>
              <w:end w:w="90" w:type="dxa"/>
            </w:tcMar>
          </w:tcPr>
          <w:p>
            <w:pPr>
              <w:jc w:val="center"/>
            </w:pPr>
            <w:r>
              <w:rPr>
                <w:sz w:val="16"/>
              </w:rPr>
              <w:t>131,648</w:t>
            </w:r>
          </w:p>
        </w:tc>
        <w:tc>
          <w:tcPr>
            <w:tcW w:type="dxa" w:w="1419"/>
            <w:vAlign w:val="center"/>
            <w:tcMar>
              <w:top w:w="80" w:type="dxa"/>
              <w:start w:w="90" w:type="dxa"/>
              <w:bottom w:w="80" w:type="dxa"/>
              <w:end w:w="90" w:type="dxa"/>
            </w:tcMar>
          </w:tcPr>
          <w:p>
            <w:pPr>
              <w:jc w:val="center"/>
            </w:pPr>
            <w:r>
              <w:rPr>
                <w:sz w:val="16"/>
              </w:rPr>
              <w:t>-18,658</w:t>
            </w:r>
          </w:p>
        </w:tc>
        <w:tc>
          <w:tcPr>
            <w:tcW w:type="dxa" w:w="1419"/>
            <w:vAlign w:val="center"/>
            <w:tcMar>
              <w:top w:w="80" w:type="dxa"/>
              <w:start w:w="90" w:type="dxa"/>
              <w:bottom w:w="80" w:type="dxa"/>
              <w:end w:w="90" w:type="dxa"/>
            </w:tcMar>
          </w:tcPr>
          <w:p>
            <w:pPr>
              <w:jc w:val="center"/>
            </w:pPr>
            <w:r>
              <w:rPr>
                <w:sz w:val="16"/>
              </w:rPr>
              <w:t>-33,939</w:t>
            </w:r>
          </w:p>
        </w:tc>
        <w:tc>
          <w:tcPr>
            <w:tcW w:type="dxa" w:w="1419"/>
            <w:vAlign w:val="center"/>
            <w:tcMar>
              <w:top w:w="80" w:type="dxa"/>
              <w:start w:w="90" w:type="dxa"/>
              <w:bottom w:w="80" w:type="dxa"/>
              <w:end w:w="90" w:type="dxa"/>
            </w:tcMar>
          </w:tcPr>
          <w:p>
            <w:pPr>
              <w:jc w:val="center"/>
            </w:pPr>
            <w:r>
              <w:rPr>
                <w:sz w:val="16"/>
              </w:rPr>
              <w:t>79,051</w:t>
            </w:r>
          </w:p>
        </w:tc>
      </w:tr>
      <w:tr>
        <w:trPr>
          <w:cantSplit/>
        </w:trPr>
        <w:tc>
          <w:tcPr>
            <w:tcW w:type="dxa" w:w="1419"/>
            <w:vAlign w:val="center"/>
            <w:tcMar>
              <w:top w:w="80" w:type="dxa"/>
              <w:start w:w="90" w:type="dxa"/>
              <w:bottom w:w="80" w:type="dxa"/>
              <w:end w:w="90" w:type="dxa"/>
            </w:tcMar>
          </w:tcPr>
          <w:p>
            <w:pPr>
              <w:jc w:val="left"/>
            </w:pPr>
            <w:r>
              <w:rPr>
                <w:sz w:val="16"/>
              </w:rPr>
              <w:t>United States</w:t>
            </w:r>
          </w:p>
        </w:tc>
        <w:tc>
          <w:tcPr>
            <w:tcW w:type="dxa" w:w="1419"/>
            <w:vAlign w:val="center"/>
            <w:tcMar>
              <w:top w:w="80" w:type="dxa"/>
              <w:start w:w="90" w:type="dxa"/>
              <w:bottom w:w="80" w:type="dxa"/>
              <w:end w:w="90" w:type="dxa"/>
            </w:tcMar>
          </w:tcPr>
          <w:p>
            <w:pPr>
              <w:jc w:val="center"/>
            </w:pPr>
            <w:r>
              <w:rPr>
                <w:sz w:val="16"/>
              </w:rPr>
              <w:t>Male</w:t>
            </w:r>
          </w:p>
        </w:tc>
        <w:tc>
          <w:tcPr>
            <w:tcW w:type="dxa" w:w="1419"/>
            <w:vAlign w:val="center"/>
            <w:tcMar>
              <w:top w:w="80" w:type="dxa"/>
              <w:start w:w="90" w:type="dxa"/>
              <w:bottom w:w="80" w:type="dxa"/>
              <w:end w:w="90" w:type="dxa"/>
            </w:tcMar>
          </w:tcPr>
          <w:p>
            <w:pPr>
              <w:jc w:val="center"/>
            </w:pPr>
            <w:r>
              <w:rPr>
                <w:sz w:val="16"/>
              </w:rPr>
              <w:t>Incidence</w:t>
            </w:r>
          </w:p>
        </w:tc>
        <w:tc>
          <w:tcPr>
            <w:tcW w:type="dxa" w:w="1419"/>
            <w:vAlign w:val="center"/>
            <w:tcMar>
              <w:top w:w="80" w:type="dxa"/>
              <w:start w:w="90" w:type="dxa"/>
              <w:bottom w:w="80" w:type="dxa"/>
              <w:end w:w="90" w:type="dxa"/>
            </w:tcMar>
          </w:tcPr>
          <w:p>
            <w:pPr>
              <w:jc w:val="center"/>
            </w:pPr>
            <w:r>
              <w:rPr>
                <w:sz w:val="16"/>
              </w:rPr>
              <w:t>13,514</w:t>
            </w:r>
          </w:p>
        </w:tc>
        <w:tc>
          <w:tcPr>
            <w:tcW w:type="dxa" w:w="1419"/>
            <w:vAlign w:val="center"/>
            <w:tcMar>
              <w:top w:w="80" w:type="dxa"/>
              <w:start w:w="90" w:type="dxa"/>
              <w:bottom w:w="80" w:type="dxa"/>
              <w:end w:w="90" w:type="dxa"/>
            </w:tcMar>
          </w:tcPr>
          <w:p>
            <w:pPr>
              <w:jc w:val="center"/>
            </w:pPr>
            <w:r>
              <w:rPr>
                <w:sz w:val="16"/>
              </w:rPr>
              <w:t>-6,004</w:t>
            </w:r>
          </w:p>
        </w:tc>
        <w:tc>
          <w:tcPr>
            <w:tcW w:type="dxa" w:w="1419"/>
            <w:vAlign w:val="center"/>
            <w:tcMar>
              <w:top w:w="80" w:type="dxa"/>
              <w:start w:w="90" w:type="dxa"/>
              <w:bottom w:w="80" w:type="dxa"/>
              <w:end w:w="90" w:type="dxa"/>
            </w:tcMar>
          </w:tcPr>
          <w:p>
            <w:pPr>
              <w:jc w:val="center"/>
            </w:pPr>
            <w:r>
              <w:rPr>
                <w:sz w:val="16"/>
              </w:rPr>
              <w:t>-1,095</w:t>
            </w:r>
          </w:p>
        </w:tc>
        <w:tc>
          <w:tcPr>
            <w:tcW w:type="dxa" w:w="1419"/>
            <w:vAlign w:val="center"/>
            <w:tcMar>
              <w:top w:w="80" w:type="dxa"/>
              <w:start w:w="90" w:type="dxa"/>
              <w:bottom w:w="80" w:type="dxa"/>
              <w:end w:w="90" w:type="dxa"/>
            </w:tcMar>
          </w:tcPr>
          <w:p>
            <w:pPr>
              <w:jc w:val="center"/>
            </w:pPr>
            <w:r>
              <w:rPr>
                <w:sz w:val="16"/>
              </w:rPr>
              <w:t>6,415</w:t>
            </w:r>
          </w:p>
        </w:tc>
      </w:tr>
      <w:tr>
        <w:trPr>
          <w:cantSplit/>
        </w:trPr>
        <w:tc>
          <w:tcPr>
            <w:tcW w:type="dxa" w:w="1419"/>
            <w:vAlign w:val="center"/>
            <w:tcMar>
              <w:top w:w="80" w:type="dxa"/>
              <w:start w:w="90" w:type="dxa"/>
              <w:bottom w:w="80" w:type="dxa"/>
              <w:end w:w="90" w:type="dxa"/>
            </w:tcMar>
          </w:tcPr>
          <w:p>
            <w:pPr>
              <w:jc w:val="left"/>
            </w:pPr>
            <w:r>
              <w:rPr>
                <w:sz w:val="16"/>
              </w:rPr>
              <w:t>United States</w:t>
            </w:r>
          </w:p>
        </w:tc>
        <w:tc>
          <w:tcPr>
            <w:tcW w:type="dxa" w:w="1419"/>
            <w:vAlign w:val="center"/>
            <w:tcMar>
              <w:top w:w="80" w:type="dxa"/>
              <w:start w:w="90" w:type="dxa"/>
              <w:bottom w:w="80" w:type="dxa"/>
              <w:end w:w="90" w:type="dxa"/>
            </w:tcMar>
          </w:tcPr>
          <w:p>
            <w:pPr>
              <w:jc w:val="center"/>
            </w:pPr>
            <w:r>
              <w:rPr>
                <w:sz w:val="16"/>
              </w:rPr>
              <w:t>Male</w:t>
            </w:r>
          </w:p>
        </w:tc>
        <w:tc>
          <w:tcPr>
            <w:tcW w:type="dxa" w:w="1419"/>
            <w:vAlign w:val="center"/>
            <w:tcMar>
              <w:top w:w="80" w:type="dxa"/>
              <w:start w:w="90" w:type="dxa"/>
              <w:bottom w:w="80" w:type="dxa"/>
              <w:end w:w="90" w:type="dxa"/>
            </w:tcMar>
          </w:tcPr>
          <w:p>
            <w:pPr>
              <w:jc w:val="center"/>
            </w:pPr>
            <w:r>
              <w:rPr>
                <w:sz w:val="16"/>
              </w:rPr>
              <w:t>Prevalence</w:t>
            </w:r>
          </w:p>
        </w:tc>
        <w:tc>
          <w:tcPr>
            <w:tcW w:type="dxa" w:w="1419"/>
            <w:vAlign w:val="center"/>
            <w:tcMar>
              <w:top w:w="80" w:type="dxa"/>
              <w:start w:w="90" w:type="dxa"/>
              <w:bottom w:w="80" w:type="dxa"/>
              <w:end w:w="90" w:type="dxa"/>
            </w:tcMar>
          </w:tcPr>
          <w:p>
            <w:pPr>
              <w:jc w:val="center"/>
            </w:pPr>
            <w:r>
              <w:rPr>
                <w:sz w:val="16"/>
              </w:rPr>
              <w:t>245,909</w:t>
            </w:r>
          </w:p>
        </w:tc>
        <w:tc>
          <w:tcPr>
            <w:tcW w:type="dxa" w:w="1419"/>
            <w:vAlign w:val="center"/>
            <w:tcMar>
              <w:top w:w="80" w:type="dxa"/>
              <w:start w:w="90" w:type="dxa"/>
              <w:bottom w:w="80" w:type="dxa"/>
              <w:end w:w="90" w:type="dxa"/>
            </w:tcMar>
          </w:tcPr>
          <w:p>
            <w:pPr>
              <w:jc w:val="center"/>
            </w:pPr>
            <w:r>
              <w:rPr>
                <w:sz w:val="16"/>
              </w:rPr>
              <w:t>-31,322</w:t>
            </w:r>
          </w:p>
        </w:tc>
        <w:tc>
          <w:tcPr>
            <w:tcW w:type="dxa" w:w="1419"/>
            <w:vAlign w:val="center"/>
            <w:tcMar>
              <w:top w:w="80" w:type="dxa"/>
              <w:start w:w="90" w:type="dxa"/>
              <w:bottom w:w="80" w:type="dxa"/>
              <w:end w:w="90" w:type="dxa"/>
            </w:tcMar>
          </w:tcPr>
          <w:p>
            <w:pPr>
              <w:jc w:val="center"/>
            </w:pPr>
            <w:r>
              <w:rPr>
                <w:sz w:val="16"/>
              </w:rPr>
              <w:t>-22,406</w:t>
            </w:r>
          </w:p>
        </w:tc>
        <w:tc>
          <w:tcPr>
            <w:tcW w:type="dxa" w:w="1419"/>
            <w:vAlign w:val="center"/>
            <w:tcMar>
              <w:top w:w="80" w:type="dxa"/>
              <w:start w:w="90" w:type="dxa"/>
              <w:bottom w:w="80" w:type="dxa"/>
              <w:end w:w="90" w:type="dxa"/>
            </w:tcMar>
          </w:tcPr>
          <w:p>
            <w:pPr>
              <w:jc w:val="center"/>
            </w:pPr>
            <w:r>
              <w:rPr>
                <w:sz w:val="16"/>
              </w:rPr>
              <w:t>192,181</w:t>
            </w:r>
          </w:p>
        </w:tc>
      </w:tr>
      <w:tr>
        <w:trPr>
          <w:cantSplit/>
        </w:trPr>
        <w:tc>
          <w:tcPr>
            <w:tcW w:type="dxa" w:w="1419"/>
            <w:vAlign w:val="center"/>
            <w:tcMar>
              <w:top w:w="80" w:type="dxa"/>
              <w:start w:w="90" w:type="dxa"/>
              <w:bottom w:w="80" w:type="dxa"/>
              <w:end w:w="90" w:type="dxa"/>
            </w:tcMar>
          </w:tcPr>
          <w:p>
            <w:pPr>
              <w:jc w:val="left"/>
            </w:pPr>
            <w:r>
              <w:rPr>
                <w:sz w:val="16"/>
              </w:rPr>
              <w:t>United States</w:t>
            </w:r>
          </w:p>
        </w:tc>
        <w:tc>
          <w:tcPr>
            <w:tcW w:type="dxa" w:w="1419"/>
            <w:vAlign w:val="center"/>
            <w:tcMar>
              <w:top w:w="80" w:type="dxa"/>
              <w:start w:w="90" w:type="dxa"/>
              <w:bottom w:w="80" w:type="dxa"/>
              <w:end w:w="90" w:type="dxa"/>
            </w:tcMar>
          </w:tcPr>
          <w:p>
            <w:pPr>
              <w:jc w:val="center"/>
            </w:pPr>
            <w:r>
              <w:rPr>
                <w:sz w:val="16"/>
              </w:rPr>
              <w:t>Male</w:t>
            </w:r>
          </w:p>
        </w:tc>
        <w:tc>
          <w:tcPr>
            <w:tcW w:type="dxa" w:w="1419"/>
            <w:vAlign w:val="center"/>
            <w:tcMar>
              <w:top w:w="80" w:type="dxa"/>
              <w:start w:w="90" w:type="dxa"/>
              <w:bottom w:w="80" w:type="dxa"/>
              <w:end w:w="90" w:type="dxa"/>
            </w:tcMar>
          </w:tcPr>
          <w:p>
            <w:pPr>
              <w:jc w:val="center"/>
            </w:pPr>
            <w:r>
              <w:rPr>
                <w:sz w:val="16"/>
              </w:rPr>
              <w:t>DALYs</w:t>
            </w:r>
          </w:p>
        </w:tc>
        <w:tc>
          <w:tcPr>
            <w:tcW w:type="dxa" w:w="1419"/>
            <w:vAlign w:val="center"/>
            <w:tcMar>
              <w:top w:w="80" w:type="dxa"/>
              <w:start w:w="90" w:type="dxa"/>
              <w:bottom w:w="80" w:type="dxa"/>
              <w:end w:w="90" w:type="dxa"/>
            </w:tcMar>
          </w:tcPr>
          <w:p>
            <w:pPr>
              <w:jc w:val="center"/>
            </w:pPr>
            <w:r>
              <w:rPr>
                <w:sz w:val="16"/>
              </w:rPr>
              <w:t>154,733</w:t>
            </w:r>
          </w:p>
        </w:tc>
        <w:tc>
          <w:tcPr>
            <w:tcW w:type="dxa" w:w="1419"/>
            <w:vAlign w:val="center"/>
            <w:tcMar>
              <w:top w:w="80" w:type="dxa"/>
              <w:start w:w="90" w:type="dxa"/>
              <w:bottom w:w="80" w:type="dxa"/>
              <w:end w:w="90" w:type="dxa"/>
            </w:tcMar>
          </w:tcPr>
          <w:p>
            <w:pPr>
              <w:jc w:val="center"/>
            </w:pPr>
            <w:r>
              <w:rPr>
                <w:sz w:val="16"/>
              </w:rPr>
              <w:t>-24,599</w:t>
            </w:r>
          </w:p>
        </w:tc>
        <w:tc>
          <w:tcPr>
            <w:tcW w:type="dxa" w:w="1419"/>
            <w:vAlign w:val="center"/>
            <w:tcMar>
              <w:top w:w="80" w:type="dxa"/>
              <w:start w:w="90" w:type="dxa"/>
              <w:bottom w:w="80" w:type="dxa"/>
              <w:end w:w="90" w:type="dxa"/>
            </w:tcMar>
          </w:tcPr>
          <w:p>
            <w:pPr>
              <w:jc w:val="center"/>
            </w:pPr>
            <w:r>
              <w:rPr>
                <w:sz w:val="16"/>
              </w:rPr>
              <w:t>-17,340</w:t>
            </w:r>
          </w:p>
        </w:tc>
        <w:tc>
          <w:tcPr>
            <w:tcW w:type="dxa" w:w="1419"/>
            <w:vAlign w:val="center"/>
            <w:tcMar>
              <w:top w:w="80" w:type="dxa"/>
              <w:start w:w="90" w:type="dxa"/>
              <w:bottom w:w="80" w:type="dxa"/>
              <w:end w:w="90" w:type="dxa"/>
            </w:tcMar>
          </w:tcPr>
          <w:p>
            <w:pPr>
              <w:jc w:val="center"/>
            </w:pPr>
            <w:r>
              <w:rPr>
                <w:sz w:val="16"/>
              </w:rPr>
              <w:t>112,794</w:t>
            </w:r>
          </w:p>
        </w:tc>
      </w:tr>
    </w:tbl>
    <w:p/>
    <w:p>
      <w:r>
        <w:t>Population growth contributed positively in every panel. In China, age-composition change reduced incident cases but increased prevalent cases and DALYs; age-specific rate change was small relative to demographic components. In the United States, age-composition and rate changes countervailed population growth across all three outcomes and both sexes. Negative components represent countervailing forces; component percentages can therefore exceed 100% and were not treated as compositional shares.</w:t>
      </w:r>
    </w:p>
    <w:p>
      <w:pPr>
        <w:jc w:val="center"/>
      </w:pPr>
      <w:r>
        <w:drawing>
          <wp:inline xmlns:a="http://schemas.openxmlformats.org/drawingml/2006/main" xmlns:pic="http://schemas.openxmlformats.org/drawingml/2006/picture">
            <wp:extent cx="5074920" cy="4234786"/>
            <wp:docPr id="4" name="Picture 4" descr="Six panels decomposing changes among persons aged 15 years and older into population growth, ageing, and rate change." title="Six panels decomposing changes among persons aged 15 years and older into popula"/>
            <wp:cNvGraphicFramePr>
              <a:graphicFrameLocks noChangeAspect="1"/>
            </wp:cNvGraphicFramePr>
            <a:graphic>
              <a:graphicData uri="http://schemas.openxmlformats.org/drawingml/2006/picture">
                <pic:pic>
                  <pic:nvPicPr>
                    <pic:cNvPr id="0" name="figure_4_decomposition.png"/>
                    <pic:cNvPicPr/>
                  </pic:nvPicPr>
                  <pic:blipFill>
                    <a:blip r:embed="rId13"/>
                    <a:stretch>
                      <a:fillRect/>
                    </a:stretch>
                  </pic:blipFill>
                  <pic:spPr>
                    <a:xfrm>
                      <a:off x="0" y="0"/>
                      <a:ext cx="5074920" cy="4234786"/>
                    </a:xfrm>
                    <a:prstGeom prst="rect"/>
                  </pic:spPr>
                </pic:pic>
              </a:graphicData>
            </a:graphic>
          </wp:inline>
        </w:drawing>
      </w:r>
    </w:p>
    <w:p>
      <w:pPr>
        <w:spacing w:after="200"/>
        <w:jc w:val="left"/>
      </w:pPr>
      <w:r>
        <w:rPr>
          <w:b/>
        </w:rPr>
        <w:t xml:space="preserve">Figure 4. </w:t>
      </w:r>
      <w:r>
        <w:t>Shapley decomposition of changes in reconstructed schizophrenia quantities among persons aged 15 years and older, 1990-2023. Components are deterministic attributions based on posterior mean rates.</w:t>
      </w:r>
    </w:p>
    <w:p>
      <w:pPr>
        <w:pStyle w:val="Heading2"/>
      </w:pPr>
      <w:r>
        <w:t>Secondary age-period-cohort summaries</w:t>
      </w:r>
    </w:p>
    <w:p>
      <w:r>
        <w:t>The signs of incidence APC net drift and primary segmented AAPC agreed in 2 of 4 country-sex strata, indicating partial rather than uniform directional corroboration. Nonlinear age, period, and cohort curvature contrasts are presented in the supplement. Their interpretation remained descriptive because the exact linear dependency among age, period, and cohort prevents unique causal separation.</w:t>
      </w:r>
    </w:p>
    <w:p>
      <w:pPr>
        <w:pStyle w:val="Heading1"/>
      </w:pPr>
      <w:r>
        <w:t>Discussion</w:t>
      </w:r>
    </w:p>
    <w:p>
      <w:r>
        <w:t>This comparative study found increases in estimated incident cases, people living with schizophrenia, and DALYs, alongside contrasting standardized-rate trajectories. Chinese ASRs were broadly stable, whereas U.S. ASRs declined, particularly among females. The combination of increasing absolute quantities and flat or falling ASRs is not contradictory: population growth, age composition, and age-specific rates contribute separately.</w:t>
      </w:r>
    </w:p>
    <w:p>
      <w:r>
        <w:t>The China endpoint point estimates are identical to those reported by Song and colleagues because both studies use the same GBD 2023 source [4]; this is expected data overlap, not independent validation. The component pattern also closely reproduces that study: population growth was the largest positive component, ageing reduced incidence but increased prevalence and DALYs, and rate change was comparatively small. The added comparison shows a different U.S. pattern, in which population growth was partly offset by age-composition and rate changes for each outcome and sex. These deterministic decompositions allocate endpoint differences under the specified identity; they do not identify causes of the demographic or rate changes.</w:t>
      </w:r>
    </w:p>
    <w:p>
      <w:r>
        <w:t>The distinction between measures has practical relevance. Incident and prevalent case counts can help approximate potential service-volume need, whereas DALYs quantify healthy life lost and are not a count of people. None of these quantities measures realized service use or demand, which also depends on detection, access, coverage, severity, and treatment pathways. ASRs facilitate temporal and cross-country rate comparisons after standardizing age composition. Planning based on ASRs alone may miss growth in potential service volume, while interpreting count growth as worsening individual risk would also be misleading.</w:t>
      </w:r>
    </w:p>
    <w:p>
      <w:r>
        <w:t>Sex-specific estimates showed a persistent male excess for several outcomes and an incidence peak in younger age groups, patterns broadly consistent with earlier GBD schizophrenia analyses [2,3]. However, modeled estimates cannot determine whether country or sex contrasts reflect underlying incidence, diagnostic recognition, data availability, care access, remission, excess mortality, or model assumptions. Health-system and policy differences remain contextual hypotheses rather than tested mechanisms.</w:t>
      </w:r>
    </w:p>
    <w:p>
      <w:pPr>
        <w:pStyle w:val="Heading2"/>
      </w:pPr>
      <w:r>
        <w:t>Strengths and limitations</w:t>
      </w:r>
    </w:p>
    <w:p>
      <w:r>
        <w:t>Strengths include a prespecified comparative question, consistent GBD 2023 outcome definitions, explicit separation of native UIs from derived point summaries, deterministic and reproducible trend selection, exact Shapley decomposition, and restriction of APC interpretation to estimable functions. The pipeline records exclusions and prevents a provisional population source from being silently treated as official.</w:t>
      </w:r>
    </w:p>
    <w:p>
      <w:r>
        <w:t>Several limitations are important. First, GBD values are modeled estimates rather than direct observations and may share smoothing assumptions across years, sexes, outcomes, and countries. Annual posterior means therefore cannot be treated as independent observations; segmented curves, change points, AAPCs, and pairwise contrasts are descriptive. Second, posterior draws were unavailable, so uncertainty could not be propagated to changes, ratios, decomposition components, or trajectory contrasts. Third, the decomposition is restricted to ages 15 years and older and its totals are not all-age totals; the 70+ category also obscures late-life heterogeneity. Fourth, APC estimates are sensitive to grouping and cannot identify independent causal age, period, and cohort effects; their direction agreed only partly with primary incidence trends. Fifth, ecological country contrasts cannot support causal attribution to policy or health systems. Finally, the provisional build uses a reconstructed population proxy that must be replaced with the authenticated GBD 2023 population export before submission. Registered NCI Joinpoint output and posterior draws would provide useful validation and uncertainty propagation, respectively, but are not mandatory for the primary open analysis.</w:t>
      </w:r>
    </w:p>
    <w:p>
      <w:pPr>
        <w:pStyle w:val="Heading1"/>
      </w:pPr>
      <w:r>
        <w:t>Conclusions</w:t>
      </w:r>
    </w:p>
    <w:p>
      <w:r>
        <w:t>Between 1990 and 2023, estimated incident and prevalent case counts and DALYs increased in China and the United States while standardized-rate trajectories differed. Population growth contributed positively throughout, but age-composition and rate components contrasted between countries. These modeled patterns support considering potential service volume, health loss, standardized rates, age structure, and sex jointly in planning; they do not establish causal effects of policy or health systems.</w:t>
      </w:r>
    </w:p>
    <w:p>
      <w:pPr>
        <w:pStyle w:val="Heading1"/>
      </w:pPr>
      <w:r>
        <w:t>List of abbreviations</w:t>
      </w:r>
    </w:p>
    <w:p>
      <w:r>
        <w:t>AAPC: average annual percentage change; APC: age-period-cohort; ASR: age-standardized rate; BIC: Bayesian information criterion; DALY: disability-adjusted life-year; GATHER: Guidelines for Accurate and Transparent Health Estimates Reporting; GBD: Global Burden of Disease; IHME: Institute for Health Metrics and Evaluation; NCI: National Cancer Institute; UI: uncertainty interval; YLD: year lived with disability.</w:t>
      </w:r>
    </w:p>
    <w:p>
      <w:pPr>
        <w:pStyle w:val="Heading1"/>
      </w:pPr>
      <w:r>
        <w:t>Declarations</w:t>
      </w:r>
    </w:p>
    <w:p>
      <w:pPr>
        <w:pStyle w:val="Heading2"/>
      </w:pPr>
      <w:r>
        <w:t>Ethics approval and consent to participate</w:t>
      </w:r>
    </w:p>
    <w:p>
      <w:r>
        <w:t>Not applicable. This study used aggregated, non-identifiable modeled estimates available through the Institute for Health Metrics and Evaluation.</w:t>
      </w:r>
    </w:p>
    <w:p>
      <w:pPr>
        <w:pStyle w:val="Heading2"/>
      </w:pPr>
      <w:r>
        <w:t>Consent for publication</w:t>
      </w:r>
    </w:p>
    <w:p>
      <w:r>
        <w:t>Not applicable.</w:t>
      </w:r>
    </w:p>
    <w:p>
      <w:pPr>
        <w:pStyle w:val="Heading2"/>
      </w:pPr>
      <w:r>
        <w:t>Availability of data and materials</w:t>
      </w:r>
    </w:p>
    <w:p>
      <w:r>
        <w:t>GBD estimates are available through the IHME GBD Results Tool subject to IHME terms [6]. Analytic code, derived tables, provenance metadata, and exact model settings are prepared for archiving, but a persistent repository link must be added before submission. The repository will not redistribute source data beyond applicable IHME terms.</w:t>
      </w:r>
    </w:p>
    <w:p>
      <w:pPr>
        <w:pStyle w:val="Heading2"/>
      </w:pPr>
      <w:r>
        <w:t>Competing interests</w:t>
      </w:r>
    </w:p>
    <w:p>
      <w:r>
        <w:t>The authors declare no competing interests.</w:t>
      </w:r>
    </w:p>
    <w:p>
      <w:pPr>
        <w:pStyle w:val="Heading2"/>
      </w:pPr>
      <w:r>
        <w:t>Funding</w:t>
      </w:r>
    </w:p>
    <w:p>
      <w:r>
        <w:t>No study-specific funding is declared in this blinded draft.</w:t>
      </w:r>
    </w:p>
    <w:p>
      <w:pPr>
        <w:pStyle w:val="Heading2"/>
      </w:pPr>
      <w:r>
        <w:t>Authors' contributions</w:t>
      </w:r>
    </w:p>
    <w:p>
      <w:r>
        <w:t>Contributor roles will be reported using the CRediT taxonomy in the unblinded submission file.</w:t>
      </w:r>
    </w:p>
    <w:p>
      <w:pPr>
        <w:pStyle w:val="Heading2"/>
      </w:pPr>
      <w:r>
        <w:t>Acknowledgements</w:t>
      </w:r>
    </w:p>
    <w:p>
      <w:r>
        <w:t>Not applicable.</w:t>
      </w:r>
    </w:p>
    <w:p>
      <w:pPr>
        <w:pStyle w:val="Heading1"/>
      </w:pPr>
      <w:r>
        <w:t>References</w:t>
      </w:r>
    </w:p>
    <w:p>
      <w:pPr>
        <w:spacing w:after="60"/>
        <w:ind w:hanging="288" w:left="288"/>
      </w:pPr>
      <w:r>
        <w:rPr>
          <w:sz w:val="18"/>
        </w:rPr>
        <w:t>1. GBD 2019 Mental Disorders Collaborators. Global, regional, and national burden of 12 mental disorders in 204 countries and territories, 1990-2019: a systematic analysis for the Global Burden of Disease Study 2019. Lancet Psychiatry. 2022;9(2):137-150. doi:10.1016/S2215-0366(21)00395-3.</w:t>
      </w:r>
    </w:p>
    <w:p>
      <w:pPr>
        <w:spacing w:after="60"/>
        <w:ind w:hanging="288" w:left="288"/>
      </w:pPr>
      <w:r>
        <w:rPr>
          <w:sz w:val="18"/>
        </w:rPr>
        <w:t>2. Charlson FJ, Ferrari AJ, Santomauro DF, et al. Global epidemiology and burden of schizophrenia: findings from the Global Burden of Disease Study 2016. Schizophr Bull. 2018;44(6):1195-1203. doi:10.1093/schbul/sby058.</w:t>
      </w:r>
    </w:p>
    <w:p>
      <w:pPr>
        <w:spacing w:after="60"/>
        <w:ind w:hanging="288" w:left="288"/>
      </w:pPr>
      <w:r>
        <w:rPr>
          <w:sz w:val="18"/>
        </w:rPr>
        <w:t>3. Solmi M, Seitidis G, Mavridis D, et al. Incidence, prevalence, and global burden of schizophrenia - data, with critical appraisal, from the Global Burden of Disease (GBD) 2019. Mol Psychiatry. 2023;28(12):5319-5327. doi:10.1038/s41380-023-02138-4.</w:t>
      </w:r>
    </w:p>
    <w:p>
      <w:pPr>
        <w:spacing w:after="60"/>
        <w:ind w:hanging="288" w:left="288"/>
      </w:pPr>
      <w:r>
        <w:rPr>
          <w:sz w:val="18"/>
        </w:rPr>
        <w:t>4. Song H, Fang L, Li H. Long-term trends in the burden of schizophrenia in China, 1990-2052: an analysis of the Global Burden of Disease Study 2023. Psychol Res Behav Manag. 2026;19:574531. doi:10.2147/PRBM.S574531.</w:t>
      </w:r>
    </w:p>
    <w:p>
      <w:pPr>
        <w:spacing w:after="60"/>
        <w:ind w:hanging="288" w:left="288"/>
      </w:pPr>
      <w:r>
        <w:rPr>
          <w:sz w:val="18"/>
        </w:rPr>
        <w:t>5. Huo J, Li R, Ren X, et al. Trends in incidence, prevalence, and disability-adjusted life years of schizophrenia in China from 1990 to 2021, with projections for 2022-2050. Front Psychiatry. 2025;16:1651350. doi:10.3389/fpsyt.2025.1651350.</w:t>
      </w:r>
    </w:p>
    <w:p>
      <w:pPr>
        <w:spacing w:after="60"/>
        <w:ind w:hanging="288" w:left="288"/>
      </w:pPr>
      <w:r>
        <w:rPr>
          <w:sz w:val="18"/>
        </w:rPr>
        <w:t>6. Global Burden of Disease Collaborative Network. Global Burden of Disease Study 2023 (GBD 2023) Results. Seattle, United States: Institute for Health Metrics and Evaluation; 2026. https://vizhub.healthdata.org/gbd-results/. Accessed 1 September 2026.</w:t>
      </w:r>
    </w:p>
    <w:p>
      <w:pPr>
        <w:spacing w:after="60"/>
        <w:ind w:hanging="288" w:left="288"/>
      </w:pPr>
      <w:r>
        <w:rPr>
          <w:sz w:val="18"/>
        </w:rPr>
        <w:t>7. Stevens GA, Alkema L, Black RE, et al. Guidelines for Accurate and Transparent Health Estimates Reporting: the GATHER statement. Lancet. 2016;388(10062):e19-e23. doi:10.1016/S0140-6736(16)30388-9.</w:t>
      </w:r>
    </w:p>
    <w:p>
      <w:pPr>
        <w:spacing w:after="60"/>
        <w:ind w:hanging="288" w:left="288"/>
      </w:pPr>
      <w:r>
        <w:rPr>
          <w:sz w:val="18"/>
        </w:rPr>
        <w:t>8. Kim HJ, Fay MP, Feuer EJ, Midthune DN. Permutation tests for joinpoint regression with applications to cancer rates. Stat Med. 2000;19(3):335-351; correction 2001;20(4):655.</w:t>
      </w:r>
    </w:p>
    <w:p>
      <w:pPr>
        <w:spacing w:after="60"/>
        <w:ind w:hanging="288" w:left="288"/>
      </w:pPr>
      <w:r>
        <w:rPr>
          <w:sz w:val="18"/>
        </w:rPr>
        <w:t>9. National Cancer Institute. Joinpoint Regression Program, version 6.1.0. Surveillance Research Program. https://surveillance.cancer.gov/joinpoint/. Accessed 1 September 2026.</w:t>
      </w:r>
    </w:p>
    <w:p>
      <w:pPr>
        <w:spacing w:after="60"/>
        <w:ind w:hanging="288" w:left="288"/>
      </w:pPr>
      <w:r>
        <w:rPr>
          <w:sz w:val="18"/>
        </w:rPr>
        <w:t>10. Das Gupta P. Standardization and decomposition of rates: a user's manual. Current Population Reports, Series P23-186. Washington, DC: US Bureau of the Census; 1993.</w:t>
      </w:r>
    </w:p>
    <w:p>
      <w:pPr>
        <w:spacing w:after="60"/>
        <w:ind w:hanging="288" w:left="288"/>
      </w:pPr>
      <w:r>
        <w:rPr>
          <w:sz w:val="18"/>
        </w:rPr>
        <w:t>11. Holford TR. The estimation of age, period and cohort effects for vital rates. Biometrics. 1983;39(2):311-324.</w:t>
      </w:r>
    </w:p>
    <w:p>
      <w:pPr>
        <w:spacing w:after="60"/>
        <w:ind w:hanging="288" w:left="288"/>
      </w:pPr>
      <w:r>
        <w:rPr>
          <w:sz w:val="18"/>
        </w:rPr>
        <w:t>12. Clayton D, Schifflers E. Models for temporal variation in cancer rates. II: age-period-cohort models. Stat Med. 1987;6(4):469-481.</w:t>
      </w:r>
    </w:p>
    <w:p>
      <w:pPr>
        <w:spacing w:after="60"/>
        <w:ind w:hanging="288" w:left="288"/>
      </w:pPr>
      <w:r>
        <w:rPr>
          <w:sz w:val="18"/>
        </w:rPr>
        <w:t>13. Luo L. Assessing validity and application scope of the intrinsic estimator approach to the age-period-cohort problem. Demography. 2013;50(6):1945-1967.</w:t>
      </w:r>
    </w:p>
    <w:p>
      <w:pPr>
        <w:spacing w:after="60"/>
        <w:ind w:hanging="288" w:left="288"/>
      </w:pPr>
      <w:r>
        <w:rPr>
          <w:sz w:val="18"/>
        </w:rPr>
        <w:t>14. Rutherford MJ, Lambert PC, Thompson JR. Age-period-cohort modeling. Stata J. 2010;10(4):606-627.</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F4E78"/>
      <w:sz w:val="23"/>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6666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b/>
      <w:color w:val="1F4E7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