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8"/>
          <w:sz w:val="40"/>
        </w:rPr>
        <w:t>Statistical methods appendix</w:t>
      </w:r>
    </w:p>
    <w:p>
      <w:pPr>
        <w:jc w:val="center"/>
      </w:pPr>
      <w:r>
        <w:rPr>
          <w:i/>
          <w:color w:val="666666"/>
          <w:sz w:val="22"/>
        </w:rPr>
        <w:t>China-US schizophrenia burden study</w:t>
      </w:r>
    </w:p>
    <w:p>
      <w:r>
        <w:rPr>
          <w:b/>
          <w:color w:val="9C5700"/>
        </w:rPr>
        <w:t>Provisional methods appendix: the reconstructed population proxy must be replaced with the matching official GBD 2023 population export before submission.</w:t>
      </w:r>
    </w:p>
    <w:p>
      <w:pPr>
        <w:pStyle w:val="Heading1"/>
      </w:pPr>
      <w:r>
        <w:t>Analysis estimands</w:t>
      </w:r>
    </w:p>
    <w:p>
      <w:pPr>
        <w:pStyle w:val="ListBullet"/>
      </w:pPr>
      <w:r>
        <w:t>Incident and prevalent case counts approximate potential service-volume need; DALYs quantify health loss and are not people.</w:t>
      </w:r>
    </w:p>
    <w:p>
      <w:pPr>
        <w:pStyle w:val="ListBullet"/>
      </w:pPr>
      <w:r>
        <w:t>Age-standardized rates describe temporal and cross-country rate patterns after standardization.</w:t>
      </w:r>
    </w:p>
    <w:p>
      <w:pPr>
        <w:pStyle w:val="ListBullet"/>
      </w:pPr>
      <w:r>
        <w:t>Derived ratios, changes, and trend contrasts are point estimands; no draw-based uncertainty is asserted.</w:t>
      </w:r>
    </w:p>
    <w:p>
      <w:pPr>
        <w:pStyle w:val="ListBullet"/>
      </w:pPr>
      <w:r>
        <w:t>Decomposition components are deterministic functions of posterior mean rates and populations aged 15 years and older.</w:t>
      </w:r>
    </w:p>
    <w:p>
      <w:pPr>
        <w:pStyle w:val="Heading1"/>
      </w:pPr>
      <w:r>
        <w:t>Segmented log-linear trend model</w:t>
      </w:r>
    </w:p>
    <w:p>
      <w:r>
        <w:t>For year t and rate r(t), log r(t) = beta0 + beta1(t-t0) + sum[j] delta_j max(0,t-tau_j) + error(t). Candidate models contain zero, one, or two knots and require four observations between boundaries. The model with minimum BIC is selected, counting each knot location in the parameter penalty. Segment APC is 100[exp(slope)-1]; AAPC is the time-weighted mean log slope transformed to a percentage.</w:t>
      </w:r>
    </w:p>
    <w:p>
      <w:r>
        <w:t>The implementation is deterministic, open, and descriptive. Residual-permutation p values and regression confidence intervals are not used because serial dependence and the joint GBD posterior covariance are unavailable. Registered NCI Joinpoint 6.1.0 output can be compared as optional validation but is not part of the primary estimator.</w:t>
      </w:r>
    </w:p>
    <w:p>
      <w:pPr>
        <w:pStyle w:val="Heading1"/>
      </w:pPr>
      <w:r>
        <w:t>Descriptive trajectory contrasts</w:t>
      </w:r>
    </w:p>
    <w:p>
      <w:r>
        <w:t>For each prespecified pair, we report each group's annualized endpoint change, the difference for group B minus group A, correlation between annual log changes, and whether endpoint directions match. These summaries do not test parallelism. Lag-1 residual autocorrelation and Durbin-Watson statistics diagnose whether the independent-error approximation is implausible.</w:t>
      </w:r>
    </w:p>
    <w:p>
      <w:pPr>
        <w:pStyle w:val="Heading1"/>
      </w:pPr>
      <w:r>
        <w:t>Shapley decomposition</w:t>
      </w:r>
    </w:p>
    <w:p>
      <w:r>
        <w:t>For total population N among persons aged 15 years and older, age-share vector S, and age-specific rate vector R, reconstructed burden is B=N sum_a(S_a R_a). Each factor was replaced from baseline to endpoint in all 3! orders. A factor's contribution is the average marginal change across orders. The three contributions therefore sum exactly to B_end-B_start apart from floating-point tolerance.</w:t>
      </w:r>
    </w:p>
    <w:p>
      <w:pPr>
        <w:pStyle w:val="Heading1"/>
      </w:pPr>
      <w:r>
        <w:t>APC estimable functions</w:t>
      </w:r>
    </w:p>
    <w:p>
      <w:r>
        <w:t>The exact relation cohort=period-age prevents simultaneous identification of unrestricted linear age, period, and cohort effects. The model therefore contains an intercept, identifiable longitudinal age slope, net drift, and nonlinear age, period, and cohort bases constrained to be orthogonal to intercept and linear trend. Net and local drift are estimated separately from annual log-rate regressions. Reported relative risks are curvature contrasts to central reference categories.</w:t>
      </w:r>
    </w:p>
    <w:p>
      <w:r>
        <w:br w:type="page"/>
      </w:r>
    </w:p>
    <w:p>
      <w:pPr>
        <w:pStyle w:val="Heading1"/>
      </w:pPr>
      <w:r>
        <w:t>Uncertainty taxonomy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tcMar>
              <w:top w:w="80" w:type="dxa"/>
              <w:start w:w="90" w:type="dxa"/>
              <w:bottom w:w="80" w:type="dxa"/>
              <w:end w:w="90" w:type="dxa"/>
            </w:tcMar>
            <w:vAlign w:val="center"/>
          </w:tcPr>
          <w:p>
            <w:pPr>
              <w:jc w:val="center"/>
            </w:pPr>
            <w:r>
              <w:rPr>
                <w:b/>
                <w:color w:val="FFFFFF"/>
                <w:sz w:val="17"/>
              </w:rPr>
              <w:t>Quantity</w:t>
            </w:r>
          </w:p>
        </w:tc>
        <w:tc>
          <w:tcPr>
            <w:tcW w:type="dxa" w:w="3312"/>
            <w:shd w:fill="1F4E78"/>
            <w:tcMar>
              <w:top w:w="80" w:type="dxa"/>
              <w:start w:w="90" w:type="dxa"/>
              <w:bottom w:w="80" w:type="dxa"/>
              <w:end w:w="90" w:type="dxa"/>
            </w:tcMar>
            <w:vAlign w:val="center"/>
          </w:tcPr>
          <w:p>
            <w:pPr>
              <w:jc w:val="center"/>
            </w:pPr>
            <w:r>
              <w:rPr>
                <w:b/>
                <w:color w:val="FFFFFF"/>
                <w:sz w:val="17"/>
              </w:rPr>
              <w:t>Reported uncertainty</w:t>
            </w:r>
          </w:p>
        </w:tc>
        <w:tc>
          <w:tcPr>
            <w:tcW w:type="dxa" w:w="3312"/>
            <w:shd w:fill="1F4E78"/>
            <w:tcMar>
              <w:top w:w="80" w:type="dxa"/>
              <w:start w:w="90" w:type="dxa"/>
              <w:bottom w:w="80" w:type="dxa"/>
              <w:end w:w="90" w:type="dxa"/>
            </w:tcMar>
            <w:vAlign w:val="center"/>
          </w:tcPr>
          <w:p>
            <w:pPr>
              <w:jc w:val="center"/>
            </w:pPr>
            <w:r>
              <w:rPr>
                <w:b/>
                <w:color w:val="FFFFFF"/>
                <w:sz w:val="17"/>
              </w:rPr>
              <w:t>Interpretation</w:t>
            </w:r>
          </w:p>
        </w:tc>
      </w:tr>
      <w:tr>
        <w:trPr>
          <w:cantSplit/>
        </w:trPr>
        <w:tc>
          <w:tcPr>
            <w:tcW w:type="dxa" w:w="3312"/>
            <w:vAlign w:val="center"/>
            <w:tcMar>
              <w:top w:w="80" w:type="dxa"/>
              <w:start w:w="90" w:type="dxa"/>
              <w:bottom w:w="80" w:type="dxa"/>
              <w:end w:w="90" w:type="dxa"/>
            </w:tcMar>
          </w:tcPr>
          <w:p>
            <w:pPr>
              <w:jc w:val="left"/>
            </w:pPr>
            <w:r>
              <w:rPr>
                <w:sz w:val="17"/>
              </w:rPr>
              <w:t>Original GBD estimate</w:t>
            </w:r>
          </w:p>
        </w:tc>
        <w:tc>
          <w:tcPr>
            <w:tcW w:type="dxa" w:w="3312"/>
            <w:vAlign w:val="center"/>
            <w:tcMar>
              <w:top w:w="80" w:type="dxa"/>
              <w:start w:w="90" w:type="dxa"/>
              <w:bottom w:w="80" w:type="dxa"/>
              <w:end w:w="90" w:type="dxa"/>
            </w:tcMar>
          </w:tcPr>
          <w:p>
            <w:pPr>
              <w:jc w:val="center"/>
            </w:pPr>
            <w:r>
              <w:rPr>
                <w:sz w:val="17"/>
              </w:rPr>
              <w:t>Native 95% UI</w:t>
            </w:r>
          </w:p>
        </w:tc>
        <w:tc>
          <w:tcPr>
            <w:tcW w:type="dxa" w:w="3312"/>
            <w:vAlign w:val="center"/>
            <w:tcMar>
              <w:top w:w="80" w:type="dxa"/>
              <w:start w:w="90" w:type="dxa"/>
              <w:bottom w:w="80" w:type="dxa"/>
              <w:end w:w="90" w:type="dxa"/>
            </w:tcMar>
          </w:tcPr>
          <w:p>
            <w:pPr>
              <w:jc w:val="center"/>
            </w:pPr>
            <w:r>
              <w:rPr>
                <w:sz w:val="17"/>
              </w:rPr>
              <w:t>2.5th-97.5th percentiles of GBD draws</w:t>
            </w:r>
          </w:p>
        </w:tc>
      </w:tr>
      <w:tr>
        <w:trPr>
          <w:cantSplit/>
        </w:trPr>
        <w:tc>
          <w:tcPr>
            <w:tcW w:type="dxa" w:w="3312"/>
            <w:vAlign w:val="center"/>
            <w:tcMar>
              <w:top w:w="80" w:type="dxa"/>
              <w:start w:w="90" w:type="dxa"/>
              <w:bottom w:w="80" w:type="dxa"/>
              <w:end w:w="90" w:type="dxa"/>
            </w:tcMar>
          </w:tcPr>
          <w:p>
            <w:pPr>
              <w:jc w:val="left"/>
            </w:pPr>
            <w:r>
              <w:rPr>
                <w:sz w:val="17"/>
              </w:rPr>
              <w:t>Segment APC/AAPC</w:t>
            </w:r>
          </w:p>
        </w:tc>
        <w:tc>
          <w:tcPr>
            <w:tcW w:type="dxa" w:w="3312"/>
            <w:vAlign w:val="center"/>
            <w:tcMar>
              <w:top w:w="80" w:type="dxa"/>
              <w:start w:w="90" w:type="dxa"/>
              <w:bottom w:w="80" w:type="dxa"/>
              <w:end w:w="90" w:type="dxa"/>
            </w:tcMar>
          </w:tcPr>
          <w:p>
            <w:pPr>
              <w:jc w:val="center"/>
            </w:pPr>
            <w:r>
              <w:rPr>
                <w:sz w:val="17"/>
              </w:rPr>
              <w:t>None</w:t>
            </w:r>
          </w:p>
        </w:tc>
        <w:tc>
          <w:tcPr>
            <w:tcW w:type="dxa" w:w="3312"/>
            <w:vAlign w:val="center"/>
            <w:tcMar>
              <w:top w:w="80" w:type="dxa"/>
              <w:start w:w="90" w:type="dxa"/>
              <w:bottom w:w="80" w:type="dxa"/>
              <w:end w:w="90" w:type="dxa"/>
            </w:tcMar>
          </w:tcPr>
          <w:p>
            <w:pPr>
              <w:jc w:val="center"/>
            </w:pPr>
            <w:r>
              <w:rPr>
                <w:sz w:val="17"/>
              </w:rPr>
              <w:t>Descriptive point summary of annual GBD posterior means</w:t>
            </w:r>
          </w:p>
        </w:tc>
      </w:tr>
      <w:tr>
        <w:trPr>
          <w:cantSplit/>
        </w:trPr>
        <w:tc>
          <w:tcPr>
            <w:tcW w:type="dxa" w:w="3312"/>
            <w:vAlign w:val="center"/>
            <w:tcMar>
              <w:top w:w="80" w:type="dxa"/>
              <w:start w:w="90" w:type="dxa"/>
              <w:bottom w:w="80" w:type="dxa"/>
              <w:end w:w="90" w:type="dxa"/>
            </w:tcMar>
          </w:tcPr>
          <w:p>
            <w:pPr>
              <w:jc w:val="left"/>
            </w:pPr>
            <w:r>
              <w:rPr>
                <w:sz w:val="17"/>
              </w:rPr>
              <w:t>Ratios and changes</w:t>
            </w:r>
          </w:p>
        </w:tc>
        <w:tc>
          <w:tcPr>
            <w:tcW w:type="dxa" w:w="3312"/>
            <w:vAlign w:val="center"/>
            <w:tcMar>
              <w:top w:w="80" w:type="dxa"/>
              <w:start w:w="90" w:type="dxa"/>
              <w:bottom w:w="80" w:type="dxa"/>
              <w:end w:w="90" w:type="dxa"/>
            </w:tcMar>
          </w:tcPr>
          <w:p>
            <w:pPr>
              <w:jc w:val="center"/>
            </w:pPr>
            <w:r>
              <w:rPr>
                <w:sz w:val="17"/>
              </w:rPr>
              <w:t>None</w:t>
            </w:r>
          </w:p>
        </w:tc>
        <w:tc>
          <w:tcPr>
            <w:tcW w:type="dxa" w:w="3312"/>
            <w:vAlign w:val="center"/>
            <w:tcMar>
              <w:top w:w="80" w:type="dxa"/>
              <w:start w:w="90" w:type="dxa"/>
              <w:bottom w:w="80" w:type="dxa"/>
              <w:end w:w="90" w:type="dxa"/>
            </w:tcMar>
          </w:tcPr>
          <w:p>
            <w:pPr>
              <w:jc w:val="center"/>
            </w:pPr>
            <w:r>
              <w:rPr>
                <w:sz w:val="17"/>
              </w:rPr>
              <w:t>Point estimate; interval dominance is conservative only</w:t>
            </w:r>
          </w:p>
        </w:tc>
      </w:tr>
      <w:tr>
        <w:trPr>
          <w:cantSplit/>
        </w:trPr>
        <w:tc>
          <w:tcPr>
            <w:tcW w:type="dxa" w:w="3312"/>
            <w:vAlign w:val="center"/>
            <w:tcMar>
              <w:top w:w="80" w:type="dxa"/>
              <w:start w:w="90" w:type="dxa"/>
              <w:bottom w:w="80" w:type="dxa"/>
              <w:end w:w="90" w:type="dxa"/>
            </w:tcMar>
          </w:tcPr>
          <w:p>
            <w:pPr>
              <w:jc w:val="left"/>
            </w:pPr>
            <w:r>
              <w:rPr>
                <w:sz w:val="17"/>
              </w:rPr>
              <w:t>Decomposition component</w:t>
            </w:r>
          </w:p>
        </w:tc>
        <w:tc>
          <w:tcPr>
            <w:tcW w:type="dxa" w:w="3312"/>
            <w:vAlign w:val="center"/>
            <w:tcMar>
              <w:top w:w="80" w:type="dxa"/>
              <w:start w:w="90" w:type="dxa"/>
              <w:bottom w:w="80" w:type="dxa"/>
              <w:end w:w="90" w:type="dxa"/>
            </w:tcMar>
          </w:tcPr>
          <w:p>
            <w:pPr>
              <w:jc w:val="center"/>
            </w:pPr>
            <w:r>
              <w:rPr>
                <w:sz w:val="17"/>
              </w:rPr>
              <w:t>None</w:t>
            </w:r>
          </w:p>
        </w:tc>
        <w:tc>
          <w:tcPr>
            <w:tcW w:type="dxa" w:w="3312"/>
            <w:vAlign w:val="center"/>
            <w:tcMar>
              <w:top w:w="80" w:type="dxa"/>
              <w:start w:w="90" w:type="dxa"/>
              <w:bottom w:w="80" w:type="dxa"/>
              <w:end w:w="90" w:type="dxa"/>
            </w:tcMar>
          </w:tcPr>
          <w:p>
            <w:pPr>
              <w:jc w:val="center"/>
            </w:pPr>
            <w:r>
              <w:rPr>
                <w:sz w:val="17"/>
              </w:rPr>
              <w:t>Deterministic attribution using posterior means</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6666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