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40"/>
        </w:rPr>
        <w:t>Divergent sex-specific trends and demographic drivers of schizophrenia burden in China and the United States, 1990-2023</w:t>
      </w:r>
    </w:p>
    <w:p>
      <w:pPr>
        <w:jc w:val="center"/>
      </w:pPr>
      <w:r>
        <w:rPr>
          <w:i/>
          <w:color w:val="666666"/>
          <w:sz w:val="22"/>
        </w:rPr>
        <w:t>A comparative analysis of Global Burden of Disease 2023 estimates</w:t>
      </w:r>
    </w:p>
    <w:p>
      <w:pPr>
        <w:jc w:val="center"/>
      </w:pPr>
      <w:r>
        <w:rPr>
          <w:b/>
        </w:rPr>
        <w:t>Blinded manuscript</w:t>
      </w:r>
    </w:p>
    <w:p>
      <w:pPr>
        <w:spacing w:before="80" w:after="200"/>
        <w:ind w:left="72" w:right="72"/>
        <w:jc w:val="center"/>
        <w:shd w:fill="FCE4D6"/>
      </w:pPr>
      <w:r>
        <w:rPr>
          <w:b/>
          <w:color w:val="9C5700"/>
        </w:rPr>
        <w:t>PROVISIONAL ANALYTICAL DRAFT - NOT FOR SUBMISSION</w:t>
        <w:br/>
        <w:t>Official GBD 2023 population and official NCI Joinpoint outputs remain external submission gates.</w:t>
      </w:r>
    </w:p>
    <w:p>
      <w:pPr>
        <w:pStyle w:val="Heading1"/>
      </w:pPr>
      <w:r>
        <w:t>Abstract</w:t>
      </w:r>
    </w:p>
    <w:p>
      <w:r>
        <w:t>Background: Schizophrenia produces substantial lifelong disability, but comparisons of national trends can be obscured by population growth, population ageing, and changes in age-specific rates. We compared sex-specific schizophrenia burden in China and the United States, two populous settings with contrasting demographic trajectories.</w:t>
      </w:r>
    </w:p>
    <w:p>
      <w:r>
        <w:t>Methods: We analyzed GBD 2023 incidence, prevalence, and disability-adjusted life-year (DALY) estimates for 1990-2023. We summarized all-age counts and age-standardized rates (ASRs), characterized nonlinear trends with permutation-selected segmented log-linear regression, controlled pairwise comparison multiplicity using the Benjamini-Hochberg procedure, and decomposed adult count changes into population growth, population ageing, and age-specific rate change using permutation-averaged Shapley replacement. Incidence age-period-cohort estimable functions were secondary.</w:t>
      </w:r>
    </w:p>
    <w:p>
      <w:r>
        <w:t>Results: From 1990 to 2023, all-age counts increased for every outcome, country, and sex stratum. DALY ASRs in China changed from 175.3 to 177.6 per 100,000 among females and 207.2 to 209.1 among males. Corresponding U.S. rates declined from 269.5 to 247.9 among females and 281.2 to 270.2 among males. After false-discovery-rate control, 12 of 12 prespecified trajectory comparisons rejected parallelism. Population growth was the principal positive contributor to rising counts in most strata, while age-specific rate change separated the near-stable Chinese rates from declining U.S. rates.</w:t>
      </w:r>
    </w:p>
    <w:p>
      <w:r>
        <w:t>Conclusions: Rising schizophrenia counts in both countries did not imply worsening age-standardized burden. The China-U.S. divergence was primarily a rate-trajectory and demographic-composition phenomenon, supporting sex- and age-responsive service planning while avoiding causal attribution to health-system differences.</w:t>
      </w:r>
    </w:p>
    <w:p>
      <w:r>
        <w:t>Keywords: schizophrenia; Global Burden of Disease; China; United States; segmented regression; decomposition; demographic change; sex differences</w:t>
      </w:r>
    </w:p>
    <w:p>
      <w:pPr>
        <w:pStyle w:val="Heading1"/>
      </w:pPr>
      <w:r>
        <w:t>Introduction</w:t>
      </w:r>
    </w:p>
    <w:p>
      <w:r>
        <w:t>Schizophrenia is a severe mental disorder associated with persistent functional impairment, premature mortality, family burden, and high demand for health and social services. In the Global Burden of Disease (GBD) framework, its direct disease burden is expressed almost entirely through years lived with disability because schizophrenia is not assigned a direct fatal cause component. Consequently, prevalence and disability trends are central to interpreting service need.</w:t>
      </w:r>
    </w:p>
    <w:p>
      <w:r>
        <w:t>Global analyses consistently show that numbers of people living with schizophrenia and associated DALYs have risen while age-standardized rates have changed much less. This apparent paradox reflects population growth and changing age structures rather than a single epidemiologic process. China and the United States provide an informative comparison: each contains a large population, but their demographic histories and estimated schizophrenia rate trajectories differ.</w:t>
      </w:r>
    </w:p>
    <w:p>
      <w:r>
        <w:t>Recent GBD publications have already described global schizophrenia patterns, China-specific trends, joinpoint models, decomposition, and forecasts. A further generic trend-and-projection analysis would add little. What remains useful is a prespecified, sex-stratified comparison that formally assesses trajectory non-parallelism and links count changes to demographic and rate components without treating ecological contrasts as causal.</w:t>
      </w:r>
    </w:p>
    <w:p>
      <w:r>
        <w:t>We therefore examined incidence, prevalence, and DALY burden in China and the United States from 1990 through 2023. Our objectives were to quantify endpoint and nonlinear trends, test country and sex trajectory differences, decompose adult count changes, and determine whether secondary age-period-cohort estimable summaries supported the primary findings.</w:t>
      </w:r>
    </w:p>
    <w:p>
      <w:pPr>
        <w:pStyle w:val="Heading1"/>
      </w:pPr>
      <w:r>
        <w:t>Methods</w:t>
      </w:r>
    </w:p>
    <w:p>
      <w:pPr>
        <w:pStyle w:val="Heading2"/>
      </w:pPr>
      <w:r>
        <w:t>Study design and data source</w:t>
      </w:r>
    </w:p>
    <w:p>
      <w:r>
        <w:t>We conducted a comparative secondary analysis of GBD 2023 modeled health estimates. The analytic population comprised females and males in China and the United States from 1990 through 2023. The burden extract contained annual point estimates and 95% uncertainty intervals (UIs) for incidence, prevalence, years lived with disability (YLDs), and DALYs by age, sex, country, year, and metric. The source files contained aggregated, non-identifiable population estimates; institutional review board review and informed consent were therefore not applicable.</w:t>
      </w:r>
    </w:p>
    <w:p>
      <w:pPr>
        <w:pStyle w:val="Heading2"/>
      </w:pPr>
      <w:r>
        <w:t>Outcomes and prespecified exclusions</w:t>
      </w:r>
    </w:p>
    <w:p>
      <w:r>
        <w:t>Primary outcomes were incidence, prevalence, and DALYs. Trend analyses used all-age numbers and age-standardized rates per 100,000. Decomposition used age-specific rates and populations from ages 15-19 through 70+ years. We excluded the GBD Percent metric because its denominator and age basis differed by outcome. Probability-of-death and available risk-factor extracts were excluded because they did not represent schizophrenia-specific causal attribution. YLD and DALY estimates were audited for numerical identity and YLDs were not duplicated in results.</w:t>
      </w:r>
    </w:p>
    <w:p>
      <w:pPr>
        <w:pStyle w:val="Heading2"/>
      </w:pPr>
      <w:r>
        <w:t>Data quality and population denominators</w:t>
      </w:r>
    </w:p>
    <w:p>
      <w:r>
        <w:t>We audited dimensional uniqueness, completeness across 34 years, missingness, positivity, uncertainty-bound ordering, and age-bin consistency. Decomposition currently uses a provisional population proxy reconstructed from matched GBD count-rate pairs. A production build requires population estimates from the same GBD 2023 release. We checked age-specific reconstruction by multiplying population by rate and dividing by 100,000.</w:t>
      </w:r>
    </w:p>
    <w:p>
      <w:pPr>
        <w:pStyle w:val="Heading2"/>
      </w:pPr>
      <w:r>
        <w:t>Trend and comparison analyses</w:t>
      </w:r>
    </w:p>
    <w:p>
      <w:r>
        <w:t>We modeled log ASRs using an independently implemented permutation-selected segmented regression that must not be described as NCI Joinpoint. Models allowed zero to two change points, required at least four annual observations per segment, used 4,499 residual permutations for sequential model selection, and reported segment annual percentage changes and overall average annual percentage changes (AAPCs) with model-based 95% confidence intervals. Primary models were homoscedastic because GBD UIs are not independent sampling standard errors. Weighting by log-scale standard errors approximated from marginal UIs was a sensitivity analysis.</w:t>
      </w:r>
    </w:p>
    <w:p>
      <w:r>
        <w:t>We tested trajectory parallelism for China versus the United States within outcome and sex, and for females versus males within outcome and country. Benjamini-Hochberg correction was applied separately to the six country and six sex comparisons. Native GBD UIs were reported for original estimates. Derived ratios, differences, and changes remained point estimates because posterior draws and cross-estimate correlations were unavailable.</w:t>
      </w:r>
    </w:p>
    <w:p>
      <w:pPr>
        <w:pStyle w:val="Heading2"/>
      </w:pPr>
      <w:r>
        <w:t>Demographic decomposition</w:t>
      </w:r>
    </w:p>
    <w:p>
      <w:r>
        <w:t>For each outcome, country, and sex, we decomposed the change in reconstructed adult counts into total adult population growth, changing age composition, and changing age-specific rates. We averaged marginal contributions over all six possible factor-replacement orders, which is equivalent to a Shapley decomposition. Components were required to sum to total reconstructed change within numerical tolerance. Primary estimates used 1990-2023; 2000-2023, 2010-2023, annual-chain, and five-year-chain analyses assessed endpoint and path sensitivity.</w:t>
      </w:r>
    </w:p>
    <w:p>
      <w:pPr>
        <w:pStyle w:val="Heading2"/>
      </w:pPr>
      <w:r>
        <w:t>Secondary age-period-cohort analysis</w:t>
      </w:r>
    </w:p>
    <w:p>
      <w:r>
        <w:t>Secondary incidence analysis used 11 equal five-year age groups from 15-19 through 65-69 years and six equal periods from 1994-1998 through 2019-2023. We estimated net drift, age-specific local drift, and nonlinear age, period, and cohort curvature contrasts. The design explicitly separated estimable curvature from the unidentified linear age-period-cohort dependency. We did not interpret period or cohort patterns causally. Excluding 2019-2023 assessed sensitivity to the pandemic-era endpoint.</w:t>
      </w:r>
    </w:p>
    <w:p>
      <w:pPr>
        <w:pStyle w:val="Heading2"/>
      </w:pPr>
      <w:r>
        <w:t>Reporting and reproducibility</w:t>
      </w:r>
    </w:p>
    <w:p>
      <w:r>
        <w:t>The analysis was conducted in Python with a deterministic random seed. Every table and figure is generated from saved machine-readable inputs. Reporting follows the Guidelines for Accurate and Transparent Health Estimates Reporting (GATHER). The complete code, provenance table, data dictionary, and submission-gate metadata accompany the manuscript.</w:t>
      </w:r>
    </w:p>
    <w:p>
      <w:pPr>
        <w:pStyle w:val="Heading1"/>
      </w:pPr>
      <w:r>
        <w:t>Results</w:t>
      </w:r>
    </w:p>
    <w:p>
      <w:pPr>
        <w:pStyle w:val="Heading2"/>
      </w:pPr>
      <w:r>
        <w:t>Data completeness and outcome selection</w:t>
      </w:r>
    </w:p>
    <w:p>
      <w:r>
        <w:t>All 12 primary country-sex-outcome panels contained 34 annual all-age counts and 34 annual ASRs. Each decomposition panel contained 12 adult age groups. No invalid UI ordering or nonpositive point estimates were identified. DALYs and YLDs were numerically identical across 3,944 matched cells (maximum relative point-estimate difference 2.60e-08); YLDs were therefore omitted as duplicate outcomes. The 99th percentile absolute population-rate reconstruction discrepancy was 7.06e-11%.</w:t>
      </w:r>
    </w:p>
    <w:p>
      <w:pPr>
        <w:pStyle w:val="Heading2"/>
      </w:pPr>
      <w:r>
        <w:t>Burden levels and temporal changes</w:t>
      </w:r>
    </w:p>
    <w:p>
      <w:r>
        <w:t>All-age incidence, prevalence, and DALY counts increased between 1990 and 2023 in both countries and both sexes. In contrast, Chinese ASRs were nearly stable, whereas U.S. ASRs declined across the three outcomes. Males generally had higher rates than females. Thus, count growth and standardized-rate trends conveyed different dimensions of population burden.</w:t>
      </w:r>
    </w:p>
    <w:p>
      <w:r>
        <w:rPr>
          <w:b/>
        </w:rPr>
        <w:t>Table 1.</w:t>
      </w:r>
      <w:r>
        <w:t xml:space="preserve"> Endpoint burden and modeled trends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shd w:fill="1F4E78"/>
            <w:tcMar>
              <w:top w:w="80" w:type="dxa"/>
              <w:start w:w="90" w:type="dxa"/>
              <w:bottom w:w="80" w:type="dxa"/>
              <w:end w:w="90" w:type="dxa"/>
            </w:tcMar>
            <w:vAlign w:val="center"/>
          </w:tcPr>
          <w:p>
            <w:pPr>
              <w:jc w:val="center"/>
            </w:pPr>
            <w:r>
              <w:rPr>
                <w:b/>
                <w:color w:val="FFFFFF"/>
                <w:sz w:val="14"/>
              </w:rPr>
              <w:t>Location</w:t>
            </w:r>
          </w:p>
        </w:tc>
        <w:tc>
          <w:tcPr>
            <w:tcW w:type="dxa" w:w="1242"/>
            <w:shd w:fill="1F4E78"/>
            <w:tcMar>
              <w:top w:w="80" w:type="dxa"/>
              <w:start w:w="90" w:type="dxa"/>
              <w:bottom w:w="80" w:type="dxa"/>
              <w:end w:w="90" w:type="dxa"/>
            </w:tcMar>
            <w:vAlign w:val="center"/>
          </w:tcPr>
          <w:p>
            <w:pPr>
              <w:jc w:val="center"/>
            </w:pPr>
            <w:r>
              <w:rPr>
                <w:b/>
                <w:color w:val="FFFFFF"/>
                <w:sz w:val="14"/>
              </w:rPr>
              <w:t>Sex</w:t>
            </w:r>
          </w:p>
        </w:tc>
        <w:tc>
          <w:tcPr>
            <w:tcW w:type="dxa" w:w="1242"/>
            <w:shd w:fill="1F4E78"/>
            <w:tcMar>
              <w:top w:w="80" w:type="dxa"/>
              <w:start w:w="90" w:type="dxa"/>
              <w:bottom w:w="80" w:type="dxa"/>
              <w:end w:w="90" w:type="dxa"/>
            </w:tcMar>
            <w:vAlign w:val="center"/>
          </w:tcPr>
          <w:p>
            <w:pPr>
              <w:jc w:val="center"/>
            </w:pPr>
            <w:r>
              <w:rPr>
                <w:b/>
                <w:color w:val="FFFFFF"/>
                <w:sz w:val="14"/>
              </w:rPr>
              <w:t>Outcome</w:t>
            </w:r>
          </w:p>
        </w:tc>
        <w:tc>
          <w:tcPr>
            <w:tcW w:type="dxa" w:w="1242"/>
            <w:shd w:fill="1F4E78"/>
            <w:tcMar>
              <w:top w:w="80" w:type="dxa"/>
              <w:start w:w="90" w:type="dxa"/>
              <w:bottom w:w="80" w:type="dxa"/>
              <w:end w:w="90" w:type="dxa"/>
            </w:tcMar>
            <w:vAlign w:val="center"/>
          </w:tcPr>
          <w:p>
            <w:pPr>
              <w:jc w:val="center"/>
            </w:pPr>
            <w:r>
              <w:rPr>
                <w:b/>
                <w:color w:val="FFFFFF"/>
                <w:sz w:val="14"/>
              </w:rPr>
              <w:t>Count 2023 (95% UI)</w:t>
            </w:r>
          </w:p>
        </w:tc>
        <w:tc>
          <w:tcPr>
            <w:tcW w:type="dxa" w:w="1242"/>
            <w:shd w:fill="1F4E78"/>
            <w:tcMar>
              <w:top w:w="80" w:type="dxa"/>
              <w:start w:w="90" w:type="dxa"/>
              <w:bottom w:w="80" w:type="dxa"/>
              <w:end w:w="90" w:type="dxa"/>
            </w:tcMar>
            <w:vAlign w:val="center"/>
          </w:tcPr>
          <w:p>
            <w:pPr>
              <w:jc w:val="center"/>
            </w:pPr>
            <w:r>
              <w:rPr>
                <w:b/>
                <w:color w:val="FFFFFF"/>
                <w:sz w:val="14"/>
              </w:rPr>
              <w:t>Count change, %</w:t>
            </w:r>
          </w:p>
        </w:tc>
        <w:tc>
          <w:tcPr>
            <w:tcW w:type="dxa" w:w="1242"/>
            <w:shd w:fill="1F4E78"/>
            <w:tcMar>
              <w:top w:w="80" w:type="dxa"/>
              <w:start w:w="90" w:type="dxa"/>
              <w:bottom w:w="80" w:type="dxa"/>
              <w:end w:w="90" w:type="dxa"/>
            </w:tcMar>
            <w:vAlign w:val="center"/>
          </w:tcPr>
          <w:p>
            <w:pPr>
              <w:jc w:val="center"/>
            </w:pPr>
            <w:r>
              <w:rPr>
                <w:b/>
                <w:color w:val="FFFFFF"/>
                <w:sz w:val="14"/>
              </w:rPr>
              <w:t>ASR 1990</w:t>
            </w:r>
          </w:p>
        </w:tc>
        <w:tc>
          <w:tcPr>
            <w:tcW w:type="dxa" w:w="1242"/>
            <w:shd w:fill="1F4E78"/>
            <w:tcMar>
              <w:top w:w="80" w:type="dxa"/>
              <w:start w:w="90" w:type="dxa"/>
              <w:bottom w:w="80" w:type="dxa"/>
              <w:end w:w="90" w:type="dxa"/>
            </w:tcMar>
            <w:vAlign w:val="center"/>
          </w:tcPr>
          <w:p>
            <w:pPr>
              <w:jc w:val="center"/>
            </w:pPr>
            <w:r>
              <w:rPr>
                <w:b/>
                <w:color w:val="FFFFFF"/>
                <w:sz w:val="14"/>
              </w:rPr>
              <w:t>ASR 2023 (95% UI)</w:t>
            </w:r>
          </w:p>
        </w:tc>
        <w:tc>
          <w:tcPr>
            <w:tcW w:type="dxa" w:w="1242"/>
            <w:shd w:fill="1F4E78"/>
            <w:tcMar>
              <w:top w:w="80" w:type="dxa"/>
              <w:start w:w="90" w:type="dxa"/>
              <w:bottom w:w="80" w:type="dxa"/>
              <w:end w:w="90" w:type="dxa"/>
            </w:tcMar>
            <w:vAlign w:val="center"/>
          </w:tcPr>
          <w:p>
            <w:pPr>
              <w:jc w:val="center"/>
            </w:pPr>
            <w:r>
              <w:rPr>
                <w:b/>
                <w:color w:val="FFFFFF"/>
                <w:sz w:val="14"/>
              </w:rPr>
              <w:t>AAPC, %/year</w:t>
            </w:r>
          </w:p>
        </w:tc>
      </w:tr>
      <w:tr>
        <w:trPr>
          <w:cantSplit/>
        </w:trPr>
        <w:tc>
          <w:tcPr>
            <w:tcW w:type="dxa" w:w="1242"/>
            <w:vAlign w:val="center"/>
            <w:tcMar>
              <w:top w:w="80" w:type="dxa"/>
              <w:start w:w="90" w:type="dxa"/>
              <w:bottom w:w="80" w:type="dxa"/>
              <w:end w:w="90" w:type="dxa"/>
            </w:tcMar>
          </w:tcPr>
          <w:p>
            <w:pPr>
              <w:jc w:val="left"/>
            </w:pPr>
            <w:r>
              <w:rPr>
                <w:sz w:val="14"/>
              </w:rPr>
              <w:t>China</w:t>
            </w:r>
          </w:p>
        </w:tc>
        <w:tc>
          <w:tcPr>
            <w:tcW w:type="dxa" w:w="1242"/>
            <w:vAlign w:val="center"/>
            <w:tcMar>
              <w:top w:w="80" w:type="dxa"/>
              <w:start w:w="90" w:type="dxa"/>
              <w:bottom w:w="80" w:type="dxa"/>
              <w:end w:w="90" w:type="dxa"/>
            </w:tcMar>
          </w:tcPr>
          <w:p>
            <w:pPr>
              <w:jc w:val="center"/>
            </w:pPr>
            <w:r>
              <w:rPr>
                <w:sz w:val="14"/>
              </w:rPr>
              <w:t>Female</w:t>
            </w:r>
          </w:p>
        </w:tc>
        <w:tc>
          <w:tcPr>
            <w:tcW w:type="dxa" w:w="1242"/>
            <w:vAlign w:val="center"/>
            <w:tcMar>
              <w:top w:w="80" w:type="dxa"/>
              <w:start w:w="90" w:type="dxa"/>
              <w:bottom w:w="80" w:type="dxa"/>
              <w:end w:w="90" w:type="dxa"/>
            </w:tcMar>
          </w:tcPr>
          <w:p>
            <w:pPr>
              <w:jc w:val="center"/>
            </w:pPr>
            <w:r>
              <w:rPr>
                <w:sz w:val="14"/>
              </w:rPr>
              <w:t>Incidence</w:t>
            </w:r>
          </w:p>
        </w:tc>
        <w:tc>
          <w:tcPr>
            <w:tcW w:type="dxa" w:w="1242"/>
            <w:vAlign w:val="center"/>
            <w:tcMar>
              <w:top w:w="80" w:type="dxa"/>
              <w:start w:w="90" w:type="dxa"/>
              <w:bottom w:w="80" w:type="dxa"/>
              <w:end w:w="90" w:type="dxa"/>
            </w:tcMar>
          </w:tcPr>
          <w:p>
            <w:pPr>
              <w:jc w:val="center"/>
            </w:pPr>
            <w:r>
              <w:rPr>
                <w:sz w:val="14"/>
              </w:rPr>
              <w:t>132,520 (111,395-155,089)</w:t>
            </w:r>
          </w:p>
        </w:tc>
        <w:tc>
          <w:tcPr>
            <w:tcW w:type="dxa" w:w="1242"/>
            <w:vAlign w:val="center"/>
            <w:tcMar>
              <w:top w:w="80" w:type="dxa"/>
              <w:start w:w="90" w:type="dxa"/>
              <w:bottom w:w="80" w:type="dxa"/>
              <w:end w:w="90" w:type="dxa"/>
            </w:tcMar>
          </w:tcPr>
          <w:p>
            <w:pPr>
              <w:jc w:val="center"/>
            </w:pPr>
            <w:r>
              <w:rPr>
                <w:sz w:val="14"/>
              </w:rPr>
              <w:t>14.5</w:t>
            </w:r>
          </w:p>
        </w:tc>
        <w:tc>
          <w:tcPr>
            <w:tcW w:type="dxa" w:w="1242"/>
            <w:vAlign w:val="center"/>
            <w:tcMar>
              <w:top w:w="80" w:type="dxa"/>
              <w:start w:w="90" w:type="dxa"/>
              <w:bottom w:w="80" w:type="dxa"/>
              <w:end w:w="90" w:type="dxa"/>
            </w:tcMar>
          </w:tcPr>
          <w:p>
            <w:pPr>
              <w:jc w:val="center"/>
            </w:pPr>
            <w:r>
              <w:rPr>
                <w:sz w:val="14"/>
              </w:rPr>
              <w:t>18.35</w:t>
            </w:r>
          </w:p>
        </w:tc>
        <w:tc>
          <w:tcPr>
            <w:tcW w:type="dxa" w:w="1242"/>
            <w:vAlign w:val="center"/>
            <w:tcMar>
              <w:top w:w="80" w:type="dxa"/>
              <w:start w:w="90" w:type="dxa"/>
              <w:bottom w:w="80" w:type="dxa"/>
              <w:end w:w="90" w:type="dxa"/>
            </w:tcMar>
          </w:tcPr>
          <w:p>
            <w:pPr>
              <w:jc w:val="center"/>
            </w:pPr>
            <w:r>
              <w:rPr>
                <w:sz w:val="14"/>
              </w:rPr>
              <w:t>18.42 (15.40-21.88)</w:t>
            </w:r>
          </w:p>
        </w:tc>
        <w:tc>
          <w:tcPr>
            <w:tcW w:type="dxa" w:w="1242"/>
            <w:vAlign w:val="center"/>
            <w:tcMar>
              <w:top w:w="80" w:type="dxa"/>
              <w:start w:w="90" w:type="dxa"/>
              <w:bottom w:w="80" w:type="dxa"/>
              <w:end w:w="90" w:type="dxa"/>
            </w:tcMar>
          </w:tcPr>
          <w:p>
            <w:pPr>
              <w:jc w:val="center"/>
            </w:pPr>
            <w:r>
              <w:rPr>
                <w:sz w:val="14"/>
              </w:rPr>
              <w:t>0.012 (0.010 to 0.015)</w:t>
            </w:r>
          </w:p>
        </w:tc>
      </w:tr>
      <w:tr>
        <w:trPr>
          <w:cantSplit/>
        </w:trPr>
        <w:tc>
          <w:tcPr>
            <w:tcW w:type="dxa" w:w="1242"/>
            <w:vAlign w:val="center"/>
            <w:tcMar>
              <w:top w:w="80" w:type="dxa"/>
              <w:start w:w="90" w:type="dxa"/>
              <w:bottom w:w="80" w:type="dxa"/>
              <w:end w:w="90" w:type="dxa"/>
            </w:tcMar>
          </w:tcPr>
          <w:p>
            <w:pPr>
              <w:jc w:val="left"/>
            </w:pPr>
            <w:r>
              <w:rPr>
                <w:sz w:val="14"/>
              </w:rPr>
              <w:t>China</w:t>
            </w:r>
          </w:p>
        </w:tc>
        <w:tc>
          <w:tcPr>
            <w:tcW w:type="dxa" w:w="1242"/>
            <w:vAlign w:val="center"/>
            <w:tcMar>
              <w:top w:w="80" w:type="dxa"/>
              <w:start w:w="90" w:type="dxa"/>
              <w:bottom w:w="80" w:type="dxa"/>
              <w:end w:w="90" w:type="dxa"/>
            </w:tcMar>
          </w:tcPr>
          <w:p>
            <w:pPr>
              <w:jc w:val="center"/>
            </w:pPr>
            <w:r>
              <w:rPr>
                <w:sz w:val="14"/>
              </w:rPr>
              <w:t>Female</w:t>
            </w:r>
          </w:p>
        </w:tc>
        <w:tc>
          <w:tcPr>
            <w:tcW w:type="dxa" w:w="1242"/>
            <w:vAlign w:val="center"/>
            <w:tcMar>
              <w:top w:w="80" w:type="dxa"/>
              <w:start w:w="90" w:type="dxa"/>
              <w:bottom w:w="80" w:type="dxa"/>
              <w:end w:w="90" w:type="dxa"/>
            </w:tcMar>
          </w:tcPr>
          <w:p>
            <w:pPr>
              <w:jc w:val="center"/>
            </w:pPr>
            <w:r>
              <w:rPr>
                <w:sz w:val="14"/>
              </w:rPr>
              <w:t>Prevalence</w:t>
            </w:r>
          </w:p>
        </w:tc>
        <w:tc>
          <w:tcPr>
            <w:tcW w:type="dxa" w:w="1242"/>
            <w:vAlign w:val="center"/>
            <w:tcMar>
              <w:top w:w="80" w:type="dxa"/>
              <w:start w:w="90" w:type="dxa"/>
              <w:bottom w:w="80" w:type="dxa"/>
              <w:end w:w="90" w:type="dxa"/>
            </w:tcMar>
          </w:tcPr>
          <w:p>
            <w:pPr>
              <w:jc w:val="center"/>
            </w:pPr>
            <w:r>
              <w:rPr>
                <w:sz w:val="14"/>
              </w:rPr>
              <w:t>2,469,230 (2,074,473-2,895,939)</w:t>
            </w:r>
          </w:p>
        </w:tc>
        <w:tc>
          <w:tcPr>
            <w:tcW w:type="dxa" w:w="1242"/>
            <w:vAlign w:val="center"/>
            <w:tcMar>
              <w:top w:w="80" w:type="dxa"/>
              <w:start w:w="90" w:type="dxa"/>
              <w:bottom w:w="80" w:type="dxa"/>
              <w:end w:w="90" w:type="dxa"/>
            </w:tcMar>
          </w:tcPr>
          <w:p>
            <w:pPr>
              <w:jc w:val="center"/>
            </w:pPr>
            <w:r>
              <w:rPr>
                <w:sz w:val="14"/>
              </w:rPr>
              <w:t>59.9</w:t>
            </w:r>
          </w:p>
        </w:tc>
        <w:tc>
          <w:tcPr>
            <w:tcW w:type="dxa" w:w="1242"/>
            <w:vAlign w:val="center"/>
            <w:tcMar>
              <w:top w:w="80" w:type="dxa"/>
              <w:start w:w="90" w:type="dxa"/>
              <w:bottom w:w="80" w:type="dxa"/>
              <w:end w:w="90" w:type="dxa"/>
            </w:tcMar>
          </w:tcPr>
          <w:p>
            <w:pPr>
              <w:jc w:val="center"/>
            </w:pPr>
            <w:r>
              <w:rPr>
                <w:sz w:val="14"/>
              </w:rPr>
              <w:t>276.90</w:t>
            </w:r>
          </w:p>
        </w:tc>
        <w:tc>
          <w:tcPr>
            <w:tcW w:type="dxa" w:w="1242"/>
            <w:vAlign w:val="center"/>
            <w:tcMar>
              <w:top w:w="80" w:type="dxa"/>
              <w:start w:w="90" w:type="dxa"/>
              <w:bottom w:w="80" w:type="dxa"/>
              <w:end w:w="90" w:type="dxa"/>
            </w:tcMar>
          </w:tcPr>
          <w:p>
            <w:pPr>
              <w:jc w:val="center"/>
            </w:pPr>
            <w:r>
              <w:rPr>
                <w:sz w:val="14"/>
              </w:rPr>
              <w:t>278.86 (234.44-331.62)</w:t>
            </w:r>
          </w:p>
        </w:tc>
        <w:tc>
          <w:tcPr>
            <w:tcW w:type="dxa" w:w="1242"/>
            <w:vAlign w:val="center"/>
            <w:tcMar>
              <w:top w:w="80" w:type="dxa"/>
              <w:start w:w="90" w:type="dxa"/>
              <w:bottom w:w="80" w:type="dxa"/>
              <w:end w:w="90" w:type="dxa"/>
            </w:tcMar>
          </w:tcPr>
          <w:p>
            <w:pPr>
              <w:jc w:val="center"/>
            </w:pPr>
            <w:r>
              <w:rPr>
                <w:sz w:val="14"/>
              </w:rPr>
              <w:t>0.024 (0.020 to 0.027)</w:t>
            </w:r>
          </w:p>
        </w:tc>
      </w:tr>
      <w:tr>
        <w:trPr>
          <w:cantSplit/>
        </w:trPr>
        <w:tc>
          <w:tcPr>
            <w:tcW w:type="dxa" w:w="1242"/>
            <w:vAlign w:val="center"/>
            <w:tcMar>
              <w:top w:w="80" w:type="dxa"/>
              <w:start w:w="90" w:type="dxa"/>
              <w:bottom w:w="80" w:type="dxa"/>
              <w:end w:w="90" w:type="dxa"/>
            </w:tcMar>
          </w:tcPr>
          <w:p>
            <w:pPr>
              <w:jc w:val="left"/>
            </w:pPr>
            <w:r>
              <w:rPr>
                <w:sz w:val="14"/>
              </w:rPr>
              <w:t>China</w:t>
            </w:r>
          </w:p>
        </w:tc>
        <w:tc>
          <w:tcPr>
            <w:tcW w:type="dxa" w:w="1242"/>
            <w:vAlign w:val="center"/>
            <w:tcMar>
              <w:top w:w="80" w:type="dxa"/>
              <w:start w:w="90" w:type="dxa"/>
              <w:bottom w:w="80" w:type="dxa"/>
              <w:end w:w="90" w:type="dxa"/>
            </w:tcMar>
          </w:tcPr>
          <w:p>
            <w:pPr>
              <w:jc w:val="center"/>
            </w:pPr>
            <w:r>
              <w:rPr>
                <w:sz w:val="14"/>
              </w:rPr>
              <w:t>Female</w:t>
            </w:r>
          </w:p>
        </w:tc>
        <w:tc>
          <w:tcPr>
            <w:tcW w:type="dxa" w:w="1242"/>
            <w:vAlign w:val="center"/>
            <w:tcMar>
              <w:top w:w="80" w:type="dxa"/>
              <w:start w:w="90" w:type="dxa"/>
              <w:bottom w:w="80" w:type="dxa"/>
              <w:end w:w="90" w:type="dxa"/>
            </w:tcMar>
          </w:tcPr>
          <w:p>
            <w:pPr>
              <w:jc w:val="center"/>
            </w:pPr>
            <w:r>
              <w:rPr>
                <w:sz w:val="14"/>
              </w:rPr>
              <w:t>DALYs</w:t>
            </w:r>
          </w:p>
        </w:tc>
        <w:tc>
          <w:tcPr>
            <w:tcW w:type="dxa" w:w="1242"/>
            <w:vAlign w:val="center"/>
            <w:tcMar>
              <w:top w:w="80" w:type="dxa"/>
              <w:start w:w="90" w:type="dxa"/>
              <w:bottom w:w="80" w:type="dxa"/>
              <w:end w:w="90" w:type="dxa"/>
            </w:tcMar>
          </w:tcPr>
          <w:p>
            <w:pPr>
              <w:jc w:val="center"/>
            </w:pPr>
            <w:r>
              <w:rPr>
                <w:sz w:val="14"/>
              </w:rPr>
              <w:t>1,551,859 (1,120,102-1,948,123)</w:t>
            </w:r>
          </w:p>
        </w:tc>
        <w:tc>
          <w:tcPr>
            <w:tcW w:type="dxa" w:w="1242"/>
            <w:vAlign w:val="center"/>
            <w:tcMar>
              <w:top w:w="80" w:type="dxa"/>
              <w:start w:w="90" w:type="dxa"/>
              <w:bottom w:w="80" w:type="dxa"/>
              <w:end w:w="90" w:type="dxa"/>
            </w:tcMar>
          </w:tcPr>
          <w:p>
            <w:pPr>
              <w:jc w:val="center"/>
            </w:pPr>
            <w:r>
              <w:rPr>
                <w:sz w:val="14"/>
              </w:rPr>
              <w:t>57.5</w:t>
            </w:r>
          </w:p>
        </w:tc>
        <w:tc>
          <w:tcPr>
            <w:tcW w:type="dxa" w:w="1242"/>
            <w:vAlign w:val="center"/>
            <w:tcMar>
              <w:top w:w="80" w:type="dxa"/>
              <w:start w:w="90" w:type="dxa"/>
              <w:bottom w:w="80" w:type="dxa"/>
              <w:end w:w="90" w:type="dxa"/>
            </w:tcMar>
          </w:tcPr>
          <w:p>
            <w:pPr>
              <w:jc w:val="center"/>
            </w:pPr>
            <w:r>
              <w:rPr>
                <w:sz w:val="14"/>
              </w:rPr>
              <w:t>175.27</w:t>
            </w:r>
          </w:p>
        </w:tc>
        <w:tc>
          <w:tcPr>
            <w:tcW w:type="dxa" w:w="1242"/>
            <w:vAlign w:val="center"/>
            <w:tcMar>
              <w:top w:w="80" w:type="dxa"/>
              <w:start w:w="90" w:type="dxa"/>
              <w:bottom w:w="80" w:type="dxa"/>
              <w:end w:w="90" w:type="dxa"/>
            </w:tcMar>
          </w:tcPr>
          <w:p>
            <w:pPr>
              <w:jc w:val="center"/>
            </w:pPr>
            <w:r>
              <w:rPr>
                <w:sz w:val="14"/>
              </w:rPr>
              <w:t>177.61 (129.65-223.14)</w:t>
            </w:r>
          </w:p>
        </w:tc>
        <w:tc>
          <w:tcPr>
            <w:tcW w:type="dxa" w:w="1242"/>
            <w:vAlign w:val="center"/>
            <w:tcMar>
              <w:top w:w="80" w:type="dxa"/>
              <w:start w:w="90" w:type="dxa"/>
              <w:bottom w:w="80" w:type="dxa"/>
              <w:end w:w="90" w:type="dxa"/>
            </w:tcMar>
          </w:tcPr>
          <w:p>
            <w:pPr>
              <w:jc w:val="center"/>
            </w:pPr>
            <w:r>
              <w:rPr>
                <w:sz w:val="14"/>
              </w:rPr>
              <w:t>0.048 (0.044 to 0.051)</w:t>
            </w:r>
          </w:p>
        </w:tc>
      </w:tr>
      <w:tr>
        <w:trPr>
          <w:cantSplit/>
        </w:trPr>
        <w:tc>
          <w:tcPr>
            <w:tcW w:type="dxa" w:w="1242"/>
            <w:vAlign w:val="center"/>
            <w:tcMar>
              <w:top w:w="80" w:type="dxa"/>
              <w:start w:w="90" w:type="dxa"/>
              <w:bottom w:w="80" w:type="dxa"/>
              <w:end w:w="90" w:type="dxa"/>
            </w:tcMar>
          </w:tcPr>
          <w:p>
            <w:pPr>
              <w:jc w:val="left"/>
            </w:pPr>
            <w:r>
              <w:rPr>
                <w:sz w:val="14"/>
              </w:rPr>
              <w:t>China</w:t>
            </w:r>
          </w:p>
        </w:tc>
        <w:tc>
          <w:tcPr>
            <w:tcW w:type="dxa" w:w="1242"/>
            <w:vAlign w:val="center"/>
            <w:tcMar>
              <w:top w:w="80" w:type="dxa"/>
              <w:start w:w="90" w:type="dxa"/>
              <w:bottom w:w="80" w:type="dxa"/>
              <w:end w:w="90" w:type="dxa"/>
            </w:tcMar>
          </w:tcPr>
          <w:p>
            <w:pPr>
              <w:jc w:val="center"/>
            </w:pPr>
            <w:r>
              <w:rPr>
                <w:sz w:val="14"/>
              </w:rPr>
              <w:t>Male</w:t>
            </w:r>
          </w:p>
        </w:tc>
        <w:tc>
          <w:tcPr>
            <w:tcW w:type="dxa" w:w="1242"/>
            <w:vAlign w:val="center"/>
            <w:tcMar>
              <w:top w:w="80" w:type="dxa"/>
              <w:start w:w="90" w:type="dxa"/>
              <w:bottom w:w="80" w:type="dxa"/>
              <w:end w:w="90" w:type="dxa"/>
            </w:tcMar>
          </w:tcPr>
          <w:p>
            <w:pPr>
              <w:jc w:val="center"/>
            </w:pPr>
            <w:r>
              <w:rPr>
                <w:sz w:val="14"/>
              </w:rPr>
              <w:t>Incidence</w:t>
            </w:r>
          </w:p>
        </w:tc>
        <w:tc>
          <w:tcPr>
            <w:tcW w:type="dxa" w:w="1242"/>
            <w:vAlign w:val="center"/>
            <w:tcMar>
              <w:top w:w="80" w:type="dxa"/>
              <w:start w:w="90" w:type="dxa"/>
              <w:bottom w:w="80" w:type="dxa"/>
              <w:end w:w="90" w:type="dxa"/>
            </w:tcMar>
          </w:tcPr>
          <w:p>
            <w:pPr>
              <w:jc w:val="center"/>
            </w:pPr>
            <w:r>
              <w:rPr>
                <w:sz w:val="14"/>
              </w:rPr>
              <w:t>174,592 (147,864-202,989)</w:t>
            </w:r>
          </w:p>
        </w:tc>
        <w:tc>
          <w:tcPr>
            <w:tcW w:type="dxa" w:w="1242"/>
            <w:vAlign w:val="center"/>
            <w:tcMar>
              <w:top w:w="80" w:type="dxa"/>
              <w:start w:w="90" w:type="dxa"/>
              <w:bottom w:w="80" w:type="dxa"/>
              <w:end w:w="90" w:type="dxa"/>
            </w:tcMar>
          </w:tcPr>
          <w:p>
            <w:pPr>
              <w:jc w:val="center"/>
            </w:pPr>
            <w:r>
              <w:rPr>
                <w:sz w:val="14"/>
              </w:rPr>
              <w:t>14.1</w:t>
            </w:r>
          </w:p>
        </w:tc>
        <w:tc>
          <w:tcPr>
            <w:tcW w:type="dxa" w:w="1242"/>
            <w:vAlign w:val="center"/>
            <w:tcMar>
              <w:top w:w="80" w:type="dxa"/>
              <w:start w:w="90" w:type="dxa"/>
              <w:bottom w:w="80" w:type="dxa"/>
              <w:end w:w="90" w:type="dxa"/>
            </w:tcMar>
          </w:tcPr>
          <w:p>
            <w:pPr>
              <w:jc w:val="center"/>
            </w:pPr>
            <w:r>
              <w:rPr>
                <w:sz w:val="14"/>
              </w:rPr>
              <w:t>22.78</w:t>
            </w:r>
          </w:p>
        </w:tc>
        <w:tc>
          <w:tcPr>
            <w:tcW w:type="dxa" w:w="1242"/>
            <w:vAlign w:val="center"/>
            <w:tcMar>
              <w:top w:w="80" w:type="dxa"/>
              <w:start w:w="90" w:type="dxa"/>
              <w:bottom w:w="80" w:type="dxa"/>
              <w:end w:w="90" w:type="dxa"/>
            </w:tcMar>
          </w:tcPr>
          <w:p>
            <w:pPr>
              <w:jc w:val="center"/>
            </w:pPr>
            <w:r>
              <w:rPr>
                <w:sz w:val="14"/>
              </w:rPr>
              <w:t>22.77 (19.21-26.93)</w:t>
            </w:r>
          </w:p>
        </w:tc>
        <w:tc>
          <w:tcPr>
            <w:tcW w:type="dxa" w:w="1242"/>
            <w:vAlign w:val="center"/>
            <w:tcMar>
              <w:top w:w="80" w:type="dxa"/>
              <w:start w:w="90" w:type="dxa"/>
              <w:bottom w:w="80" w:type="dxa"/>
              <w:end w:w="90" w:type="dxa"/>
            </w:tcMar>
          </w:tcPr>
          <w:p>
            <w:pPr>
              <w:jc w:val="center"/>
            </w:pPr>
            <w:r>
              <w:rPr>
                <w:sz w:val="14"/>
              </w:rPr>
              <w:t>-0.001 (-0.005 to 0.002)</w:t>
            </w:r>
          </w:p>
        </w:tc>
      </w:tr>
      <w:tr>
        <w:trPr>
          <w:cantSplit/>
        </w:trPr>
        <w:tc>
          <w:tcPr>
            <w:tcW w:type="dxa" w:w="1242"/>
            <w:vAlign w:val="center"/>
            <w:tcMar>
              <w:top w:w="80" w:type="dxa"/>
              <w:start w:w="90" w:type="dxa"/>
              <w:bottom w:w="80" w:type="dxa"/>
              <w:end w:w="90" w:type="dxa"/>
            </w:tcMar>
          </w:tcPr>
          <w:p>
            <w:pPr>
              <w:jc w:val="left"/>
            </w:pPr>
            <w:r>
              <w:rPr>
                <w:sz w:val="14"/>
              </w:rPr>
              <w:t>China</w:t>
            </w:r>
          </w:p>
        </w:tc>
        <w:tc>
          <w:tcPr>
            <w:tcW w:type="dxa" w:w="1242"/>
            <w:vAlign w:val="center"/>
            <w:tcMar>
              <w:top w:w="80" w:type="dxa"/>
              <w:start w:w="90" w:type="dxa"/>
              <w:bottom w:w="80" w:type="dxa"/>
              <w:end w:w="90" w:type="dxa"/>
            </w:tcMar>
          </w:tcPr>
          <w:p>
            <w:pPr>
              <w:jc w:val="center"/>
            </w:pPr>
            <w:r>
              <w:rPr>
                <w:sz w:val="14"/>
              </w:rPr>
              <w:t>Male</w:t>
            </w:r>
          </w:p>
        </w:tc>
        <w:tc>
          <w:tcPr>
            <w:tcW w:type="dxa" w:w="1242"/>
            <w:vAlign w:val="center"/>
            <w:tcMar>
              <w:top w:w="80" w:type="dxa"/>
              <w:start w:w="90" w:type="dxa"/>
              <w:bottom w:w="80" w:type="dxa"/>
              <w:end w:w="90" w:type="dxa"/>
            </w:tcMar>
          </w:tcPr>
          <w:p>
            <w:pPr>
              <w:jc w:val="center"/>
            </w:pPr>
            <w:r>
              <w:rPr>
                <w:sz w:val="14"/>
              </w:rPr>
              <w:t>Prevalence</w:t>
            </w:r>
          </w:p>
        </w:tc>
        <w:tc>
          <w:tcPr>
            <w:tcW w:type="dxa" w:w="1242"/>
            <w:vAlign w:val="center"/>
            <w:tcMar>
              <w:top w:w="80" w:type="dxa"/>
              <w:start w:w="90" w:type="dxa"/>
              <w:bottom w:w="80" w:type="dxa"/>
              <w:end w:w="90" w:type="dxa"/>
            </w:tcMar>
          </w:tcPr>
          <w:p>
            <w:pPr>
              <w:jc w:val="center"/>
            </w:pPr>
            <w:r>
              <w:rPr>
                <w:sz w:val="14"/>
              </w:rPr>
              <w:t>2,925,661 (2,451,025-3,441,426)</w:t>
            </w:r>
          </w:p>
        </w:tc>
        <w:tc>
          <w:tcPr>
            <w:tcW w:type="dxa" w:w="1242"/>
            <w:vAlign w:val="center"/>
            <w:tcMar>
              <w:top w:w="80" w:type="dxa"/>
              <w:start w:w="90" w:type="dxa"/>
              <w:bottom w:w="80" w:type="dxa"/>
              <w:end w:w="90" w:type="dxa"/>
            </w:tcMar>
          </w:tcPr>
          <w:p>
            <w:pPr>
              <w:jc w:val="center"/>
            </w:pPr>
            <w:r>
              <w:rPr>
                <w:sz w:val="14"/>
              </w:rPr>
              <w:t>51.9</w:t>
            </w:r>
          </w:p>
        </w:tc>
        <w:tc>
          <w:tcPr>
            <w:tcW w:type="dxa" w:w="1242"/>
            <w:vAlign w:val="center"/>
            <w:tcMar>
              <w:top w:w="80" w:type="dxa"/>
              <w:start w:w="90" w:type="dxa"/>
              <w:bottom w:w="80" w:type="dxa"/>
              <w:end w:w="90" w:type="dxa"/>
            </w:tcMar>
          </w:tcPr>
          <w:p>
            <w:pPr>
              <w:jc w:val="center"/>
            </w:pPr>
            <w:r>
              <w:rPr>
                <w:sz w:val="14"/>
              </w:rPr>
              <w:t>322.43</w:t>
            </w:r>
          </w:p>
        </w:tc>
        <w:tc>
          <w:tcPr>
            <w:tcW w:type="dxa" w:w="1242"/>
            <w:vAlign w:val="center"/>
            <w:tcMar>
              <w:top w:w="80" w:type="dxa"/>
              <w:start w:w="90" w:type="dxa"/>
              <w:bottom w:w="80" w:type="dxa"/>
              <w:end w:w="90" w:type="dxa"/>
            </w:tcMar>
          </w:tcPr>
          <w:p>
            <w:pPr>
              <w:jc w:val="center"/>
            </w:pPr>
            <w:r>
              <w:rPr>
                <w:sz w:val="14"/>
              </w:rPr>
              <w:t>324.40 (272.30-383.47)</w:t>
            </w:r>
          </w:p>
        </w:tc>
        <w:tc>
          <w:tcPr>
            <w:tcW w:type="dxa" w:w="1242"/>
            <w:vAlign w:val="center"/>
            <w:tcMar>
              <w:top w:w="80" w:type="dxa"/>
              <w:start w:w="90" w:type="dxa"/>
              <w:bottom w:w="80" w:type="dxa"/>
              <w:end w:w="90" w:type="dxa"/>
            </w:tcMar>
          </w:tcPr>
          <w:p>
            <w:pPr>
              <w:jc w:val="center"/>
            </w:pPr>
            <w:r>
              <w:rPr>
                <w:sz w:val="14"/>
              </w:rPr>
              <w:t>0.015 (0.011 to 0.020)</w:t>
            </w:r>
          </w:p>
        </w:tc>
      </w:tr>
      <w:tr>
        <w:trPr>
          <w:cantSplit/>
        </w:trPr>
        <w:tc>
          <w:tcPr>
            <w:tcW w:type="dxa" w:w="1242"/>
            <w:vAlign w:val="center"/>
            <w:tcMar>
              <w:top w:w="80" w:type="dxa"/>
              <w:start w:w="90" w:type="dxa"/>
              <w:bottom w:w="80" w:type="dxa"/>
              <w:end w:w="90" w:type="dxa"/>
            </w:tcMar>
          </w:tcPr>
          <w:p>
            <w:pPr>
              <w:jc w:val="left"/>
            </w:pPr>
            <w:r>
              <w:rPr>
                <w:sz w:val="14"/>
              </w:rPr>
              <w:t>China</w:t>
            </w:r>
          </w:p>
        </w:tc>
        <w:tc>
          <w:tcPr>
            <w:tcW w:type="dxa" w:w="1242"/>
            <w:vAlign w:val="center"/>
            <w:tcMar>
              <w:top w:w="80" w:type="dxa"/>
              <w:start w:w="90" w:type="dxa"/>
              <w:bottom w:w="80" w:type="dxa"/>
              <w:end w:w="90" w:type="dxa"/>
            </w:tcMar>
          </w:tcPr>
          <w:p>
            <w:pPr>
              <w:jc w:val="center"/>
            </w:pPr>
            <w:r>
              <w:rPr>
                <w:sz w:val="14"/>
              </w:rPr>
              <w:t>Male</w:t>
            </w:r>
          </w:p>
        </w:tc>
        <w:tc>
          <w:tcPr>
            <w:tcW w:type="dxa" w:w="1242"/>
            <w:vAlign w:val="center"/>
            <w:tcMar>
              <w:top w:w="80" w:type="dxa"/>
              <w:start w:w="90" w:type="dxa"/>
              <w:bottom w:w="80" w:type="dxa"/>
              <w:end w:w="90" w:type="dxa"/>
            </w:tcMar>
          </w:tcPr>
          <w:p>
            <w:pPr>
              <w:jc w:val="center"/>
            </w:pPr>
            <w:r>
              <w:rPr>
                <w:sz w:val="14"/>
              </w:rPr>
              <w:t>DALYs</w:t>
            </w:r>
          </w:p>
        </w:tc>
        <w:tc>
          <w:tcPr>
            <w:tcW w:type="dxa" w:w="1242"/>
            <w:vAlign w:val="center"/>
            <w:tcMar>
              <w:top w:w="80" w:type="dxa"/>
              <w:start w:w="90" w:type="dxa"/>
              <w:bottom w:w="80" w:type="dxa"/>
              <w:end w:w="90" w:type="dxa"/>
            </w:tcMar>
          </w:tcPr>
          <w:p>
            <w:pPr>
              <w:jc w:val="center"/>
            </w:pPr>
            <w:r>
              <w:rPr>
                <w:sz w:val="14"/>
              </w:rPr>
              <w:t>1,867,497 (1,364,871-2,322,508)</w:t>
            </w:r>
          </w:p>
        </w:tc>
        <w:tc>
          <w:tcPr>
            <w:tcW w:type="dxa" w:w="1242"/>
            <w:vAlign w:val="center"/>
            <w:tcMar>
              <w:top w:w="80" w:type="dxa"/>
              <w:start w:w="90" w:type="dxa"/>
              <w:bottom w:w="80" w:type="dxa"/>
              <w:end w:w="90" w:type="dxa"/>
            </w:tcMar>
          </w:tcPr>
          <w:p>
            <w:pPr>
              <w:jc w:val="center"/>
            </w:pPr>
            <w:r>
              <w:rPr>
                <w:sz w:val="14"/>
              </w:rPr>
              <w:t>49.5</w:t>
            </w:r>
          </w:p>
        </w:tc>
        <w:tc>
          <w:tcPr>
            <w:tcW w:type="dxa" w:w="1242"/>
            <w:vAlign w:val="center"/>
            <w:tcMar>
              <w:top w:w="80" w:type="dxa"/>
              <w:start w:w="90" w:type="dxa"/>
              <w:bottom w:w="80" w:type="dxa"/>
              <w:end w:w="90" w:type="dxa"/>
            </w:tcMar>
          </w:tcPr>
          <w:p>
            <w:pPr>
              <w:jc w:val="center"/>
            </w:pPr>
            <w:r>
              <w:rPr>
                <w:sz w:val="14"/>
              </w:rPr>
              <w:t>207.25</w:t>
            </w:r>
          </w:p>
        </w:tc>
        <w:tc>
          <w:tcPr>
            <w:tcW w:type="dxa" w:w="1242"/>
            <w:vAlign w:val="center"/>
            <w:tcMar>
              <w:top w:w="80" w:type="dxa"/>
              <w:start w:w="90" w:type="dxa"/>
              <w:bottom w:w="80" w:type="dxa"/>
              <w:end w:w="90" w:type="dxa"/>
            </w:tcMar>
          </w:tcPr>
          <w:p>
            <w:pPr>
              <w:jc w:val="center"/>
            </w:pPr>
            <w:r>
              <w:rPr>
                <w:sz w:val="14"/>
              </w:rPr>
              <w:t>209.14 (154.27-260.57)</w:t>
            </w:r>
          </w:p>
        </w:tc>
        <w:tc>
          <w:tcPr>
            <w:tcW w:type="dxa" w:w="1242"/>
            <w:vAlign w:val="center"/>
            <w:tcMar>
              <w:top w:w="80" w:type="dxa"/>
              <w:start w:w="90" w:type="dxa"/>
              <w:bottom w:w="80" w:type="dxa"/>
              <w:end w:w="90" w:type="dxa"/>
            </w:tcMar>
          </w:tcPr>
          <w:p>
            <w:pPr>
              <w:jc w:val="center"/>
            </w:pPr>
            <w:r>
              <w:rPr>
                <w:sz w:val="14"/>
              </w:rPr>
              <w:t>0.036 (0.031 to 0.042)</w:t>
            </w:r>
          </w:p>
        </w:tc>
      </w:tr>
      <w:tr>
        <w:trPr>
          <w:cantSplit/>
        </w:trPr>
        <w:tc>
          <w:tcPr>
            <w:tcW w:type="dxa" w:w="1242"/>
            <w:vAlign w:val="center"/>
            <w:tcMar>
              <w:top w:w="80" w:type="dxa"/>
              <w:start w:w="90" w:type="dxa"/>
              <w:bottom w:w="80" w:type="dxa"/>
              <w:end w:w="90" w:type="dxa"/>
            </w:tcMar>
          </w:tcPr>
          <w:p>
            <w:pPr>
              <w:jc w:val="left"/>
            </w:pPr>
            <w:r>
              <w:rPr>
                <w:sz w:val="14"/>
              </w:rPr>
              <w:t>United States</w:t>
            </w:r>
          </w:p>
        </w:tc>
        <w:tc>
          <w:tcPr>
            <w:tcW w:type="dxa" w:w="1242"/>
            <w:vAlign w:val="center"/>
            <w:tcMar>
              <w:top w:w="80" w:type="dxa"/>
              <w:start w:w="90" w:type="dxa"/>
              <w:bottom w:w="80" w:type="dxa"/>
              <w:end w:w="90" w:type="dxa"/>
            </w:tcMar>
          </w:tcPr>
          <w:p>
            <w:pPr>
              <w:jc w:val="center"/>
            </w:pPr>
            <w:r>
              <w:rPr>
                <w:sz w:val="14"/>
              </w:rPr>
              <w:t>Female</w:t>
            </w:r>
          </w:p>
        </w:tc>
        <w:tc>
          <w:tcPr>
            <w:tcW w:type="dxa" w:w="1242"/>
            <w:vAlign w:val="center"/>
            <w:tcMar>
              <w:top w:w="80" w:type="dxa"/>
              <w:start w:w="90" w:type="dxa"/>
              <w:bottom w:w="80" w:type="dxa"/>
              <w:end w:w="90" w:type="dxa"/>
            </w:tcMar>
          </w:tcPr>
          <w:p>
            <w:pPr>
              <w:jc w:val="center"/>
            </w:pPr>
            <w:r>
              <w:rPr>
                <w:sz w:val="14"/>
              </w:rPr>
              <w:t>Incidence</w:t>
            </w:r>
          </w:p>
        </w:tc>
        <w:tc>
          <w:tcPr>
            <w:tcW w:type="dxa" w:w="1242"/>
            <w:vAlign w:val="center"/>
            <w:tcMar>
              <w:top w:w="80" w:type="dxa"/>
              <w:start w:w="90" w:type="dxa"/>
              <w:bottom w:w="80" w:type="dxa"/>
              <w:end w:w="90" w:type="dxa"/>
            </w:tcMar>
          </w:tcPr>
          <w:p>
            <w:pPr>
              <w:jc w:val="center"/>
            </w:pPr>
            <w:r>
              <w:rPr>
                <w:sz w:val="14"/>
              </w:rPr>
              <w:t>36,071 (30,645-42,094)</w:t>
            </w:r>
          </w:p>
        </w:tc>
        <w:tc>
          <w:tcPr>
            <w:tcW w:type="dxa" w:w="1242"/>
            <w:vAlign w:val="center"/>
            <w:tcMar>
              <w:top w:w="80" w:type="dxa"/>
              <w:start w:w="90" w:type="dxa"/>
              <w:bottom w:w="80" w:type="dxa"/>
              <w:end w:w="90" w:type="dxa"/>
            </w:tcMar>
          </w:tcPr>
          <w:p>
            <w:pPr>
              <w:jc w:val="center"/>
            </w:pPr>
            <w:r>
              <w:rPr>
                <w:sz w:val="14"/>
              </w:rPr>
              <w:t>13.2</w:t>
            </w:r>
          </w:p>
        </w:tc>
        <w:tc>
          <w:tcPr>
            <w:tcW w:type="dxa" w:w="1242"/>
            <w:vAlign w:val="center"/>
            <w:tcMar>
              <w:top w:w="80" w:type="dxa"/>
              <w:start w:w="90" w:type="dxa"/>
              <w:bottom w:w="80" w:type="dxa"/>
              <w:end w:w="90" w:type="dxa"/>
            </w:tcMar>
          </w:tcPr>
          <w:p>
            <w:pPr>
              <w:jc w:val="center"/>
            </w:pPr>
            <w:r>
              <w:rPr>
                <w:sz w:val="14"/>
              </w:rPr>
              <w:t>24.55</w:t>
            </w:r>
          </w:p>
        </w:tc>
        <w:tc>
          <w:tcPr>
            <w:tcW w:type="dxa" w:w="1242"/>
            <w:vAlign w:val="center"/>
            <w:tcMar>
              <w:top w:w="80" w:type="dxa"/>
              <w:start w:w="90" w:type="dxa"/>
              <w:bottom w:w="80" w:type="dxa"/>
              <w:end w:w="90" w:type="dxa"/>
            </w:tcMar>
          </w:tcPr>
          <w:p>
            <w:pPr>
              <w:jc w:val="center"/>
            </w:pPr>
            <w:r>
              <w:rPr>
                <w:sz w:val="14"/>
              </w:rPr>
              <w:t>23.04 (19.65-27.07)</w:t>
            </w:r>
          </w:p>
        </w:tc>
        <w:tc>
          <w:tcPr>
            <w:tcW w:type="dxa" w:w="1242"/>
            <w:vAlign w:val="center"/>
            <w:tcMar>
              <w:top w:w="80" w:type="dxa"/>
              <w:start w:w="90" w:type="dxa"/>
              <w:bottom w:w="80" w:type="dxa"/>
              <w:end w:w="90" w:type="dxa"/>
            </w:tcMar>
          </w:tcPr>
          <w:p>
            <w:pPr>
              <w:jc w:val="center"/>
            </w:pPr>
            <w:r>
              <w:rPr>
                <w:sz w:val="14"/>
              </w:rPr>
              <w:t>-0.210 (-0.225 to -0.195)</w:t>
            </w:r>
          </w:p>
        </w:tc>
      </w:tr>
      <w:tr>
        <w:trPr>
          <w:cantSplit/>
        </w:trPr>
        <w:tc>
          <w:tcPr>
            <w:tcW w:type="dxa" w:w="1242"/>
            <w:vAlign w:val="center"/>
            <w:tcMar>
              <w:top w:w="80" w:type="dxa"/>
              <w:start w:w="90" w:type="dxa"/>
              <w:bottom w:w="80" w:type="dxa"/>
              <w:end w:w="90" w:type="dxa"/>
            </w:tcMar>
          </w:tcPr>
          <w:p>
            <w:pPr>
              <w:jc w:val="left"/>
            </w:pPr>
            <w:r>
              <w:rPr>
                <w:sz w:val="14"/>
              </w:rPr>
              <w:t>United States</w:t>
            </w:r>
          </w:p>
        </w:tc>
        <w:tc>
          <w:tcPr>
            <w:tcW w:type="dxa" w:w="1242"/>
            <w:vAlign w:val="center"/>
            <w:tcMar>
              <w:top w:w="80" w:type="dxa"/>
              <w:start w:w="90" w:type="dxa"/>
              <w:bottom w:w="80" w:type="dxa"/>
              <w:end w:w="90" w:type="dxa"/>
            </w:tcMar>
          </w:tcPr>
          <w:p>
            <w:pPr>
              <w:jc w:val="center"/>
            </w:pPr>
            <w:r>
              <w:rPr>
                <w:sz w:val="14"/>
              </w:rPr>
              <w:t>Female</w:t>
            </w:r>
          </w:p>
        </w:tc>
        <w:tc>
          <w:tcPr>
            <w:tcW w:type="dxa" w:w="1242"/>
            <w:vAlign w:val="center"/>
            <w:tcMar>
              <w:top w:w="80" w:type="dxa"/>
              <w:start w:w="90" w:type="dxa"/>
              <w:bottom w:w="80" w:type="dxa"/>
              <w:end w:w="90" w:type="dxa"/>
            </w:tcMar>
          </w:tcPr>
          <w:p>
            <w:pPr>
              <w:jc w:val="center"/>
            </w:pPr>
            <w:r>
              <w:rPr>
                <w:sz w:val="14"/>
              </w:rPr>
              <w:t>Prevalence</w:t>
            </w:r>
          </w:p>
        </w:tc>
        <w:tc>
          <w:tcPr>
            <w:tcW w:type="dxa" w:w="1242"/>
            <w:vAlign w:val="center"/>
            <w:tcMar>
              <w:top w:w="80" w:type="dxa"/>
              <w:start w:w="90" w:type="dxa"/>
              <w:bottom w:w="80" w:type="dxa"/>
              <w:end w:w="90" w:type="dxa"/>
            </w:tcMar>
          </w:tcPr>
          <w:p>
            <w:pPr>
              <w:jc w:val="center"/>
            </w:pPr>
            <w:r>
              <w:rPr>
                <w:sz w:val="14"/>
              </w:rPr>
              <w:t>767,642 (646,811-896,627)</w:t>
            </w:r>
          </w:p>
        </w:tc>
        <w:tc>
          <w:tcPr>
            <w:tcW w:type="dxa" w:w="1242"/>
            <w:vAlign w:val="center"/>
            <w:tcMar>
              <w:top w:w="80" w:type="dxa"/>
              <w:start w:w="90" w:type="dxa"/>
              <w:bottom w:w="80" w:type="dxa"/>
              <w:end w:w="90" w:type="dxa"/>
            </w:tcMar>
          </w:tcPr>
          <w:p>
            <w:pPr>
              <w:jc w:val="center"/>
            </w:pPr>
            <w:r>
              <w:rPr>
                <w:sz w:val="14"/>
              </w:rPr>
              <w:t>22.7</w:t>
            </w:r>
          </w:p>
        </w:tc>
        <w:tc>
          <w:tcPr>
            <w:tcW w:type="dxa" w:w="1242"/>
            <w:vAlign w:val="center"/>
            <w:tcMar>
              <w:top w:w="80" w:type="dxa"/>
              <w:start w:w="90" w:type="dxa"/>
              <w:bottom w:w="80" w:type="dxa"/>
              <w:end w:w="90" w:type="dxa"/>
            </w:tcMar>
          </w:tcPr>
          <w:p>
            <w:pPr>
              <w:jc w:val="center"/>
            </w:pPr>
            <w:r>
              <w:rPr>
                <w:sz w:val="14"/>
              </w:rPr>
              <w:t>435.19</w:t>
            </w:r>
          </w:p>
        </w:tc>
        <w:tc>
          <w:tcPr>
            <w:tcW w:type="dxa" w:w="1242"/>
            <w:vAlign w:val="center"/>
            <w:tcMar>
              <w:top w:w="80" w:type="dxa"/>
              <w:start w:w="90" w:type="dxa"/>
              <w:bottom w:w="80" w:type="dxa"/>
              <w:end w:w="90" w:type="dxa"/>
            </w:tcMar>
          </w:tcPr>
          <w:p>
            <w:pPr>
              <w:jc w:val="center"/>
            </w:pPr>
            <w:r>
              <w:rPr>
                <w:sz w:val="14"/>
              </w:rPr>
              <w:t>403.27 (336.96-477.10)</w:t>
            </w:r>
          </w:p>
        </w:tc>
        <w:tc>
          <w:tcPr>
            <w:tcW w:type="dxa" w:w="1242"/>
            <w:vAlign w:val="center"/>
            <w:tcMar>
              <w:top w:w="80" w:type="dxa"/>
              <w:start w:w="90" w:type="dxa"/>
              <w:bottom w:w="80" w:type="dxa"/>
              <w:end w:w="90" w:type="dxa"/>
            </w:tcMar>
          </w:tcPr>
          <w:p>
            <w:pPr>
              <w:jc w:val="center"/>
            </w:pPr>
            <w:r>
              <w:rPr>
                <w:sz w:val="14"/>
              </w:rPr>
              <w:t>-0.230 (-0.242 to -0.218)</w:t>
            </w:r>
          </w:p>
        </w:tc>
      </w:tr>
      <w:tr>
        <w:trPr>
          <w:cantSplit/>
        </w:trPr>
        <w:tc>
          <w:tcPr>
            <w:tcW w:type="dxa" w:w="1242"/>
            <w:vAlign w:val="center"/>
            <w:tcMar>
              <w:top w:w="80" w:type="dxa"/>
              <w:start w:w="90" w:type="dxa"/>
              <w:bottom w:w="80" w:type="dxa"/>
              <w:end w:w="90" w:type="dxa"/>
            </w:tcMar>
          </w:tcPr>
          <w:p>
            <w:pPr>
              <w:jc w:val="left"/>
            </w:pPr>
            <w:r>
              <w:rPr>
                <w:sz w:val="14"/>
              </w:rPr>
              <w:t>United States</w:t>
            </w:r>
          </w:p>
        </w:tc>
        <w:tc>
          <w:tcPr>
            <w:tcW w:type="dxa" w:w="1242"/>
            <w:vAlign w:val="center"/>
            <w:tcMar>
              <w:top w:w="80" w:type="dxa"/>
              <w:start w:w="90" w:type="dxa"/>
              <w:bottom w:w="80" w:type="dxa"/>
              <w:end w:w="90" w:type="dxa"/>
            </w:tcMar>
          </w:tcPr>
          <w:p>
            <w:pPr>
              <w:jc w:val="center"/>
            </w:pPr>
            <w:r>
              <w:rPr>
                <w:sz w:val="14"/>
              </w:rPr>
              <w:t>Female</w:t>
            </w:r>
          </w:p>
        </w:tc>
        <w:tc>
          <w:tcPr>
            <w:tcW w:type="dxa" w:w="1242"/>
            <w:vAlign w:val="center"/>
            <w:tcMar>
              <w:top w:w="80" w:type="dxa"/>
              <w:start w:w="90" w:type="dxa"/>
              <w:bottom w:w="80" w:type="dxa"/>
              <w:end w:w="90" w:type="dxa"/>
            </w:tcMar>
          </w:tcPr>
          <w:p>
            <w:pPr>
              <w:jc w:val="center"/>
            </w:pPr>
            <w:r>
              <w:rPr>
                <w:sz w:val="14"/>
              </w:rPr>
              <w:t>DALYs</w:t>
            </w:r>
          </w:p>
        </w:tc>
        <w:tc>
          <w:tcPr>
            <w:tcW w:type="dxa" w:w="1242"/>
            <w:vAlign w:val="center"/>
            <w:tcMar>
              <w:top w:w="80" w:type="dxa"/>
              <w:start w:w="90" w:type="dxa"/>
              <w:bottom w:w="80" w:type="dxa"/>
              <w:end w:w="90" w:type="dxa"/>
            </w:tcMar>
          </w:tcPr>
          <w:p>
            <w:pPr>
              <w:jc w:val="center"/>
            </w:pPr>
            <w:r>
              <w:rPr>
                <w:sz w:val="14"/>
              </w:rPr>
              <w:t>465,494 (334,682-564,154)</w:t>
            </w:r>
          </w:p>
        </w:tc>
        <w:tc>
          <w:tcPr>
            <w:tcW w:type="dxa" w:w="1242"/>
            <w:vAlign w:val="center"/>
            <w:tcMar>
              <w:top w:w="80" w:type="dxa"/>
              <w:start w:w="90" w:type="dxa"/>
              <w:bottom w:w="80" w:type="dxa"/>
              <w:end w:w="90" w:type="dxa"/>
            </w:tcMar>
          </w:tcPr>
          <w:p>
            <w:pPr>
              <w:jc w:val="center"/>
            </w:pPr>
            <w:r>
              <w:rPr>
                <w:sz w:val="14"/>
              </w:rPr>
              <w:t>20.5</w:t>
            </w:r>
          </w:p>
        </w:tc>
        <w:tc>
          <w:tcPr>
            <w:tcW w:type="dxa" w:w="1242"/>
            <w:vAlign w:val="center"/>
            <w:tcMar>
              <w:top w:w="80" w:type="dxa"/>
              <w:start w:w="90" w:type="dxa"/>
              <w:bottom w:w="80" w:type="dxa"/>
              <w:end w:w="90" w:type="dxa"/>
            </w:tcMar>
          </w:tcPr>
          <w:p>
            <w:pPr>
              <w:jc w:val="center"/>
            </w:pPr>
            <w:r>
              <w:rPr>
                <w:sz w:val="14"/>
              </w:rPr>
              <w:t>269.48</w:t>
            </w:r>
          </w:p>
        </w:tc>
        <w:tc>
          <w:tcPr>
            <w:tcW w:type="dxa" w:w="1242"/>
            <w:vAlign w:val="center"/>
            <w:tcMar>
              <w:top w:w="80" w:type="dxa"/>
              <w:start w:w="90" w:type="dxa"/>
              <w:bottom w:w="80" w:type="dxa"/>
              <w:end w:w="90" w:type="dxa"/>
            </w:tcMar>
          </w:tcPr>
          <w:p>
            <w:pPr>
              <w:jc w:val="center"/>
            </w:pPr>
            <w:r>
              <w:rPr>
                <w:sz w:val="14"/>
              </w:rPr>
              <w:t>247.86 (176.81-305.03)</w:t>
            </w:r>
          </w:p>
        </w:tc>
        <w:tc>
          <w:tcPr>
            <w:tcW w:type="dxa" w:w="1242"/>
            <w:vAlign w:val="center"/>
            <w:tcMar>
              <w:top w:w="80" w:type="dxa"/>
              <w:start w:w="90" w:type="dxa"/>
              <w:bottom w:w="80" w:type="dxa"/>
              <w:end w:w="90" w:type="dxa"/>
            </w:tcMar>
          </w:tcPr>
          <w:p>
            <w:pPr>
              <w:jc w:val="center"/>
            </w:pPr>
            <w:r>
              <w:rPr>
                <w:sz w:val="14"/>
              </w:rPr>
              <w:t>-0.249 (-0.261 to -0.237)</w:t>
            </w:r>
          </w:p>
        </w:tc>
      </w:tr>
      <w:tr>
        <w:trPr>
          <w:cantSplit/>
        </w:trPr>
        <w:tc>
          <w:tcPr>
            <w:tcW w:type="dxa" w:w="1242"/>
            <w:vAlign w:val="center"/>
            <w:tcMar>
              <w:top w:w="80" w:type="dxa"/>
              <w:start w:w="90" w:type="dxa"/>
              <w:bottom w:w="80" w:type="dxa"/>
              <w:end w:w="90" w:type="dxa"/>
            </w:tcMar>
          </w:tcPr>
          <w:p>
            <w:pPr>
              <w:jc w:val="left"/>
            </w:pPr>
            <w:r>
              <w:rPr>
                <w:sz w:val="14"/>
              </w:rPr>
              <w:t>United States</w:t>
            </w:r>
          </w:p>
        </w:tc>
        <w:tc>
          <w:tcPr>
            <w:tcW w:type="dxa" w:w="1242"/>
            <w:vAlign w:val="center"/>
            <w:tcMar>
              <w:top w:w="80" w:type="dxa"/>
              <w:start w:w="90" w:type="dxa"/>
              <w:bottom w:w="80" w:type="dxa"/>
              <w:end w:w="90" w:type="dxa"/>
            </w:tcMar>
          </w:tcPr>
          <w:p>
            <w:pPr>
              <w:jc w:val="center"/>
            </w:pPr>
            <w:r>
              <w:rPr>
                <w:sz w:val="14"/>
              </w:rPr>
              <w:t>Male</w:t>
            </w:r>
          </w:p>
        </w:tc>
        <w:tc>
          <w:tcPr>
            <w:tcW w:type="dxa" w:w="1242"/>
            <w:vAlign w:val="center"/>
            <w:tcMar>
              <w:top w:w="80" w:type="dxa"/>
              <w:start w:w="90" w:type="dxa"/>
              <w:bottom w:w="80" w:type="dxa"/>
              <w:end w:w="90" w:type="dxa"/>
            </w:tcMar>
          </w:tcPr>
          <w:p>
            <w:pPr>
              <w:jc w:val="center"/>
            </w:pPr>
            <w:r>
              <w:rPr>
                <w:sz w:val="14"/>
              </w:rPr>
              <w:t>Incidence</w:t>
            </w:r>
          </w:p>
        </w:tc>
        <w:tc>
          <w:tcPr>
            <w:tcW w:type="dxa" w:w="1242"/>
            <w:vAlign w:val="center"/>
            <w:tcMar>
              <w:top w:w="80" w:type="dxa"/>
              <w:start w:w="90" w:type="dxa"/>
              <w:bottom w:w="80" w:type="dxa"/>
              <w:end w:w="90" w:type="dxa"/>
            </w:tcMar>
          </w:tcPr>
          <w:p>
            <w:pPr>
              <w:jc w:val="center"/>
            </w:pPr>
            <w:r>
              <w:rPr>
                <w:sz w:val="14"/>
              </w:rPr>
              <w:t>42,426 (36,456-49,242)</w:t>
            </w:r>
          </w:p>
        </w:tc>
        <w:tc>
          <w:tcPr>
            <w:tcW w:type="dxa" w:w="1242"/>
            <w:vAlign w:val="center"/>
            <w:tcMar>
              <w:top w:w="80" w:type="dxa"/>
              <w:start w:w="90" w:type="dxa"/>
              <w:bottom w:w="80" w:type="dxa"/>
              <w:end w:w="90" w:type="dxa"/>
            </w:tcMar>
          </w:tcPr>
          <w:p>
            <w:pPr>
              <w:jc w:val="center"/>
            </w:pPr>
            <w:r>
              <w:rPr>
                <w:sz w:val="14"/>
              </w:rPr>
              <w:t>18.2</w:t>
            </w:r>
          </w:p>
        </w:tc>
        <w:tc>
          <w:tcPr>
            <w:tcW w:type="dxa" w:w="1242"/>
            <w:vAlign w:val="center"/>
            <w:tcMar>
              <w:top w:w="80" w:type="dxa"/>
              <w:start w:w="90" w:type="dxa"/>
              <w:bottom w:w="80" w:type="dxa"/>
              <w:end w:w="90" w:type="dxa"/>
            </w:tcMar>
          </w:tcPr>
          <w:p>
            <w:pPr>
              <w:jc w:val="center"/>
            </w:pPr>
            <w:r>
              <w:rPr>
                <w:sz w:val="14"/>
              </w:rPr>
              <w:t>27.28</w:t>
            </w:r>
          </w:p>
        </w:tc>
        <w:tc>
          <w:tcPr>
            <w:tcW w:type="dxa" w:w="1242"/>
            <w:vAlign w:val="center"/>
            <w:tcMar>
              <w:top w:w="80" w:type="dxa"/>
              <w:start w:w="90" w:type="dxa"/>
              <w:bottom w:w="80" w:type="dxa"/>
              <w:end w:w="90" w:type="dxa"/>
            </w:tcMar>
          </w:tcPr>
          <w:p>
            <w:pPr>
              <w:jc w:val="center"/>
            </w:pPr>
            <w:r>
              <w:rPr>
                <w:sz w:val="14"/>
              </w:rPr>
              <w:t>26.42 (22.57-30.86)</w:t>
            </w:r>
          </w:p>
        </w:tc>
        <w:tc>
          <w:tcPr>
            <w:tcW w:type="dxa" w:w="1242"/>
            <w:vAlign w:val="center"/>
            <w:tcMar>
              <w:top w:w="80" w:type="dxa"/>
              <w:start w:w="90" w:type="dxa"/>
              <w:bottom w:w="80" w:type="dxa"/>
              <w:end w:w="90" w:type="dxa"/>
            </w:tcMar>
          </w:tcPr>
          <w:p>
            <w:pPr>
              <w:jc w:val="center"/>
            </w:pPr>
            <w:r>
              <w:rPr>
                <w:sz w:val="14"/>
              </w:rPr>
              <w:t>-0.076 (-0.084 to -0.068)</w:t>
            </w:r>
          </w:p>
        </w:tc>
      </w:tr>
      <w:tr>
        <w:trPr>
          <w:cantSplit/>
        </w:trPr>
        <w:tc>
          <w:tcPr>
            <w:tcW w:type="dxa" w:w="1242"/>
            <w:vAlign w:val="center"/>
            <w:tcMar>
              <w:top w:w="80" w:type="dxa"/>
              <w:start w:w="90" w:type="dxa"/>
              <w:bottom w:w="80" w:type="dxa"/>
              <w:end w:w="90" w:type="dxa"/>
            </w:tcMar>
          </w:tcPr>
          <w:p>
            <w:pPr>
              <w:jc w:val="left"/>
            </w:pPr>
            <w:r>
              <w:rPr>
                <w:sz w:val="14"/>
              </w:rPr>
              <w:t>United States</w:t>
            </w:r>
          </w:p>
        </w:tc>
        <w:tc>
          <w:tcPr>
            <w:tcW w:type="dxa" w:w="1242"/>
            <w:vAlign w:val="center"/>
            <w:tcMar>
              <w:top w:w="80" w:type="dxa"/>
              <w:start w:w="90" w:type="dxa"/>
              <w:bottom w:w="80" w:type="dxa"/>
              <w:end w:w="90" w:type="dxa"/>
            </w:tcMar>
          </w:tcPr>
          <w:p>
            <w:pPr>
              <w:jc w:val="center"/>
            </w:pPr>
            <w:r>
              <w:rPr>
                <w:sz w:val="14"/>
              </w:rPr>
              <w:t>Male</w:t>
            </w:r>
          </w:p>
        </w:tc>
        <w:tc>
          <w:tcPr>
            <w:tcW w:type="dxa" w:w="1242"/>
            <w:vAlign w:val="center"/>
            <w:tcMar>
              <w:top w:w="80" w:type="dxa"/>
              <w:start w:w="90" w:type="dxa"/>
              <w:bottom w:w="80" w:type="dxa"/>
              <w:end w:w="90" w:type="dxa"/>
            </w:tcMar>
          </w:tcPr>
          <w:p>
            <w:pPr>
              <w:jc w:val="center"/>
            </w:pPr>
            <w:r>
              <w:rPr>
                <w:sz w:val="14"/>
              </w:rPr>
              <w:t>Prevalence</w:t>
            </w:r>
          </w:p>
        </w:tc>
        <w:tc>
          <w:tcPr>
            <w:tcW w:type="dxa" w:w="1242"/>
            <w:vAlign w:val="center"/>
            <w:tcMar>
              <w:top w:w="80" w:type="dxa"/>
              <w:start w:w="90" w:type="dxa"/>
              <w:bottom w:w="80" w:type="dxa"/>
              <w:end w:w="90" w:type="dxa"/>
            </w:tcMar>
          </w:tcPr>
          <w:p>
            <w:pPr>
              <w:jc w:val="center"/>
            </w:pPr>
            <w:r>
              <w:rPr>
                <w:sz w:val="14"/>
              </w:rPr>
              <w:t>800,475 (674,409-934,021)</w:t>
            </w:r>
          </w:p>
        </w:tc>
        <w:tc>
          <w:tcPr>
            <w:tcW w:type="dxa" w:w="1242"/>
            <w:vAlign w:val="center"/>
            <w:tcMar>
              <w:top w:w="80" w:type="dxa"/>
              <w:start w:w="90" w:type="dxa"/>
              <w:bottom w:w="80" w:type="dxa"/>
              <w:end w:w="90" w:type="dxa"/>
            </w:tcMar>
          </w:tcPr>
          <w:p>
            <w:pPr>
              <w:jc w:val="center"/>
            </w:pPr>
            <w:r>
              <w:rPr>
                <w:sz w:val="14"/>
              </w:rPr>
              <w:t>31.6</w:t>
            </w:r>
          </w:p>
        </w:tc>
        <w:tc>
          <w:tcPr>
            <w:tcW w:type="dxa" w:w="1242"/>
            <w:vAlign w:val="center"/>
            <w:tcMar>
              <w:top w:w="80" w:type="dxa"/>
              <w:start w:w="90" w:type="dxa"/>
              <w:bottom w:w="80" w:type="dxa"/>
              <w:end w:w="90" w:type="dxa"/>
            </w:tcMar>
          </w:tcPr>
          <w:p>
            <w:pPr>
              <w:jc w:val="center"/>
            </w:pPr>
            <w:r>
              <w:rPr>
                <w:sz w:val="14"/>
              </w:rPr>
              <w:t>443.11</w:t>
            </w:r>
          </w:p>
        </w:tc>
        <w:tc>
          <w:tcPr>
            <w:tcW w:type="dxa" w:w="1242"/>
            <w:vAlign w:val="center"/>
            <w:tcMar>
              <w:top w:w="80" w:type="dxa"/>
              <w:start w:w="90" w:type="dxa"/>
              <w:bottom w:w="80" w:type="dxa"/>
              <w:end w:w="90" w:type="dxa"/>
            </w:tcMar>
          </w:tcPr>
          <w:p>
            <w:pPr>
              <w:jc w:val="center"/>
            </w:pPr>
            <w:r>
              <w:rPr>
                <w:sz w:val="14"/>
              </w:rPr>
              <w:t>428.80 (358.33-502.32)</w:t>
            </w:r>
          </w:p>
        </w:tc>
        <w:tc>
          <w:tcPr>
            <w:tcW w:type="dxa" w:w="1242"/>
            <w:vAlign w:val="center"/>
            <w:tcMar>
              <w:top w:w="80" w:type="dxa"/>
              <w:start w:w="90" w:type="dxa"/>
              <w:bottom w:w="80" w:type="dxa"/>
              <w:end w:w="90" w:type="dxa"/>
            </w:tcMar>
          </w:tcPr>
          <w:p>
            <w:pPr>
              <w:jc w:val="center"/>
            </w:pPr>
            <w:r>
              <w:rPr>
                <w:sz w:val="14"/>
              </w:rPr>
              <w:t>-0.079 (-0.089 to -0.069)</w:t>
            </w:r>
          </w:p>
        </w:tc>
      </w:tr>
      <w:tr>
        <w:trPr>
          <w:cantSplit/>
        </w:trPr>
        <w:tc>
          <w:tcPr>
            <w:tcW w:type="dxa" w:w="1242"/>
            <w:vAlign w:val="center"/>
            <w:tcMar>
              <w:top w:w="80" w:type="dxa"/>
              <w:start w:w="90" w:type="dxa"/>
              <w:bottom w:w="80" w:type="dxa"/>
              <w:end w:w="90" w:type="dxa"/>
            </w:tcMar>
          </w:tcPr>
          <w:p>
            <w:pPr>
              <w:jc w:val="left"/>
            </w:pPr>
            <w:r>
              <w:rPr>
                <w:sz w:val="14"/>
              </w:rPr>
              <w:t>United States</w:t>
            </w:r>
          </w:p>
        </w:tc>
        <w:tc>
          <w:tcPr>
            <w:tcW w:type="dxa" w:w="1242"/>
            <w:vAlign w:val="center"/>
            <w:tcMar>
              <w:top w:w="80" w:type="dxa"/>
              <w:start w:w="90" w:type="dxa"/>
              <w:bottom w:w="80" w:type="dxa"/>
              <w:end w:w="90" w:type="dxa"/>
            </w:tcMar>
          </w:tcPr>
          <w:p>
            <w:pPr>
              <w:jc w:val="center"/>
            </w:pPr>
            <w:r>
              <w:rPr>
                <w:sz w:val="14"/>
              </w:rPr>
              <w:t>Male</w:t>
            </w:r>
          </w:p>
        </w:tc>
        <w:tc>
          <w:tcPr>
            <w:tcW w:type="dxa" w:w="1242"/>
            <w:vAlign w:val="center"/>
            <w:tcMar>
              <w:top w:w="80" w:type="dxa"/>
              <w:start w:w="90" w:type="dxa"/>
              <w:bottom w:w="80" w:type="dxa"/>
              <w:end w:w="90" w:type="dxa"/>
            </w:tcMar>
          </w:tcPr>
          <w:p>
            <w:pPr>
              <w:jc w:val="center"/>
            </w:pPr>
            <w:r>
              <w:rPr>
                <w:sz w:val="14"/>
              </w:rPr>
              <w:t>DALYs</w:t>
            </w:r>
          </w:p>
        </w:tc>
        <w:tc>
          <w:tcPr>
            <w:tcW w:type="dxa" w:w="1242"/>
            <w:vAlign w:val="center"/>
            <w:tcMar>
              <w:top w:w="80" w:type="dxa"/>
              <w:start w:w="90" w:type="dxa"/>
              <w:bottom w:w="80" w:type="dxa"/>
              <w:end w:w="90" w:type="dxa"/>
            </w:tcMar>
          </w:tcPr>
          <w:p>
            <w:pPr>
              <w:jc w:val="center"/>
            </w:pPr>
            <w:r>
              <w:rPr>
                <w:sz w:val="14"/>
              </w:rPr>
              <w:t>499,087 (362,580-610,406)</w:t>
            </w:r>
          </w:p>
        </w:tc>
        <w:tc>
          <w:tcPr>
            <w:tcW w:type="dxa" w:w="1242"/>
            <w:vAlign w:val="center"/>
            <w:tcMar>
              <w:top w:w="80" w:type="dxa"/>
              <w:start w:w="90" w:type="dxa"/>
              <w:bottom w:w="80" w:type="dxa"/>
              <w:end w:w="90" w:type="dxa"/>
            </w:tcMar>
          </w:tcPr>
          <w:p>
            <w:pPr>
              <w:jc w:val="center"/>
            </w:pPr>
            <w:r>
              <w:rPr>
                <w:sz w:val="14"/>
              </w:rPr>
              <w:t>29.2</w:t>
            </w:r>
          </w:p>
        </w:tc>
        <w:tc>
          <w:tcPr>
            <w:tcW w:type="dxa" w:w="1242"/>
            <w:vAlign w:val="center"/>
            <w:tcMar>
              <w:top w:w="80" w:type="dxa"/>
              <w:start w:w="90" w:type="dxa"/>
              <w:bottom w:w="80" w:type="dxa"/>
              <w:end w:w="90" w:type="dxa"/>
            </w:tcMar>
          </w:tcPr>
          <w:p>
            <w:pPr>
              <w:jc w:val="center"/>
            </w:pPr>
            <w:r>
              <w:rPr>
                <w:sz w:val="14"/>
              </w:rPr>
              <w:t>281.20</w:t>
            </w:r>
          </w:p>
        </w:tc>
        <w:tc>
          <w:tcPr>
            <w:tcW w:type="dxa" w:w="1242"/>
            <w:vAlign w:val="center"/>
            <w:tcMar>
              <w:top w:w="80" w:type="dxa"/>
              <w:start w:w="90" w:type="dxa"/>
              <w:bottom w:w="80" w:type="dxa"/>
              <w:end w:w="90" w:type="dxa"/>
            </w:tcMar>
          </w:tcPr>
          <w:p>
            <w:pPr>
              <w:jc w:val="center"/>
            </w:pPr>
            <w:r>
              <w:rPr>
                <w:sz w:val="14"/>
              </w:rPr>
              <w:t>270.16 (194.75-334.97)</w:t>
            </w:r>
          </w:p>
        </w:tc>
        <w:tc>
          <w:tcPr>
            <w:tcW w:type="dxa" w:w="1242"/>
            <w:vAlign w:val="center"/>
            <w:tcMar>
              <w:top w:w="80" w:type="dxa"/>
              <w:start w:w="90" w:type="dxa"/>
              <w:bottom w:w="80" w:type="dxa"/>
              <w:end w:w="90" w:type="dxa"/>
            </w:tcMar>
          </w:tcPr>
          <w:p>
            <w:pPr>
              <w:jc w:val="center"/>
            </w:pPr>
            <w:r>
              <w:rPr>
                <w:sz w:val="14"/>
              </w:rPr>
              <w:t>-0.109 (-0.117 to -0.101)</w:t>
            </w:r>
          </w:p>
        </w:tc>
      </w:tr>
    </w:tbl>
    <w:p/>
    <w:p>
      <w:pPr>
        <w:jc w:val="center"/>
      </w:pPr>
      <w:r>
        <w:drawing>
          <wp:inline xmlns:a="http://schemas.openxmlformats.org/drawingml/2006/main" xmlns:pic="http://schemas.openxmlformats.org/drawingml/2006/picture">
            <wp:extent cx="6126480" cy="2001023"/>
            <wp:docPr id="1" name="Picture 1" descr="Three panels showing incidence, prevalence, and DALY age-standardized rate trends by country and sex." title="Three panels showing incidence, prevalence, and DALY age-standardized rate trend"/>
            <wp:cNvGraphicFramePr>
              <a:graphicFrameLocks noChangeAspect="1"/>
            </wp:cNvGraphicFramePr>
            <a:graphic>
              <a:graphicData uri="http://schemas.openxmlformats.org/drawingml/2006/picture">
                <pic:pic>
                  <pic:nvPicPr>
                    <pic:cNvPr id="0" name="figure_1_asr_trends.png"/>
                    <pic:cNvPicPr/>
                  </pic:nvPicPr>
                  <pic:blipFill>
                    <a:blip r:embed="rId10"/>
                    <a:stretch>
                      <a:fillRect/>
                    </a:stretch>
                  </pic:blipFill>
                  <pic:spPr>
                    <a:xfrm>
                      <a:off x="0" y="0"/>
                      <a:ext cx="6126480" cy="2001023"/>
                    </a:xfrm>
                    <a:prstGeom prst="rect"/>
                  </pic:spPr>
                </pic:pic>
              </a:graphicData>
            </a:graphic>
          </wp:inline>
        </w:drawing>
      </w:r>
    </w:p>
    <w:p>
      <w:pPr>
        <w:spacing w:after="200"/>
        <w:jc w:val="left"/>
      </w:pPr>
      <w:r>
        <w:rPr>
          <w:b/>
        </w:rPr>
        <w:t xml:space="preserve">Figure 1. </w:t>
      </w:r>
      <w:r>
        <w:t>Sex-specific schizophrenia age-standardized rates in China and the United States, 1990-2023. Shading shows native 95% GBD uncertainty intervals.</w:t>
      </w:r>
    </w:p>
    <w:p>
      <w:pPr>
        <w:pStyle w:val="Heading2"/>
      </w:pPr>
      <w:r>
        <w:t>Segmented trends and formal comparisons</w:t>
      </w:r>
    </w:p>
    <w:p>
      <w:r>
        <w:t>Permutation-selected models identified nonlinear rate trajectories in several panels. False-discovery-rate-adjusted parallelism tests rejected parallel trends in 12 of 12 comparisons. These tests quantify trajectory differences and do not identify causal explanations for them.</w:t>
      </w:r>
    </w:p>
    <w:p>
      <w:r>
        <w:rPr>
          <w:b/>
        </w:rPr>
        <w:t>Table 2.</w:t>
      </w:r>
      <w:r>
        <w:t xml:space="preserve"> Prespecified trajectory parallelism tests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shd w:fill="1F4E78"/>
            <w:tcMar>
              <w:top w:w="80" w:type="dxa"/>
              <w:start w:w="90" w:type="dxa"/>
              <w:bottom w:w="80" w:type="dxa"/>
              <w:end w:w="90" w:type="dxa"/>
            </w:tcMar>
            <w:vAlign w:val="center"/>
          </w:tcPr>
          <w:p>
            <w:pPr>
              <w:jc w:val="center"/>
            </w:pPr>
            <w:r>
              <w:rPr>
                <w:b/>
                <w:color w:val="FFFFFF"/>
                <w:sz w:val="16"/>
              </w:rPr>
              <w:t>Family</w:t>
            </w:r>
          </w:p>
        </w:tc>
        <w:tc>
          <w:tcPr>
            <w:tcW w:type="dxa" w:w="1419"/>
            <w:shd w:fill="1F4E78"/>
            <w:tcMar>
              <w:top w:w="80" w:type="dxa"/>
              <w:start w:w="90" w:type="dxa"/>
              <w:bottom w:w="80" w:type="dxa"/>
              <w:end w:w="90" w:type="dxa"/>
            </w:tcMar>
            <w:vAlign w:val="center"/>
          </w:tcPr>
          <w:p>
            <w:pPr>
              <w:jc w:val="center"/>
            </w:pPr>
            <w:r>
              <w:rPr>
                <w:b/>
                <w:color w:val="FFFFFF"/>
                <w:sz w:val="16"/>
              </w:rPr>
              <w:t>Stratum</w:t>
            </w:r>
          </w:p>
        </w:tc>
        <w:tc>
          <w:tcPr>
            <w:tcW w:type="dxa" w:w="1419"/>
            <w:shd w:fill="1F4E78"/>
            <w:tcMar>
              <w:top w:w="80" w:type="dxa"/>
              <w:start w:w="90" w:type="dxa"/>
              <w:bottom w:w="80" w:type="dxa"/>
              <w:end w:w="90" w:type="dxa"/>
            </w:tcMar>
            <w:vAlign w:val="center"/>
          </w:tcPr>
          <w:p>
            <w:pPr>
              <w:jc w:val="center"/>
            </w:pPr>
            <w:r>
              <w:rPr>
                <w:b/>
                <w:color w:val="FFFFFF"/>
                <w:sz w:val="16"/>
              </w:rPr>
              <w:t>Outcome</w:t>
            </w:r>
          </w:p>
        </w:tc>
        <w:tc>
          <w:tcPr>
            <w:tcW w:type="dxa" w:w="1419"/>
            <w:shd w:fill="1F4E78"/>
            <w:tcMar>
              <w:top w:w="80" w:type="dxa"/>
              <w:start w:w="90" w:type="dxa"/>
              <w:bottom w:w="80" w:type="dxa"/>
              <w:end w:w="90" w:type="dxa"/>
            </w:tcMar>
            <w:vAlign w:val="center"/>
          </w:tcPr>
          <w:p>
            <w:pPr>
              <w:jc w:val="center"/>
            </w:pPr>
            <w:r>
              <w:rPr>
                <w:b/>
                <w:color w:val="FFFFFF"/>
                <w:sz w:val="16"/>
              </w:rPr>
              <w:t>Comparison</w:t>
            </w:r>
          </w:p>
        </w:tc>
        <w:tc>
          <w:tcPr>
            <w:tcW w:type="dxa" w:w="1419"/>
            <w:shd w:fill="1F4E78"/>
            <w:tcMar>
              <w:top w:w="80" w:type="dxa"/>
              <w:start w:w="90" w:type="dxa"/>
              <w:bottom w:w="80" w:type="dxa"/>
              <w:end w:w="90" w:type="dxa"/>
            </w:tcMar>
            <w:vAlign w:val="center"/>
          </w:tcPr>
          <w:p>
            <w:pPr>
              <w:jc w:val="center"/>
            </w:pPr>
            <w:r>
              <w:rPr>
                <w:b/>
                <w:color w:val="FFFFFF"/>
                <w:sz w:val="16"/>
              </w:rPr>
              <w:t>P value</w:t>
            </w:r>
          </w:p>
        </w:tc>
        <w:tc>
          <w:tcPr>
            <w:tcW w:type="dxa" w:w="1419"/>
            <w:shd w:fill="1F4E78"/>
            <w:tcMar>
              <w:top w:w="80" w:type="dxa"/>
              <w:start w:w="90" w:type="dxa"/>
              <w:bottom w:w="80" w:type="dxa"/>
              <w:end w:w="90" w:type="dxa"/>
            </w:tcMar>
            <w:vAlign w:val="center"/>
          </w:tcPr>
          <w:p>
            <w:pPr>
              <w:jc w:val="center"/>
            </w:pPr>
            <w:r>
              <w:rPr>
                <w:b/>
                <w:color w:val="FFFFFF"/>
                <w:sz w:val="16"/>
              </w:rPr>
              <w:t>BH q value</w:t>
            </w:r>
          </w:p>
        </w:tc>
        <w:tc>
          <w:tcPr>
            <w:tcW w:type="dxa" w:w="1419"/>
            <w:shd w:fill="1F4E78"/>
            <w:tcMar>
              <w:top w:w="80" w:type="dxa"/>
              <w:start w:w="90" w:type="dxa"/>
              <w:bottom w:w="80" w:type="dxa"/>
              <w:end w:w="90" w:type="dxa"/>
            </w:tcMar>
            <w:vAlign w:val="center"/>
          </w:tcPr>
          <w:p>
            <w:pPr>
              <w:jc w:val="center"/>
            </w:pPr>
            <w:r>
              <w:rPr>
                <w:b/>
                <w:color w:val="FFFFFF"/>
                <w:sz w:val="16"/>
              </w:rPr>
              <w:t>Nonparallel at q&lt;0.05</w:t>
            </w:r>
          </w:p>
        </w:tc>
      </w:tr>
      <w:tr>
        <w:trPr>
          <w:cantSplit/>
        </w:trPr>
        <w:tc>
          <w:tcPr>
            <w:tcW w:type="dxa" w:w="1419"/>
            <w:vAlign w:val="center"/>
            <w:tcMar>
              <w:top w:w="80" w:type="dxa"/>
              <w:start w:w="90" w:type="dxa"/>
              <w:bottom w:w="80" w:type="dxa"/>
              <w:end w:w="90" w:type="dxa"/>
            </w:tcMar>
          </w:tcPr>
          <w:p>
            <w:pPr>
              <w:jc w:val="left"/>
            </w:pPr>
            <w:r>
              <w:rPr>
                <w:sz w:val="16"/>
              </w:rPr>
              <w:t>country</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China vs United States</w:t>
            </w:r>
          </w:p>
        </w:tc>
        <w:tc>
          <w:tcPr>
            <w:tcW w:type="dxa" w:w="1419"/>
            <w:vAlign w:val="center"/>
            <w:tcMar>
              <w:top w:w="80" w:type="dxa"/>
              <w:start w:w="90" w:type="dxa"/>
              <w:bottom w:w="80" w:type="dxa"/>
              <w:end w:w="90" w:type="dxa"/>
            </w:tcMar>
          </w:tcPr>
          <w:p>
            <w:pPr>
              <w:jc w:val="center"/>
            </w:pPr>
            <w:r>
              <w:rPr>
                <w:sz w:val="16"/>
              </w:rPr>
              <w:t>1.02e-45</w:t>
            </w:r>
          </w:p>
        </w:tc>
        <w:tc>
          <w:tcPr>
            <w:tcW w:type="dxa" w:w="1419"/>
            <w:vAlign w:val="center"/>
            <w:tcMar>
              <w:top w:w="80" w:type="dxa"/>
              <w:start w:w="90" w:type="dxa"/>
              <w:bottom w:w="80" w:type="dxa"/>
              <w:end w:w="90" w:type="dxa"/>
            </w:tcMar>
          </w:tcPr>
          <w:p>
            <w:pPr>
              <w:jc w:val="center"/>
            </w:pPr>
            <w:r>
              <w:rPr>
                <w:sz w:val="16"/>
              </w:rPr>
              <w:t>2.04e-45</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country</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China vs United States</w:t>
            </w:r>
          </w:p>
        </w:tc>
        <w:tc>
          <w:tcPr>
            <w:tcW w:type="dxa" w:w="1419"/>
            <w:vAlign w:val="center"/>
            <w:tcMar>
              <w:top w:w="80" w:type="dxa"/>
              <w:start w:w="90" w:type="dxa"/>
              <w:bottom w:w="80" w:type="dxa"/>
              <w:end w:w="90" w:type="dxa"/>
            </w:tcMar>
          </w:tcPr>
          <w:p>
            <w:pPr>
              <w:jc w:val="center"/>
            </w:pPr>
            <w:r>
              <w:rPr>
                <w:sz w:val="16"/>
              </w:rPr>
              <w:t>2.24e-57</w:t>
            </w:r>
          </w:p>
        </w:tc>
        <w:tc>
          <w:tcPr>
            <w:tcW w:type="dxa" w:w="1419"/>
            <w:vAlign w:val="center"/>
            <w:tcMar>
              <w:top w:w="80" w:type="dxa"/>
              <w:start w:w="90" w:type="dxa"/>
              <w:bottom w:w="80" w:type="dxa"/>
              <w:end w:w="90" w:type="dxa"/>
            </w:tcMar>
          </w:tcPr>
          <w:p>
            <w:pPr>
              <w:jc w:val="center"/>
            </w:pPr>
            <w:r>
              <w:rPr>
                <w:sz w:val="16"/>
              </w:rPr>
              <w:t>6.73e-57</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country</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China vs United States</w:t>
            </w:r>
          </w:p>
        </w:tc>
        <w:tc>
          <w:tcPr>
            <w:tcW w:type="dxa" w:w="1419"/>
            <w:vAlign w:val="center"/>
            <w:tcMar>
              <w:top w:w="80" w:type="dxa"/>
              <w:start w:w="90" w:type="dxa"/>
              <w:bottom w:w="80" w:type="dxa"/>
              <w:end w:w="90" w:type="dxa"/>
            </w:tcMar>
          </w:tcPr>
          <w:p>
            <w:pPr>
              <w:jc w:val="center"/>
            </w:pPr>
            <w:r>
              <w:rPr>
                <w:sz w:val="16"/>
              </w:rPr>
              <w:t>2.14e-59</w:t>
            </w:r>
          </w:p>
        </w:tc>
        <w:tc>
          <w:tcPr>
            <w:tcW w:type="dxa" w:w="1419"/>
            <w:vAlign w:val="center"/>
            <w:tcMar>
              <w:top w:w="80" w:type="dxa"/>
              <w:start w:w="90" w:type="dxa"/>
              <w:bottom w:w="80" w:type="dxa"/>
              <w:end w:w="90" w:type="dxa"/>
            </w:tcMar>
          </w:tcPr>
          <w:p>
            <w:pPr>
              <w:jc w:val="center"/>
            </w:pPr>
            <w:r>
              <w:rPr>
                <w:sz w:val="16"/>
              </w:rPr>
              <w:t>1.28e-58</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country</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China vs United States</w:t>
            </w:r>
          </w:p>
        </w:tc>
        <w:tc>
          <w:tcPr>
            <w:tcW w:type="dxa" w:w="1419"/>
            <w:vAlign w:val="center"/>
            <w:tcMar>
              <w:top w:w="80" w:type="dxa"/>
              <w:start w:w="90" w:type="dxa"/>
              <w:bottom w:w="80" w:type="dxa"/>
              <w:end w:w="90" w:type="dxa"/>
            </w:tcMar>
          </w:tcPr>
          <w:p>
            <w:pPr>
              <w:jc w:val="center"/>
            </w:pPr>
            <w:r>
              <w:rPr>
                <w:sz w:val="16"/>
              </w:rPr>
              <w:t>4.31e-33</w:t>
            </w:r>
          </w:p>
        </w:tc>
        <w:tc>
          <w:tcPr>
            <w:tcW w:type="dxa" w:w="1419"/>
            <w:vAlign w:val="center"/>
            <w:tcMar>
              <w:top w:w="80" w:type="dxa"/>
              <w:start w:w="90" w:type="dxa"/>
              <w:bottom w:w="80" w:type="dxa"/>
              <w:end w:w="90" w:type="dxa"/>
            </w:tcMar>
          </w:tcPr>
          <w:p>
            <w:pPr>
              <w:jc w:val="center"/>
            </w:pPr>
            <w:r>
              <w:rPr>
                <w:sz w:val="16"/>
              </w:rPr>
              <w:t>4.31e-33</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country</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China vs United States</w:t>
            </w:r>
          </w:p>
        </w:tc>
        <w:tc>
          <w:tcPr>
            <w:tcW w:type="dxa" w:w="1419"/>
            <w:vAlign w:val="center"/>
            <w:tcMar>
              <w:top w:w="80" w:type="dxa"/>
              <w:start w:w="90" w:type="dxa"/>
              <w:bottom w:w="80" w:type="dxa"/>
              <w:end w:w="90" w:type="dxa"/>
            </w:tcMar>
          </w:tcPr>
          <w:p>
            <w:pPr>
              <w:jc w:val="center"/>
            </w:pPr>
            <w:r>
              <w:rPr>
                <w:sz w:val="16"/>
              </w:rPr>
              <w:t>5.65e-39</w:t>
            </w:r>
          </w:p>
        </w:tc>
        <w:tc>
          <w:tcPr>
            <w:tcW w:type="dxa" w:w="1419"/>
            <w:vAlign w:val="center"/>
            <w:tcMar>
              <w:top w:w="80" w:type="dxa"/>
              <w:start w:w="90" w:type="dxa"/>
              <w:bottom w:w="80" w:type="dxa"/>
              <w:end w:w="90" w:type="dxa"/>
            </w:tcMar>
          </w:tcPr>
          <w:p>
            <w:pPr>
              <w:jc w:val="center"/>
            </w:pPr>
            <w:r>
              <w:rPr>
                <w:sz w:val="16"/>
              </w:rPr>
              <w:t>6.78e-39</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country</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China vs United States</w:t>
            </w:r>
          </w:p>
        </w:tc>
        <w:tc>
          <w:tcPr>
            <w:tcW w:type="dxa" w:w="1419"/>
            <w:vAlign w:val="center"/>
            <w:tcMar>
              <w:top w:w="80" w:type="dxa"/>
              <w:start w:w="90" w:type="dxa"/>
              <w:bottom w:w="80" w:type="dxa"/>
              <w:end w:w="90" w:type="dxa"/>
            </w:tcMar>
          </w:tcPr>
          <w:p>
            <w:pPr>
              <w:jc w:val="center"/>
            </w:pPr>
            <w:r>
              <w:rPr>
                <w:sz w:val="16"/>
              </w:rPr>
              <w:t>1.06e-43</w:t>
            </w:r>
          </w:p>
        </w:tc>
        <w:tc>
          <w:tcPr>
            <w:tcW w:type="dxa" w:w="1419"/>
            <w:vAlign w:val="center"/>
            <w:tcMar>
              <w:top w:w="80" w:type="dxa"/>
              <w:start w:w="90" w:type="dxa"/>
              <w:bottom w:w="80" w:type="dxa"/>
              <w:end w:w="90" w:type="dxa"/>
            </w:tcMar>
          </w:tcPr>
          <w:p>
            <w:pPr>
              <w:jc w:val="center"/>
            </w:pPr>
            <w:r>
              <w:rPr>
                <w:sz w:val="16"/>
              </w:rPr>
              <w:t>1.59e-43</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sex</w:t>
            </w:r>
          </w:p>
        </w:tc>
        <w:tc>
          <w:tcPr>
            <w:tcW w:type="dxa" w:w="1419"/>
            <w:vAlign w:val="center"/>
            <w:tcMar>
              <w:top w:w="80" w:type="dxa"/>
              <w:start w:w="90" w:type="dxa"/>
              <w:bottom w:w="80" w:type="dxa"/>
              <w:end w:w="90" w:type="dxa"/>
            </w:tcMar>
          </w:tcPr>
          <w:p>
            <w:pPr>
              <w:jc w:val="center"/>
            </w:pPr>
            <w:r>
              <w:rPr>
                <w:sz w:val="16"/>
              </w:rPr>
              <w:t>China</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Female vs Male</w:t>
            </w:r>
          </w:p>
        </w:tc>
        <w:tc>
          <w:tcPr>
            <w:tcW w:type="dxa" w:w="1419"/>
            <w:vAlign w:val="center"/>
            <w:tcMar>
              <w:top w:w="80" w:type="dxa"/>
              <w:start w:w="90" w:type="dxa"/>
              <w:bottom w:w="80" w:type="dxa"/>
              <w:end w:w="90" w:type="dxa"/>
            </w:tcMar>
          </w:tcPr>
          <w:p>
            <w:pPr>
              <w:jc w:val="center"/>
            </w:pPr>
            <w:r>
              <w:rPr>
                <w:sz w:val="16"/>
              </w:rPr>
              <w:t>1.11e-05</w:t>
            </w:r>
          </w:p>
        </w:tc>
        <w:tc>
          <w:tcPr>
            <w:tcW w:type="dxa" w:w="1419"/>
            <w:vAlign w:val="center"/>
            <w:tcMar>
              <w:top w:w="80" w:type="dxa"/>
              <w:start w:w="90" w:type="dxa"/>
              <w:bottom w:w="80" w:type="dxa"/>
              <w:end w:w="90" w:type="dxa"/>
            </w:tcMar>
          </w:tcPr>
          <w:p>
            <w:pPr>
              <w:jc w:val="center"/>
            </w:pPr>
            <w:r>
              <w:rPr>
                <w:sz w:val="16"/>
              </w:rPr>
              <w:t>1.34e-05</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sex</w:t>
            </w:r>
          </w:p>
        </w:tc>
        <w:tc>
          <w:tcPr>
            <w:tcW w:type="dxa" w:w="1419"/>
            <w:vAlign w:val="center"/>
            <w:tcMar>
              <w:top w:w="80" w:type="dxa"/>
              <w:start w:w="90" w:type="dxa"/>
              <w:bottom w:w="80" w:type="dxa"/>
              <w:end w:w="90" w:type="dxa"/>
            </w:tcMar>
          </w:tcPr>
          <w:p>
            <w:pPr>
              <w:jc w:val="center"/>
            </w:pPr>
            <w:r>
              <w:rPr>
                <w:sz w:val="16"/>
              </w:rPr>
              <w:t>China</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Female vs Male</w:t>
            </w:r>
          </w:p>
        </w:tc>
        <w:tc>
          <w:tcPr>
            <w:tcW w:type="dxa" w:w="1419"/>
            <w:vAlign w:val="center"/>
            <w:tcMar>
              <w:top w:w="80" w:type="dxa"/>
              <w:start w:w="90" w:type="dxa"/>
              <w:bottom w:w="80" w:type="dxa"/>
              <w:end w:w="90" w:type="dxa"/>
            </w:tcMar>
          </w:tcPr>
          <w:p>
            <w:pPr>
              <w:jc w:val="center"/>
            </w:pPr>
            <w:r>
              <w:rPr>
                <w:sz w:val="16"/>
              </w:rPr>
              <w:t>0.0112</w:t>
            </w:r>
          </w:p>
        </w:tc>
        <w:tc>
          <w:tcPr>
            <w:tcW w:type="dxa" w:w="1419"/>
            <w:vAlign w:val="center"/>
            <w:tcMar>
              <w:top w:w="80" w:type="dxa"/>
              <w:start w:w="90" w:type="dxa"/>
              <w:bottom w:w="80" w:type="dxa"/>
              <w:end w:w="90" w:type="dxa"/>
            </w:tcMar>
          </w:tcPr>
          <w:p>
            <w:pPr>
              <w:jc w:val="center"/>
            </w:pPr>
            <w:r>
              <w:rPr>
                <w:sz w:val="16"/>
              </w:rPr>
              <w:t>0.0112</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sex</w:t>
            </w:r>
          </w:p>
        </w:tc>
        <w:tc>
          <w:tcPr>
            <w:tcW w:type="dxa" w:w="1419"/>
            <w:vAlign w:val="center"/>
            <w:tcMar>
              <w:top w:w="80" w:type="dxa"/>
              <w:start w:w="90" w:type="dxa"/>
              <w:bottom w:w="80" w:type="dxa"/>
              <w:end w:w="90" w:type="dxa"/>
            </w:tcMar>
          </w:tcPr>
          <w:p>
            <w:pPr>
              <w:jc w:val="center"/>
            </w:pPr>
            <w:r>
              <w:rPr>
                <w:sz w:val="16"/>
              </w:rPr>
              <w:t>China</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Female vs Male</w:t>
            </w:r>
          </w:p>
        </w:tc>
        <w:tc>
          <w:tcPr>
            <w:tcW w:type="dxa" w:w="1419"/>
            <w:vAlign w:val="center"/>
            <w:tcMar>
              <w:top w:w="80" w:type="dxa"/>
              <w:start w:w="90" w:type="dxa"/>
              <w:bottom w:w="80" w:type="dxa"/>
              <w:end w:w="90" w:type="dxa"/>
            </w:tcMar>
          </w:tcPr>
          <w:p>
            <w:pPr>
              <w:jc w:val="center"/>
            </w:pPr>
            <w:r>
              <w:rPr>
                <w:sz w:val="16"/>
              </w:rPr>
              <w:t>7.42e-10</w:t>
            </w:r>
          </w:p>
        </w:tc>
        <w:tc>
          <w:tcPr>
            <w:tcW w:type="dxa" w:w="1419"/>
            <w:vAlign w:val="center"/>
            <w:tcMar>
              <w:top w:w="80" w:type="dxa"/>
              <w:start w:w="90" w:type="dxa"/>
              <w:bottom w:w="80" w:type="dxa"/>
              <w:end w:w="90" w:type="dxa"/>
            </w:tcMar>
          </w:tcPr>
          <w:p>
            <w:pPr>
              <w:jc w:val="center"/>
            </w:pPr>
            <w:r>
              <w:rPr>
                <w:sz w:val="16"/>
              </w:rPr>
              <w:t>1.11e-09</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sex</w:t>
            </w:r>
          </w:p>
        </w:tc>
        <w:tc>
          <w:tcPr>
            <w:tcW w:type="dxa" w:w="1419"/>
            <w:vAlign w:val="center"/>
            <w:tcMar>
              <w:top w:w="80" w:type="dxa"/>
              <w:start w:w="90" w:type="dxa"/>
              <w:bottom w:w="80" w:type="dxa"/>
              <w:end w:w="90" w:type="dxa"/>
            </w:tcMar>
          </w:tcPr>
          <w:p>
            <w:pPr>
              <w:jc w:val="center"/>
            </w:pPr>
            <w:r>
              <w:rPr>
                <w:sz w:val="16"/>
              </w:rPr>
              <w:t>United States</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Female vs Male</w:t>
            </w:r>
          </w:p>
        </w:tc>
        <w:tc>
          <w:tcPr>
            <w:tcW w:type="dxa" w:w="1419"/>
            <w:vAlign w:val="center"/>
            <w:tcMar>
              <w:top w:w="80" w:type="dxa"/>
              <w:start w:w="90" w:type="dxa"/>
              <w:bottom w:w="80" w:type="dxa"/>
              <w:end w:w="90" w:type="dxa"/>
            </w:tcMar>
          </w:tcPr>
          <w:p>
            <w:pPr>
              <w:jc w:val="center"/>
            </w:pPr>
            <w:r>
              <w:rPr>
                <w:sz w:val="16"/>
              </w:rPr>
              <w:t>1.56e-33</w:t>
            </w:r>
          </w:p>
        </w:tc>
        <w:tc>
          <w:tcPr>
            <w:tcW w:type="dxa" w:w="1419"/>
            <w:vAlign w:val="center"/>
            <w:tcMar>
              <w:top w:w="80" w:type="dxa"/>
              <w:start w:w="90" w:type="dxa"/>
              <w:bottom w:w="80" w:type="dxa"/>
              <w:end w:w="90" w:type="dxa"/>
            </w:tcMar>
          </w:tcPr>
          <w:p>
            <w:pPr>
              <w:jc w:val="center"/>
            </w:pPr>
            <w:r>
              <w:rPr>
                <w:sz w:val="16"/>
              </w:rPr>
              <w:t>3.11e-33</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sex</w:t>
            </w:r>
          </w:p>
        </w:tc>
        <w:tc>
          <w:tcPr>
            <w:tcW w:type="dxa" w:w="1419"/>
            <w:vAlign w:val="center"/>
            <w:tcMar>
              <w:top w:w="80" w:type="dxa"/>
              <w:start w:w="90" w:type="dxa"/>
              <w:bottom w:w="80" w:type="dxa"/>
              <w:end w:w="90" w:type="dxa"/>
            </w:tcMar>
          </w:tcPr>
          <w:p>
            <w:pPr>
              <w:jc w:val="center"/>
            </w:pPr>
            <w:r>
              <w:rPr>
                <w:sz w:val="16"/>
              </w:rPr>
              <w:t>United States</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Female vs Male</w:t>
            </w:r>
          </w:p>
        </w:tc>
        <w:tc>
          <w:tcPr>
            <w:tcW w:type="dxa" w:w="1419"/>
            <w:vAlign w:val="center"/>
            <w:tcMar>
              <w:top w:w="80" w:type="dxa"/>
              <w:start w:w="90" w:type="dxa"/>
              <w:bottom w:w="80" w:type="dxa"/>
              <w:end w:w="90" w:type="dxa"/>
            </w:tcMar>
          </w:tcPr>
          <w:p>
            <w:pPr>
              <w:jc w:val="center"/>
            </w:pPr>
            <w:r>
              <w:rPr>
                <w:sz w:val="16"/>
              </w:rPr>
              <w:t>7.85e-37</w:t>
            </w:r>
          </w:p>
        </w:tc>
        <w:tc>
          <w:tcPr>
            <w:tcW w:type="dxa" w:w="1419"/>
            <w:vAlign w:val="center"/>
            <w:tcMar>
              <w:top w:w="80" w:type="dxa"/>
              <w:start w:w="90" w:type="dxa"/>
              <w:bottom w:w="80" w:type="dxa"/>
              <w:end w:w="90" w:type="dxa"/>
            </w:tcMar>
          </w:tcPr>
          <w:p>
            <w:pPr>
              <w:jc w:val="center"/>
            </w:pPr>
            <w:r>
              <w:rPr>
                <w:sz w:val="16"/>
              </w:rPr>
              <w:t>4.71e-36</w:t>
            </w:r>
          </w:p>
        </w:tc>
        <w:tc>
          <w:tcPr>
            <w:tcW w:type="dxa" w:w="1419"/>
            <w:vAlign w:val="center"/>
            <w:tcMar>
              <w:top w:w="80" w:type="dxa"/>
              <w:start w:w="90" w:type="dxa"/>
              <w:bottom w:w="80" w:type="dxa"/>
              <w:end w:w="90" w:type="dxa"/>
            </w:tcMar>
          </w:tcPr>
          <w:p>
            <w:pPr>
              <w:jc w:val="center"/>
            </w:pPr>
            <w:r>
              <w:rPr>
                <w:sz w:val="16"/>
              </w:rPr>
              <w:t>Yes</w:t>
            </w:r>
          </w:p>
        </w:tc>
      </w:tr>
      <w:tr>
        <w:trPr>
          <w:cantSplit/>
        </w:trPr>
        <w:tc>
          <w:tcPr>
            <w:tcW w:type="dxa" w:w="1419"/>
            <w:vAlign w:val="center"/>
            <w:tcMar>
              <w:top w:w="80" w:type="dxa"/>
              <w:start w:w="90" w:type="dxa"/>
              <w:bottom w:w="80" w:type="dxa"/>
              <w:end w:w="90" w:type="dxa"/>
            </w:tcMar>
          </w:tcPr>
          <w:p>
            <w:pPr>
              <w:jc w:val="left"/>
            </w:pPr>
            <w:r>
              <w:rPr>
                <w:sz w:val="16"/>
              </w:rPr>
              <w:t>sex</w:t>
            </w:r>
          </w:p>
        </w:tc>
        <w:tc>
          <w:tcPr>
            <w:tcW w:type="dxa" w:w="1419"/>
            <w:vAlign w:val="center"/>
            <w:tcMar>
              <w:top w:w="80" w:type="dxa"/>
              <w:start w:w="90" w:type="dxa"/>
              <w:bottom w:w="80" w:type="dxa"/>
              <w:end w:w="90" w:type="dxa"/>
            </w:tcMar>
          </w:tcPr>
          <w:p>
            <w:pPr>
              <w:jc w:val="center"/>
            </w:pPr>
            <w:r>
              <w:rPr>
                <w:sz w:val="16"/>
              </w:rPr>
              <w:t>United States</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Female vs Male</w:t>
            </w:r>
          </w:p>
        </w:tc>
        <w:tc>
          <w:tcPr>
            <w:tcW w:type="dxa" w:w="1419"/>
            <w:vAlign w:val="center"/>
            <w:tcMar>
              <w:top w:w="80" w:type="dxa"/>
              <w:start w:w="90" w:type="dxa"/>
              <w:bottom w:w="80" w:type="dxa"/>
              <w:end w:w="90" w:type="dxa"/>
            </w:tcMar>
          </w:tcPr>
          <w:p>
            <w:pPr>
              <w:jc w:val="center"/>
            </w:pPr>
            <w:r>
              <w:rPr>
                <w:sz w:val="16"/>
              </w:rPr>
              <w:t>2.78e-36</w:t>
            </w:r>
          </w:p>
        </w:tc>
        <w:tc>
          <w:tcPr>
            <w:tcW w:type="dxa" w:w="1419"/>
            <w:vAlign w:val="center"/>
            <w:tcMar>
              <w:top w:w="80" w:type="dxa"/>
              <w:start w:w="90" w:type="dxa"/>
              <w:bottom w:w="80" w:type="dxa"/>
              <w:end w:w="90" w:type="dxa"/>
            </w:tcMar>
          </w:tcPr>
          <w:p>
            <w:pPr>
              <w:jc w:val="center"/>
            </w:pPr>
            <w:r>
              <w:rPr>
                <w:sz w:val="16"/>
              </w:rPr>
              <w:t>8.34e-36</w:t>
            </w:r>
          </w:p>
        </w:tc>
        <w:tc>
          <w:tcPr>
            <w:tcW w:type="dxa" w:w="1419"/>
            <w:vAlign w:val="center"/>
            <w:tcMar>
              <w:top w:w="80" w:type="dxa"/>
              <w:start w:w="90" w:type="dxa"/>
              <w:bottom w:w="80" w:type="dxa"/>
              <w:end w:w="90" w:type="dxa"/>
            </w:tcMar>
          </w:tcPr>
          <w:p>
            <w:pPr>
              <w:jc w:val="center"/>
            </w:pPr>
            <w:r>
              <w:rPr>
                <w:sz w:val="16"/>
              </w:rPr>
              <w:t>Yes</w:t>
            </w:r>
          </w:p>
        </w:tc>
      </w:tr>
    </w:tbl>
    <w:p/>
    <w:p>
      <w:pPr>
        <w:jc w:val="center"/>
      </w:pPr>
      <w:r>
        <w:drawing>
          <wp:inline xmlns:a="http://schemas.openxmlformats.org/drawingml/2006/main" xmlns:pic="http://schemas.openxmlformats.org/drawingml/2006/picture">
            <wp:extent cx="6126480" cy="5616798"/>
            <wp:docPr id="2" name="Picture 2" descr="Six panels showing observed and fitted sex-specific segmented rate trends." title="Six panels showing observed and fitted sex-specific segmented rate trends."/>
            <wp:cNvGraphicFramePr>
              <a:graphicFrameLocks noChangeAspect="1"/>
            </wp:cNvGraphicFramePr>
            <a:graphic>
              <a:graphicData uri="http://schemas.openxmlformats.org/drawingml/2006/picture">
                <pic:pic>
                  <pic:nvPicPr>
                    <pic:cNvPr id="0" name="figure_2_segmented_trends.png"/>
                    <pic:cNvPicPr/>
                  </pic:nvPicPr>
                  <pic:blipFill>
                    <a:blip r:embed="rId11"/>
                    <a:stretch>
                      <a:fillRect/>
                    </a:stretch>
                  </pic:blipFill>
                  <pic:spPr>
                    <a:xfrm>
                      <a:off x="0" y="0"/>
                      <a:ext cx="6126480" cy="5616798"/>
                    </a:xfrm>
                    <a:prstGeom prst="rect"/>
                  </pic:spPr>
                </pic:pic>
              </a:graphicData>
            </a:graphic>
          </wp:inline>
        </w:drawing>
      </w:r>
    </w:p>
    <w:p>
      <w:pPr>
        <w:spacing w:after="200"/>
        <w:jc w:val="left"/>
      </w:pPr>
      <w:r>
        <w:rPr>
          <w:b/>
        </w:rPr>
        <w:t xml:space="preserve">Figure 2. </w:t>
      </w:r>
      <w:r>
        <w:t>Observed and fitted segmented age-standardized rate trajectories. The provisional curves use the independent permutation implementation and are not NCI Joinpoint output.</w:t>
      </w:r>
    </w:p>
    <w:p>
      <w:pPr>
        <w:pStyle w:val="Heading2"/>
      </w:pPr>
      <w:r>
        <w:t>Age-specific patterns</w:t>
      </w:r>
    </w:p>
    <w:p>
      <w:r>
        <w:t>The age profiles differed by outcome and sex, but male rates were generally higher. Incidence peaked in younger adulthood, whereas prevalence and DALY rates remained substantial across middle adulthood. The coarse 70+ terminal category limited interpretation of late-life heterogeneity.</w:t>
      </w:r>
    </w:p>
    <w:p>
      <w:pPr>
        <w:jc w:val="center"/>
      </w:pPr>
      <w:r>
        <w:drawing>
          <wp:inline xmlns:a="http://schemas.openxmlformats.org/drawingml/2006/main" xmlns:pic="http://schemas.openxmlformats.org/drawingml/2006/picture">
            <wp:extent cx="6126480" cy="5616798"/>
            <wp:docPr id="3" name="Picture 3" descr="Six panels showing age-specific schizophrenia rates in 2023 by country and sex." title="Six panels showing age-specific schizophrenia rates in 2023 by country and sex."/>
            <wp:cNvGraphicFramePr>
              <a:graphicFrameLocks noChangeAspect="1"/>
            </wp:cNvGraphicFramePr>
            <a:graphic>
              <a:graphicData uri="http://schemas.openxmlformats.org/drawingml/2006/picture">
                <pic:pic>
                  <pic:nvPicPr>
                    <pic:cNvPr id="0" name="figure_3_age_patterns.png"/>
                    <pic:cNvPicPr/>
                  </pic:nvPicPr>
                  <pic:blipFill>
                    <a:blip r:embed="rId12"/>
                    <a:stretch>
                      <a:fillRect/>
                    </a:stretch>
                  </pic:blipFill>
                  <pic:spPr>
                    <a:xfrm>
                      <a:off x="0" y="0"/>
                      <a:ext cx="6126480" cy="5616798"/>
                    </a:xfrm>
                    <a:prstGeom prst="rect"/>
                  </pic:spPr>
                </pic:pic>
              </a:graphicData>
            </a:graphic>
          </wp:inline>
        </w:drawing>
      </w:r>
    </w:p>
    <w:p>
      <w:pPr>
        <w:spacing w:after="200"/>
        <w:jc w:val="left"/>
      </w:pPr>
      <w:r>
        <w:rPr>
          <w:b/>
        </w:rPr>
        <w:t xml:space="preserve">Figure 3. </w:t>
      </w:r>
      <w:r>
        <w:t>Age-specific incidence, prevalence, and DALY rates in 2023 by country and sex. Shading shows native 95% GBD uncertainty intervals.</w:t>
      </w:r>
    </w:p>
    <w:p>
      <w:pPr>
        <w:pStyle w:val="Heading2"/>
      </w:pPr>
      <w:r>
        <w:t>Drivers of changing adult counts</w:t>
      </w:r>
    </w:p>
    <w:p>
      <w:r>
        <w:rPr>
          <w:b/>
        </w:rPr>
        <w:t>Table 3.</w:t>
      </w:r>
      <w:r>
        <w:t xml:space="preserve"> Shapley decomposition of adult count changes, 1990-2023</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shd w:fill="1F4E78"/>
            <w:tcMar>
              <w:top w:w="80" w:type="dxa"/>
              <w:start w:w="90" w:type="dxa"/>
              <w:bottom w:w="80" w:type="dxa"/>
              <w:end w:w="90" w:type="dxa"/>
            </w:tcMar>
            <w:vAlign w:val="center"/>
          </w:tcPr>
          <w:p>
            <w:pPr>
              <w:jc w:val="center"/>
            </w:pPr>
            <w:r>
              <w:rPr>
                <w:b/>
                <w:color w:val="FFFFFF"/>
                <w:sz w:val="16"/>
              </w:rPr>
              <w:t>Location</w:t>
            </w:r>
          </w:p>
        </w:tc>
        <w:tc>
          <w:tcPr>
            <w:tcW w:type="dxa" w:w="1419"/>
            <w:shd w:fill="1F4E78"/>
            <w:tcMar>
              <w:top w:w="80" w:type="dxa"/>
              <w:start w:w="90" w:type="dxa"/>
              <w:bottom w:w="80" w:type="dxa"/>
              <w:end w:w="90" w:type="dxa"/>
            </w:tcMar>
            <w:vAlign w:val="center"/>
          </w:tcPr>
          <w:p>
            <w:pPr>
              <w:jc w:val="center"/>
            </w:pPr>
            <w:r>
              <w:rPr>
                <w:b/>
                <w:color w:val="FFFFFF"/>
                <w:sz w:val="16"/>
              </w:rPr>
              <w:t>Sex</w:t>
            </w:r>
          </w:p>
        </w:tc>
        <w:tc>
          <w:tcPr>
            <w:tcW w:type="dxa" w:w="1419"/>
            <w:shd w:fill="1F4E78"/>
            <w:tcMar>
              <w:top w:w="80" w:type="dxa"/>
              <w:start w:w="90" w:type="dxa"/>
              <w:bottom w:w="80" w:type="dxa"/>
              <w:end w:w="90" w:type="dxa"/>
            </w:tcMar>
            <w:vAlign w:val="center"/>
          </w:tcPr>
          <w:p>
            <w:pPr>
              <w:jc w:val="center"/>
            </w:pPr>
            <w:r>
              <w:rPr>
                <w:b/>
                <w:color w:val="FFFFFF"/>
                <w:sz w:val="16"/>
              </w:rPr>
              <w:t>Outcome</w:t>
            </w:r>
          </w:p>
        </w:tc>
        <w:tc>
          <w:tcPr>
            <w:tcW w:type="dxa" w:w="1419"/>
            <w:shd w:fill="1F4E78"/>
            <w:tcMar>
              <w:top w:w="80" w:type="dxa"/>
              <w:start w:w="90" w:type="dxa"/>
              <w:bottom w:w="80" w:type="dxa"/>
              <w:end w:w="90" w:type="dxa"/>
            </w:tcMar>
            <w:vAlign w:val="center"/>
          </w:tcPr>
          <w:p>
            <w:pPr>
              <w:jc w:val="center"/>
            </w:pPr>
            <w:r>
              <w:rPr>
                <w:b/>
                <w:color w:val="FFFFFF"/>
                <w:sz w:val="16"/>
              </w:rPr>
              <w:t>Population growth</w:t>
            </w:r>
          </w:p>
        </w:tc>
        <w:tc>
          <w:tcPr>
            <w:tcW w:type="dxa" w:w="1419"/>
            <w:shd w:fill="1F4E78"/>
            <w:tcMar>
              <w:top w:w="80" w:type="dxa"/>
              <w:start w:w="90" w:type="dxa"/>
              <w:bottom w:w="80" w:type="dxa"/>
              <w:end w:w="90" w:type="dxa"/>
            </w:tcMar>
            <w:vAlign w:val="center"/>
          </w:tcPr>
          <w:p>
            <w:pPr>
              <w:jc w:val="center"/>
            </w:pPr>
            <w:r>
              <w:rPr>
                <w:b/>
                <w:color w:val="FFFFFF"/>
                <w:sz w:val="16"/>
              </w:rPr>
              <w:t>Population ageing</w:t>
            </w:r>
          </w:p>
        </w:tc>
        <w:tc>
          <w:tcPr>
            <w:tcW w:type="dxa" w:w="1419"/>
            <w:shd w:fill="1F4E78"/>
            <w:tcMar>
              <w:top w:w="80" w:type="dxa"/>
              <w:start w:w="90" w:type="dxa"/>
              <w:bottom w:w="80" w:type="dxa"/>
              <w:end w:w="90" w:type="dxa"/>
            </w:tcMar>
            <w:vAlign w:val="center"/>
          </w:tcPr>
          <w:p>
            <w:pPr>
              <w:jc w:val="center"/>
            </w:pPr>
            <w:r>
              <w:rPr>
                <w:b/>
                <w:color w:val="FFFFFF"/>
                <w:sz w:val="16"/>
              </w:rPr>
              <w:t>Rate change</w:t>
            </w:r>
          </w:p>
        </w:tc>
        <w:tc>
          <w:tcPr>
            <w:tcW w:type="dxa" w:w="1419"/>
            <w:shd w:fill="1F4E78"/>
            <w:tcMar>
              <w:top w:w="80" w:type="dxa"/>
              <w:start w:w="90" w:type="dxa"/>
              <w:bottom w:w="80" w:type="dxa"/>
              <w:end w:w="90" w:type="dxa"/>
            </w:tcMar>
            <w:vAlign w:val="center"/>
          </w:tcPr>
          <w:p>
            <w:pPr>
              <w:jc w:val="center"/>
            </w:pPr>
            <w:r>
              <w:rPr>
                <w:b/>
                <w:color w:val="FFFFFF"/>
                <w:sz w:val="16"/>
              </w:rPr>
              <w:t>Total change</w:t>
            </w:r>
          </w:p>
        </w:tc>
      </w:tr>
      <w:tr>
        <w:trPr>
          <w:cantSplit/>
        </w:trPr>
        <w:tc>
          <w:tcPr>
            <w:tcW w:type="dxa" w:w="1419"/>
            <w:vAlign w:val="center"/>
            <w:tcMar>
              <w:top w:w="80" w:type="dxa"/>
              <w:start w:w="90" w:type="dxa"/>
              <w:bottom w:w="80" w:type="dxa"/>
              <w:end w:w="90" w:type="dxa"/>
            </w:tcMar>
          </w:tcPr>
          <w:p>
            <w:pPr>
              <w:jc w:val="left"/>
            </w:pPr>
            <w:r>
              <w:rPr>
                <w:sz w:val="16"/>
              </w:rPr>
              <w:t>China</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39,630</w:t>
            </w:r>
          </w:p>
        </w:tc>
        <w:tc>
          <w:tcPr>
            <w:tcW w:type="dxa" w:w="1419"/>
            <w:vAlign w:val="center"/>
            <w:tcMar>
              <w:top w:w="80" w:type="dxa"/>
              <w:start w:w="90" w:type="dxa"/>
              <w:bottom w:w="80" w:type="dxa"/>
              <w:end w:w="90" w:type="dxa"/>
            </w:tcMar>
          </w:tcPr>
          <w:p>
            <w:pPr>
              <w:jc w:val="center"/>
            </w:pPr>
            <w:r>
              <w:rPr>
                <w:sz w:val="16"/>
              </w:rPr>
              <w:t>-22,787</w:t>
            </w:r>
          </w:p>
        </w:tc>
        <w:tc>
          <w:tcPr>
            <w:tcW w:type="dxa" w:w="1419"/>
            <w:vAlign w:val="center"/>
            <w:tcMar>
              <w:top w:w="80" w:type="dxa"/>
              <w:start w:w="90" w:type="dxa"/>
              <w:bottom w:w="80" w:type="dxa"/>
              <w:end w:w="90" w:type="dxa"/>
            </w:tcMar>
          </w:tcPr>
          <w:p>
            <w:pPr>
              <w:jc w:val="center"/>
            </w:pPr>
            <w:r>
              <w:rPr>
                <w:sz w:val="16"/>
              </w:rPr>
              <w:t>628</w:t>
            </w:r>
          </w:p>
        </w:tc>
        <w:tc>
          <w:tcPr>
            <w:tcW w:type="dxa" w:w="1419"/>
            <w:vAlign w:val="center"/>
            <w:tcMar>
              <w:top w:w="80" w:type="dxa"/>
              <w:start w:w="90" w:type="dxa"/>
              <w:bottom w:w="80" w:type="dxa"/>
              <w:end w:w="90" w:type="dxa"/>
            </w:tcMar>
          </w:tcPr>
          <w:p>
            <w:pPr>
              <w:jc w:val="center"/>
            </w:pPr>
            <w:r>
              <w:rPr>
                <w:sz w:val="16"/>
              </w:rPr>
              <w:t>17,471</w:t>
            </w:r>
          </w:p>
        </w:tc>
      </w:tr>
      <w:tr>
        <w:trPr>
          <w:cantSplit/>
        </w:trPr>
        <w:tc>
          <w:tcPr>
            <w:tcW w:type="dxa" w:w="1419"/>
            <w:vAlign w:val="center"/>
            <w:tcMar>
              <w:top w:w="80" w:type="dxa"/>
              <w:start w:w="90" w:type="dxa"/>
              <w:bottom w:w="80" w:type="dxa"/>
              <w:end w:w="90" w:type="dxa"/>
            </w:tcMar>
          </w:tcPr>
          <w:p>
            <w:pPr>
              <w:jc w:val="left"/>
            </w:pPr>
            <w:r>
              <w:rPr>
                <w:sz w:val="16"/>
              </w:rPr>
              <w:t>China</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637,194</w:t>
            </w:r>
          </w:p>
        </w:tc>
        <w:tc>
          <w:tcPr>
            <w:tcW w:type="dxa" w:w="1419"/>
            <w:vAlign w:val="center"/>
            <w:tcMar>
              <w:top w:w="80" w:type="dxa"/>
              <w:start w:w="90" w:type="dxa"/>
              <w:bottom w:w="80" w:type="dxa"/>
              <w:end w:w="90" w:type="dxa"/>
            </w:tcMar>
          </w:tcPr>
          <w:p>
            <w:pPr>
              <w:jc w:val="center"/>
            </w:pPr>
            <w:r>
              <w:rPr>
                <w:sz w:val="16"/>
              </w:rPr>
              <w:t>278,108</w:t>
            </w:r>
          </w:p>
        </w:tc>
        <w:tc>
          <w:tcPr>
            <w:tcW w:type="dxa" w:w="1419"/>
            <w:vAlign w:val="center"/>
            <w:tcMar>
              <w:top w:w="80" w:type="dxa"/>
              <w:start w:w="90" w:type="dxa"/>
              <w:bottom w:w="80" w:type="dxa"/>
              <w:end w:w="90" w:type="dxa"/>
            </w:tcMar>
          </w:tcPr>
          <w:p>
            <w:pPr>
              <w:jc w:val="center"/>
            </w:pPr>
            <w:r>
              <w:rPr>
                <w:sz w:val="16"/>
              </w:rPr>
              <w:t>10,526</w:t>
            </w:r>
          </w:p>
        </w:tc>
        <w:tc>
          <w:tcPr>
            <w:tcW w:type="dxa" w:w="1419"/>
            <w:vAlign w:val="center"/>
            <w:tcMar>
              <w:top w:w="80" w:type="dxa"/>
              <w:start w:w="90" w:type="dxa"/>
              <w:bottom w:w="80" w:type="dxa"/>
              <w:end w:w="90" w:type="dxa"/>
            </w:tcMar>
          </w:tcPr>
          <w:p>
            <w:pPr>
              <w:jc w:val="center"/>
            </w:pPr>
            <w:r>
              <w:rPr>
                <w:sz w:val="16"/>
              </w:rPr>
              <w:t>925,828</w:t>
            </w:r>
          </w:p>
        </w:tc>
      </w:tr>
      <w:tr>
        <w:trPr>
          <w:cantSplit/>
        </w:trPr>
        <w:tc>
          <w:tcPr>
            <w:tcW w:type="dxa" w:w="1419"/>
            <w:vAlign w:val="center"/>
            <w:tcMar>
              <w:top w:w="80" w:type="dxa"/>
              <w:start w:w="90" w:type="dxa"/>
              <w:bottom w:w="80" w:type="dxa"/>
              <w:end w:w="90" w:type="dxa"/>
            </w:tcMar>
          </w:tcPr>
          <w:p>
            <w:pPr>
              <w:jc w:val="left"/>
            </w:pPr>
            <w:r>
              <w:rPr>
                <w:sz w:val="16"/>
              </w:rPr>
              <w:t>China</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403,067</w:t>
            </w:r>
          </w:p>
        </w:tc>
        <w:tc>
          <w:tcPr>
            <w:tcW w:type="dxa" w:w="1419"/>
            <w:vAlign w:val="center"/>
            <w:tcMar>
              <w:top w:w="80" w:type="dxa"/>
              <w:start w:w="90" w:type="dxa"/>
              <w:bottom w:w="80" w:type="dxa"/>
              <w:end w:w="90" w:type="dxa"/>
            </w:tcMar>
          </w:tcPr>
          <w:p>
            <w:pPr>
              <w:jc w:val="center"/>
            </w:pPr>
            <w:r>
              <w:rPr>
                <w:sz w:val="16"/>
              </w:rPr>
              <w:t>149,622</w:t>
            </w:r>
          </w:p>
        </w:tc>
        <w:tc>
          <w:tcPr>
            <w:tcW w:type="dxa" w:w="1419"/>
            <w:vAlign w:val="center"/>
            <w:tcMar>
              <w:top w:w="80" w:type="dxa"/>
              <w:start w:w="90" w:type="dxa"/>
              <w:bottom w:w="80" w:type="dxa"/>
              <w:end w:w="90" w:type="dxa"/>
            </w:tcMar>
          </w:tcPr>
          <w:p>
            <w:pPr>
              <w:jc w:val="center"/>
            </w:pPr>
            <w:r>
              <w:rPr>
                <w:sz w:val="16"/>
              </w:rPr>
              <w:t>14,750</w:t>
            </w:r>
          </w:p>
        </w:tc>
        <w:tc>
          <w:tcPr>
            <w:tcW w:type="dxa" w:w="1419"/>
            <w:vAlign w:val="center"/>
            <w:tcMar>
              <w:top w:w="80" w:type="dxa"/>
              <w:start w:w="90" w:type="dxa"/>
              <w:bottom w:w="80" w:type="dxa"/>
              <w:end w:w="90" w:type="dxa"/>
            </w:tcMar>
          </w:tcPr>
          <w:p>
            <w:pPr>
              <w:jc w:val="center"/>
            </w:pPr>
            <w:r>
              <w:rPr>
                <w:sz w:val="16"/>
              </w:rPr>
              <w:t>567,438</w:t>
            </w:r>
          </w:p>
        </w:tc>
      </w:tr>
      <w:tr>
        <w:trPr>
          <w:cantSplit/>
        </w:trPr>
        <w:tc>
          <w:tcPr>
            <w:tcW w:type="dxa" w:w="1419"/>
            <w:vAlign w:val="center"/>
            <w:tcMar>
              <w:top w:w="80" w:type="dxa"/>
              <w:start w:w="90" w:type="dxa"/>
              <w:bottom w:w="80" w:type="dxa"/>
              <w:end w:w="90" w:type="dxa"/>
            </w:tcMar>
          </w:tcPr>
          <w:p>
            <w:pPr>
              <w:jc w:val="left"/>
            </w:pPr>
            <w:r>
              <w:rPr>
                <w:sz w:val="16"/>
              </w:rPr>
              <w:t>China</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48,764</w:t>
            </w:r>
          </w:p>
        </w:tc>
        <w:tc>
          <w:tcPr>
            <w:tcW w:type="dxa" w:w="1419"/>
            <w:vAlign w:val="center"/>
            <w:tcMar>
              <w:top w:w="80" w:type="dxa"/>
              <w:start w:w="90" w:type="dxa"/>
              <w:bottom w:w="80" w:type="dxa"/>
              <w:end w:w="90" w:type="dxa"/>
            </w:tcMar>
          </w:tcPr>
          <w:p>
            <w:pPr>
              <w:jc w:val="center"/>
            </w:pPr>
            <w:r>
              <w:rPr>
                <w:sz w:val="16"/>
              </w:rPr>
              <w:t>-26,291</w:t>
            </w:r>
          </w:p>
        </w:tc>
        <w:tc>
          <w:tcPr>
            <w:tcW w:type="dxa" w:w="1419"/>
            <w:vAlign w:val="center"/>
            <w:tcMar>
              <w:top w:w="80" w:type="dxa"/>
              <w:start w:w="90" w:type="dxa"/>
              <w:bottom w:w="80" w:type="dxa"/>
              <w:end w:w="90" w:type="dxa"/>
            </w:tcMar>
          </w:tcPr>
          <w:p>
            <w:pPr>
              <w:jc w:val="center"/>
            </w:pPr>
            <w:r>
              <w:rPr>
                <w:sz w:val="16"/>
              </w:rPr>
              <w:t>-384</w:t>
            </w:r>
          </w:p>
        </w:tc>
        <w:tc>
          <w:tcPr>
            <w:tcW w:type="dxa" w:w="1419"/>
            <w:vAlign w:val="center"/>
            <w:tcMar>
              <w:top w:w="80" w:type="dxa"/>
              <w:start w:w="90" w:type="dxa"/>
              <w:bottom w:w="80" w:type="dxa"/>
              <w:end w:w="90" w:type="dxa"/>
            </w:tcMar>
          </w:tcPr>
          <w:p>
            <w:pPr>
              <w:jc w:val="center"/>
            </w:pPr>
            <w:r>
              <w:rPr>
                <w:sz w:val="16"/>
              </w:rPr>
              <w:t>22,089</w:t>
            </w:r>
          </w:p>
        </w:tc>
      </w:tr>
      <w:tr>
        <w:trPr>
          <w:cantSplit/>
        </w:trPr>
        <w:tc>
          <w:tcPr>
            <w:tcW w:type="dxa" w:w="1419"/>
            <w:vAlign w:val="center"/>
            <w:tcMar>
              <w:top w:w="80" w:type="dxa"/>
              <w:start w:w="90" w:type="dxa"/>
              <w:bottom w:w="80" w:type="dxa"/>
              <w:end w:w="90" w:type="dxa"/>
            </w:tcMar>
          </w:tcPr>
          <w:p>
            <w:pPr>
              <w:jc w:val="left"/>
            </w:pPr>
            <w:r>
              <w:rPr>
                <w:sz w:val="16"/>
              </w:rPr>
              <w:t>China</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720,519</w:t>
            </w:r>
          </w:p>
        </w:tc>
        <w:tc>
          <w:tcPr>
            <w:tcW w:type="dxa" w:w="1419"/>
            <w:vAlign w:val="center"/>
            <w:tcMar>
              <w:top w:w="80" w:type="dxa"/>
              <w:start w:w="90" w:type="dxa"/>
              <w:bottom w:w="80" w:type="dxa"/>
              <w:end w:w="90" w:type="dxa"/>
            </w:tcMar>
          </w:tcPr>
          <w:p>
            <w:pPr>
              <w:jc w:val="center"/>
            </w:pPr>
            <w:r>
              <w:rPr>
                <w:sz w:val="16"/>
              </w:rPr>
              <w:t>273,232</w:t>
            </w:r>
          </w:p>
        </w:tc>
        <w:tc>
          <w:tcPr>
            <w:tcW w:type="dxa" w:w="1419"/>
            <w:vAlign w:val="center"/>
            <w:tcMar>
              <w:top w:w="80" w:type="dxa"/>
              <w:start w:w="90" w:type="dxa"/>
              <w:bottom w:w="80" w:type="dxa"/>
              <w:end w:w="90" w:type="dxa"/>
            </w:tcMar>
          </w:tcPr>
          <w:p>
            <w:pPr>
              <w:jc w:val="center"/>
            </w:pPr>
            <w:r>
              <w:rPr>
                <w:sz w:val="16"/>
              </w:rPr>
              <w:t>6,207</w:t>
            </w:r>
          </w:p>
        </w:tc>
        <w:tc>
          <w:tcPr>
            <w:tcW w:type="dxa" w:w="1419"/>
            <w:vAlign w:val="center"/>
            <w:tcMar>
              <w:top w:w="80" w:type="dxa"/>
              <w:start w:w="90" w:type="dxa"/>
              <w:bottom w:w="80" w:type="dxa"/>
              <w:end w:w="90" w:type="dxa"/>
            </w:tcMar>
          </w:tcPr>
          <w:p>
            <w:pPr>
              <w:jc w:val="center"/>
            </w:pPr>
            <w:r>
              <w:rPr>
                <w:sz w:val="16"/>
              </w:rPr>
              <w:t>999,958</w:t>
            </w:r>
          </w:p>
        </w:tc>
      </w:tr>
      <w:tr>
        <w:trPr>
          <w:cantSplit/>
        </w:trPr>
        <w:tc>
          <w:tcPr>
            <w:tcW w:type="dxa" w:w="1419"/>
            <w:vAlign w:val="center"/>
            <w:tcMar>
              <w:top w:w="80" w:type="dxa"/>
              <w:start w:w="90" w:type="dxa"/>
              <w:bottom w:w="80" w:type="dxa"/>
              <w:end w:w="90" w:type="dxa"/>
            </w:tcMar>
          </w:tcPr>
          <w:p>
            <w:pPr>
              <w:jc w:val="left"/>
            </w:pPr>
            <w:r>
              <w:rPr>
                <w:sz w:val="16"/>
              </w:rPr>
              <w:t>China</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463,193</w:t>
            </w:r>
          </w:p>
        </w:tc>
        <w:tc>
          <w:tcPr>
            <w:tcW w:type="dxa" w:w="1419"/>
            <w:vAlign w:val="center"/>
            <w:tcMar>
              <w:top w:w="80" w:type="dxa"/>
              <w:start w:w="90" w:type="dxa"/>
              <w:bottom w:w="80" w:type="dxa"/>
              <w:end w:w="90" w:type="dxa"/>
            </w:tcMar>
          </w:tcPr>
          <w:p>
            <w:pPr>
              <w:jc w:val="center"/>
            </w:pPr>
            <w:r>
              <w:rPr>
                <w:sz w:val="16"/>
              </w:rPr>
              <w:t>146,923</w:t>
            </w:r>
          </w:p>
        </w:tc>
        <w:tc>
          <w:tcPr>
            <w:tcW w:type="dxa" w:w="1419"/>
            <w:vAlign w:val="center"/>
            <w:tcMar>
              <w:top w:w="80" w:type="dxa"/>
              <w:start w:w="90" w:type="dxa"/>
              <w:bottom w:w="80" w:type="dxa"/>
              <w:end w:w="90" w:type="dxa"/>
            </w:tcMar>
          </w:tcPr>
          <w:p>
            <w:pPr>
              <w:jc w:val="center"/>
            </w:pPr>
            <w:r>
              <w:rPr>
                <w:sz w:val="16"/>
              </w:rPr>
              <w:t>8,917</w:t>
            </w:r>
          </w:p>
        </w:tc>
        <w:tc>
          <w:tcPr>
            <w:tcW w:type="dxa" w:w="1419"/>
            <w:vAlign w:val="center"/>
            <w:tcMar>
              <w:top w:w="80" w:type="dxa"/>
              <w:start w:w="90" w:type="dxa"/>
              <w:bottom w:w="80" w:type="dxa"/>
              <w:end w:w="90" w:type="dxa"/>
            </w:tcMar>
          </w:tcPr>
          <w:p>
            <w:pPr>
              <w:jc w:val="center"/>
            </w:pPr>
            <w:r>
              <w:rPr>
                <w:sz w:val="16"/>
              </w:rPr>
              <w:t>619,033</w:t>
            </w:r>
          </w:p>
        </w:tc>
      </w:tr>
      <w:tr>
        <w:trPr>
          <w:cantSplit/>
        </w:trPr>
        <w:tc>
          <w:tcPr>
            <w:tcW w:type="dxa" w:w="1419"/>
            <w:vAlign w:val="center"/>
            <w:tcMar>
              <w:top w:w="80" w:type="dxa"/>
              <w:start w:w="90" w:type="dxa"/>
              <w:bottom w:w="80" w:type="dxa"/>
              <w:end w:w="90" w:type="dxa"/>
            </w:tcMar>
          </w:tcPr>
          <w:p>
            <w:pPr>
              <w:jc w:val="left"/>
            </w:pPr>
            <w:r>
              <w:rPr>
                <w:sz w:val="16"/>
              </w:rPr>
              <w:t>United States</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10,364</w:t>
            </w:r>
          </w:p>
        </w:tc>
        <w:tc>
          <w:tcPr>
            <w:tcW w:type="dxa" w:w="1419"/>
            <w:vAlign w:val="center"/>
            <w:tcMar>
              <w:top w:w="80" w:type="dxa"/>
              <w:start w:w="90" w:type="dxa"/>
              <w:bottom w:w="80" w:type="dxa"/>
              <w:end w:w="90" w:type="dxa"/>
            </w:tcMar>
          </w:tcPr>
          <w:p>
            <w:pPr>
              <w:jc w:val="center"/>
            </w:pPr>
            <w:r>
              <w:rPr>
                <w:sz w:val="16"/>
              </w:rPr>
              <w:t>-4,422</w:t>
            </w:r>
          </w:p>
        </w:tc>
        <w:tc>
          <w:tcPr>
            <w:tcW w:type="dxa" w:w="1419"/>
            <w:vAlign w:val="center"/>
            <w:tcMar>
              <w:top w:w="80" w:type="dxa"/>
              <w:start w:w="90" w:type="dxa"/>
              <w:bottom w:w="80" w:type="dxa"/>
              <w:end w:w="90" w:type="dxa"/>
            </w:tcMar>
          </w:tcPr>
          <w:p>
            <w:pPr>
              <w:jc w:val="center"/>
            </w:pPr>
            <w:r>
              <w:rPr>
                <w:sz w:val="16"/>
              </w:rPr>
              <w:t>-1,862</w:t>
            </w:r>
          </w:p>
        </w:tc>
        <w:tc>
          <w:tcPr>
            <w:tcW w:type="dxa" w:w="1419"/>
            <w:vAlign w:val="center"/>
            <w:tcMar>
              <w:top w:w="80" w:type="dxa"/>
              <w:start w:w="90" w:type="dxa"/>
              <w:bottom w:w="80" w:type="dxa"/>
              <w:end w:w="90" w:type="dxa"/>
            </w:tcMar>
          </w:tcPr>
          <w:p>
            <w:pPr>
              <w:jc w:val="center"/>
            </w:pPr>
            <w:r>
              <w:rPr>
                <w:sz w:val="16"/>
              </w:rPr>
              <w:t>4,079</w:t>
            </w:r>
          </w:p>
        </w:tc>
      </w:tr>
      <w:tr>
        <w:trPr>
          <w:cantSplit/>
        </w:trPr>
        <w:tc>
          <w:tcPr>
            <w:tcW w:type="dxa" w:w="1419"/>
            <w:vAlign w:val="center"/>
            <w:tcMar>
              <w:top w:w="80" w:type="dxa"/>
              <w:start w:w="90" w:type="dxa"/>
              <w:bottom w:w="80" w:type="dxa"/>
              <w:end w:w="90" w:type="dxa"/>
            </w:tcMar>
          </w:tcPr>
          <w:p>
            <w:pPr>
              <w:jc w:val="left"/>
            </w:pPr>
            <w:r>
              <w:rPr>
                <w:sz w:val="16"/>
              </w:rPr>
              <w:t>United States</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215,130</w:t>
            </w:r>
          </w:p>
        </w:tc>
        <w:tc>
          <w:tcPr>
            <w:tcW w:type="dxa" w:w="1419"/>
            <w:vAlign w:val="center"/>
            <w:tcMar>
              <w:top w:w="80" w:type="dxa"/>
              <w:start w:w="90" w:type="dxa"/>
              <w:bottom w:w="80" w:type="dxa"/>
              <w:end w:w="90" w:type="dxa"/>
            </w:tcMar>
          </w:tcPr>
          <w:p>
            <w:pPr>
              <w:jc w:val="center"/>
            </w:pPr>
            <w:r>
              <w:rPr>
                <w:sz w:val="16"/>
              </w:rPr>
              <w:t>-24,242</w:t>
            </w:r>
          </w:p>
        </w:tc>
        <w:tc>
          <w:tcPr>
            <w:tcW w:type="dxa" w:w="1419"/>
            <w:vAlign w:val="center"/>
            <w:tcMar>
              <w:top w:w="80" w:type="dxa"/>
              <w:start w:w="90" w:type="dxa"/>
              <w:bottom w:w="80" w:type="dxa"/>
              <w:end w:w="90" w:type="dxa"/>
            </w:tcMar>
          </w:tcPr>
          <w:p>
            <w:pPr>
              <w:jc w:val="center"/>
            </w:pPr>
            <w:r>
              <w:rPr>
                <w:sz w:val="16"/>
              </w:rPr>
              <w:t>-49,272</w:t>
            </w:r>
          </w:p>
        </w:tc>
        <w:tc>
          <w:tcPr>
            <w:tcW w:type="dxa" w:w="1419"/>
            <w:vAlign w:val="center"/>
            <w:tcMar>
              <w:top w:w="80" w:type="dxa"/>
              <w:start w:w="90" w:type="dxa"/>
              <w:bottom w:w="80" w:type="dxa"/>
              <w:end w:w="90" w:type="dxa"/>
            </w:tcMar>
          </w:tcPr>
          <w:p>
            <w:pPr>
              <w:jc w:val="center"/>
            </w:pPr>
            <w:r>
              <w:rPr>
                <w:sz w:val="16"/>
              </w:rPr>
              <w:t>141,616</w:t>
            </w:r>
          </w:p>
        </w:tc>
      </w:tr>
      <w:tr>
        <w:trPr>
          <w:cantSplit/>
        </w:trPr>
        <w:tc>
          <w:tcPr>
            <w:tcW w:type="dxa" w:w="1419"/>
            <w:vAlign w:val="center"/>
            <w:tcMar>
              <w:top w:w="80" w:type="dxa"/>
              <w:start w:w="90" w:type="dxa"/>
              <w:bottom w:w="80" w:type="dxa"/>
              <w:end w:w="90" w:type="dxa"/>
            </w:tcMar>
          </w:tcPr>
          <w:p>
            <w:pPr>
              <w:jc w:val="left"/>
            </w:pPr>
            <w:r>
              <w:rPr>
                <w:sz w:val="16"/>
              </w:rPr>
              <w:t>United States</w:t>
            </w:r>
          </w:p>
        </w:tc>
        <w:tc>
          <w:tcPr>
            <w:tcW w:type="dxa" w:w="1419"/>
            <w:vAlign w:val="center"/>
            <w:tcMar>
              <w:top w:w="80" w:type="dxa"/>
              <w:start w:w="90" w:type="dxa"/>
              <w:bottom w:w="80" w:type="dxa"/>
              <w:end w:w="90" w:type="dxa"/>
            </w:tcMar>
          </w:tcPr>
          <w:p>
            <w:pPr>
              <w:jc w:val="center"/>
            </w:pPr>
            <w:r>
              <w:rPr>
                <w:sz w:val="16"/>
              </w:rPr>
              <w:t>Female</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131,648</w:t>
            </w:r>
          </w:p>
        </w:tc>
        <w:tc>
          <w:tcPr>
            <w:tcW w:type="dxa" w:w="1419"/>
            <w:vAlign w:val="center"/>
            <w:tcMar>
              <w:top w:w="80" w:type="dxa"/>
              <w:start w:w="90" w:type="dxa"/>
              <w:bottom w:w="80" w:type="dxa"/>
              <w:end w:w="90" w:type="dxa"/>
            </w:tcMar>
          </w:tcPr>
          <w:p>
            <w:pPr>
              <w:jc w:val="center"/>
            </w:pPr>
            <w:r>
              <w:rPr>
                <w:sz w:val="16"/>
              </w:rPr>
              <w:t>-18,658</w:t>
            </w:r>
          </w:p>
        </w:tc>
        <w:tc>
          <w:tcPr>
            <w:tcW w:type="dxa" w:w="1419"/>
            <w:vAlign w:val="center"/>
            <w:tcMar>
              <w:top w:w="80" w:type="dxa"/>
              <w:start w:w="90" w:type="dxa"/>
              <w:bottom w:w="80" w:type="dxa"/>
              <w:end w:w="90" w:type="dxa"/>
            </w:tcMar>
          </w:tcPr>
          <w:p>
            <w:pPr>
              <w:jc w:val="center"/>
            </w:pPr>
            <w:r>
              <w:rPr>
                <w:sz w:val="16"/>
              </w:rPr>
              <w:t>-33,939</w:t>
            </w:r>
          </w:p>
        </w:tc>
        <w:tc>
          <w:tcPr>
            <w:tcW w:type="dxa" w:w="1419"/>
            <w:vAlign w:val="center"/>
            <w:tcMar>
              <w:top w:w="80" w:type="dxa"/>
              <w:start w:w="90" w:type="dxa"/>
              <w:bottom w:w="80" w:type="dxa"/>
              <w:end w:w="90" w:type="dxa"/>
            </w:tcMar>
          </w:tcPr>
          <w:p>
            <w:pPr>
              <w:jc w:val="center"/>
            </w:pPr>
            <w:r>
              <w:rPr>
                <w:sz w:val="16"/>
              </w:rPr>
              <w:t>79,051</w:t>
            </w:r>
          </w:p>
        </w:tc>
      </w:tr>
      <w:tr>
        <w:trPr>
          <w:cantSplit/>
        </w:trPr>
        <w:tc>
          <w:tcPr>
            <w:tcW w:type="dxa" w:w="1419"/>
            <w:vAlign w:val="center"/>
            <w:tcMar>
              <w:top w:w="80" w:type="dxa"/>
              <w:start w:w="90" w:type="dxa"/>
              <w:bottom w:w="80" w:type="dxa"/>
              <w:end w:w="90" w:type="dxa"/>
            </w:tcMar>
          </w:tcPr>
          <w:p>
            <w:pPr>
              <w:jc w:val="left"/>
            </w:pPr>
            <w:r>
              <w:rPr>
                <w:sz w:val="16"/>
              </w:rPr>
              <w:t>United States</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Incidence</w:t>
            </w:r>
          </w:p>
        </w:tc>
        <w:tc>
          <w:tcPr>
            <w:tcW w:type="dxa" w:w="1419"/>
            <w:vAlign w:val="center"/>
            <w:tcMar>
              <w:top w:w="80" w:type="dxa"/>
              <w:start w:w="90" w:type="dxa"/>
              <w:bottom w:w="80" w:type="dxa"/>
              <w:end w:w="90" w:type="dxa"/>
            </w:tcMar>
          </w:tcPr>
          <w:p>
            <w:pPr>
              <w:jc w:val="center"/>
            </w:pPr>
            <w:r>
              <w:rPr>
                <w:sz w:val="16"/>
              </w:rPr>
              <w:t>13,514</w:t>
            </w:r>
          </w:p>
        </w:tc>
        <w:tc>
          <w:tcPr>
            <w:tcW w:type="dxa" w:w="1419"/>
            <w:vAlign w:val="center"/>
            <w:tcMar>
              <w:top w:w="80" w:type="dxa"/>
              <w:start w:w="90" w:type="dxa"/>
              <w:bottom w:w="80" w:type="dxa"/>
              <w:end w:w="90" w:type="dxa"/>
            </w:tcMar>
          </w:tcPr>
          <w:p>
            <w:pPr>
              <w:jc w:val="center"/>
            </w:pPr>
            <w:r>
              <w:rPr>
                <w:sz w:val="16"/>
              </w:rPr>
              <w:t>-6,004</w:t>
            </w:r>
          </w:p>
        </w:tc>
        <w:tc>
          <w:tcPr>
            <w:tcW w:type="dxa" w:w="1419"/>
            <w:vAlign w:val="center"/>
            <w:tcMar>
              <w:top w:w="80" w:type="dxa"/>
              <w:start w:w="90" w:type="dxa"/>
              <w:bottom w:w="80" w:type="dxa"/>
              <w:end w:w="90" w:type="dxa"/>
            </w:tcMar>
          </w:tcPr>
          <w:p>
            <w:pPr>
              <w:jc w:val="center"/>
            </w:pPr>
            <w:r>
              <w:rPr>
                <w:sz w:val="16"/>
              </w:rPr>
              <w:t>-1,095</w:t>
            </w:r>
          </w:p>
        </w:tc>
        <w:tc>
          <w:tcPr>
            <w:tcW w:type="dxa" w:w="1419"/>
            <w:vAlign w:val="center"/>
            <w:tcMar>
              <w:top w:w="80" w:type="dxa"/>
              <w:start w:w="90" w:type="dxa"/>
              <w:bottom w:w="80" w:type="dxa"/>
              <w:end w:w="90" w:type="dxa"/>
            </w:tcMar>
          </w:tcPr>
          <w:p>
            <w:pPr>
              <w:jc w:val="center"/>
            </w:pPr>
            <w:r>
              <w:rPr>
                <w:sz w:val="16"/>
              </w:rPr>
              <w:t>6,415</w:t>
            </w:r>
          </w:p>
        </w:tc>
      </w:tr>
      <w:tr>
        <w:trPr>
          <w:cantSplit/>
        </w:trPr>
        <w:tc>
          <w:tcPr>
            <w:tcW w:type="dxa" w:w="1419"/>
            <w:vAlign w:val="center"/>
            <w:tcMar>
              <w:top w:w="80" w:type="dxa"/>
              <w:start w:w="90" w:type="dxa"/>
              <w:bottom w:w="80" w:type="dxa"/>
              <w:end w:w="90" w:type="dxa"/>
            </w:tcMar>
          </w:tcPr>
          <w:p>
            <w:pPr>
              <w:jc w:val="left"/>
            </w:pPr>
            <w:r>
              <w:rPr>
                <w:sz w:val="16"/>
              </w:rPr>
              <w:t>United States</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Prevalence</w:t>
            </w:r>
          </w:p>
        </w:tc>
        <w:tc>
          <w:tcPr>
            <w:tcW w:type="dxa" w:w="1419"/>
            <w:vAlign w:val="center"/>
            <w:tcMar>
              <w:top w:w="80" w:type="dxa"/>
              <w:start w:w="90" w:type="dxa"/>
              <w:bottom w:w="80" w:type="dxa"/>
              <w:end w:w="90" w:type="dxa"/>
            </w:tcMar>
          </w:tcPr>
          <w:p>
            <w:pPr>
              <w:jc w:val="center"/>
            </w:pPr>
            <w:r>
              <w:rPr>
                <w:sz w:val="16"/>
              </w:rPr>
              <w:t>245,909</w:t>
            </w:r>
          </w:p>
        </w:tc>
        <w:tc>
          <w:tcPr>
            <w:tcW w:type="dxa" w:w="1419"/>
            <w:vAlign w:val="center"/>
            <w:tcMar>
              <w:top w:w="80" w:type="dxa"/>
              <w:start w:w="90" w:type="dxa"/>
              <w:bottom w:w="80" w:type="dxa"/>
              <w:end w:w="90" w:type="dxa"/>
            </w:tcMar>
          </w:tcPr>
          <w:p>
            <w:pPr>
              <w:jc w:val="center"/>
            </w:pPr>
            <w:r>
              <w:rPr>
                <w:sz w:val="16"/>
              </w:rPr>
              <w:t>-31,322</w:t>
            </w:r>
          </w:p>
        </w:tc>
        <w:tc>
          <w:tcPr>
            <w:tcW w:type="dxa" w:w="1419"/>
            <w:vAlign w:val="center"/>
            <w:tcMar>
              <w:top w:w="80" w:type="dxa"/>
              <w:start w:w="90" w:type="dxa"/>
              <w:bottom w:w="80" w:type="dxa"/>
              <w:end w:w="90" w:type="dxa"/>
            </w:tcMar>
          </w:tcPr>
          <w:p>
            <w:pPr>
              <w:jc w:val="center"/>
            </w:pPr>
            <w:r>
              <w:rPr>
                <w:sz w:val="16"/>
              </w:rPr>
              <w:t>-22,406</w:t>
            </w:r>
          </w:p>
        </w:tc>
        <w:tc>
          <w:tcPr>
            <w:tcW w:type="dxa" w:w="1419"/>
            <w:vAlign w:val="center"/>
            <w:tcMar>
              <w:top w:w="80" w:type="dxa"/>
              <w:start w:w="90" w:type="dxa"/>
              <w:bottom w:w="80" w:type="dxa"/>
              <w:end w:w="90" w:type="dxa"/>
            </w:tcMar>
          </w:tcPr>
          <w:p>
            <w:pPr>
              <w:jc w:val="center"/>
            </w:pPr>
            <w:r>
              <w:rPr>
                <w:sz w:val="16"/>
              </w:rPr>
              <w:t>192,181</w:t>
            </w:r>
          </w:p>
        </w:tc>
      </w:tr>
      <w:tr>
        <w:trPr>
          <w:cantSplit/>
        </w:trPr>
        <w:tc>
          <w:tcPr>
            <w:tcW w:type="dxa" w:w="1419"/>
            <w:vAlign w:val="center"/>
            <w:tcMar>
              <w:top w:w="80" w:type="dxa"/>
              <w:start w:w="90" w:type="dxa"/>
              <w:bottom w:w="80" w:type="dxa"/>
              <w:end w:w="90" w:type="dxa"/>
            </w:tcMar>
          </w:tcPr>
          <w:p>
            <w:pPr>
              <w:jc w:val="left"/>
            </w:pPr>
            <w:r>
              <w:rPr>
                <w:sz w:val="16"/>
              </w:rPr>
              <w:t>United States</w:t>
            </w:r>
          </w:p>
        </w:tc>
        <w:tc>
          <w:tcPr>
            <w:tcW w:type="dxa" w:w="1419"/>
            <w:vAlign w:val="center"/>
            <w:tcMar>
              <w:top w:w="80" w:type="dxa"/>
              <w:start w:w="90" w:type="dxa"/>
              <w:bottom w:w="80" w:type="dxa"/>
              <w:end w:w="90" w:type="dxa"/>
            </w:tcMar>
          </w:tcPr>
          <w:p>
            <w:pPr>
              <w:jc w:val="center"/>
            </w:pPr>
            <w:r>
              <w:rPr>
                <w:sz w:val="16"/>
              </w:rPr>
              <w:t>Male</w:t>
            </w:r>
          </w:p>
        </w:tc>
        <w:tc>
          <w:tcPr>
            <w:tcW w:type="dxa" w:w="1419"/>
            <w:vAlign w:val="center"/>
            <w:tcMar>
              <w:top w:w="80" w:type="dxa"/>
              <w:start w:w="90" w:type="dxa"/>
              <w:bottom w:w="80" w:type="dxa"/>
              <w:end w:w="90" w:type="dxa"/>
            </w:tcMar>
          </w:tcPr>
          <w:p>
            <w:pPr>
              <w:jc w:val="center"/>
            </w:pPr>
            <w:r>
              <w:rPr>
                <w:sz w:val="16"/>
              </w:rPr>
              <w:t>DALYs</w:t>
            </w:r>
          </w:p>
        </w:tc>
        <w:tc>
          <w:tcPr>
            <w:tcW w:type="dxa" w:w="1419"/>
            <w:vAlign w:val="center"/>
            <w:tcMar>
              <w:top w:w="80" w:type="dxa"/>
              <w:start w:w="90" w:type="dxa"/>
              <w:bottom w:w="80" w:type="dxa"/>
              <w:end w:w="90" w:type="dxa"/>
            </w:tcMar>
          </w:tcPr>
          <w:p>
            <w:pPr>
              <w:jc w:val="center"/>
            </w:pPr>
            <w:r>
              <w:rPr>
                <w:sz w:val="16"/>
              </w:rPr>
              <w:t>154,733</w:t>
            </w:r>
          </w:p>
        </w:tc>
        <w:tc>
          <w:tcPr>
            <w:tcW w:type="dxa" w:w="1419"/>
            <w:vAlign w:val="center"/>
            <w:tcMar>
              <w:top w:w="80" w:type="dxa"/>
              <w:start w:w="90" w:type="dxa"/>
              <w:bottom w:w="80" w:type="dxa"/>
              <w:end w:w="90" w:type="dxa"/>
            </w:tcMar>
          </w:tcPr>
          <w:p>
            <w:pPr>
              <w:jc w:val="center"/>
            </w:pPr>
            <w:r>
              <w:rPr>
                <w:sz w:val="16"/>
              </w:rPr>
              <w:t>-24,599</w:t>
            </w:r>
          </w:p>
        </w:tc>
        <w:tc>
          <w:tcPr>
            <w:tcW w:type="dxa" w:w="1419"/>
            <w:vAlign w:val="center"/>
            <w:tcMar>
              <w:top w:w="80" w:type="dxa"/>
              <w:start w:w="90" w:type="dxa"/>
              <w:bottom w:w="80" w:type="dxa"/>
              <w:end w:w="90" w:type="dxa"/>
            </w:tcMar>
          </w:tcPr>
          <w:p>
            <w:pPr>
              <w:jc w:val="center"/>
            </w:pPr>
            <w:r>
              <w:rPr>
                <w:sz w:val="16"/>
              </w:rPr>
              <w:t>-17,340</w:t>
            </w:r>
          </w:p>
        </w:tc>
        <w:tc>
          <w:tcPr>
            <w:tcW w:type="dxa" w:w="1419"/>
            <w:vAlign w:val="center"/>
            <w:tcMar>
              <w:top w:w="80" w:type="dxa"/>
              <w:start w:w="90" w:type="dxa"/>
              <w:bottom w:w="80" w:type="dxa"/>
              <w:end w:w="90" w:type="dxa"/>
            </w:tcMar>
          </w:tcPr>
          <w:p>
            <w:pPr>
              <w:jc w:val="center"/>
            </w:pPr>
            <w:r>
              <w:rPr>
                <w:sz w:val="16"/>
              </w:rPr>
              <w:t>112,794</w:t>
            </w:r>
          </w:p>
        </w:tc>
      </w:tr>
    </w:tbl>
    <w:p/>
    <w:p>
      <w:r>
        <w:t>Population growth was the dominant positive contribution in most panels. Population ageing and age-specific rate change varied in direction and magnitude by country, sex, and outcome. Negative components represent countervailing forces; component percentages can therefore exceed 100% and were not treated as compositional shares.</w:t>
      </w:r>
    </w:p>
    <w:p>
      <w:pPr>
        <w:jc w:val="center"/>
      </w:pPr>
      <w:r>
        <w:drawing>
          <wp:inline xmlns:a="http://schemas.openxmlformats.org/drawingml/2006/main" xmlns:pic="http://schemas.openxmlformats.org/drawingml/2006/picture">
            <wp:extent cx="5074920" cy="4234786"/>
            <wp:docPr id="4" name="Picture 4" descr="Six panels decomposing adult count changes into population growth, ageing, and rate change." title="Six panels decomposing adult count changes into population growth, ageing, and r"/>
            <wp:cNvGraphicFramePr>
              <a:graphicFrameLocks noChangeAspect="1"/>
            </wp:cNvGraphicFramePr>
            <a:graphic>
              <a:graphicData uri="http://schemas.openxmlformats.org/drawingml/2006/picture">
                <pic:pic>
                  <pic:nvPicPr>
                    <pic:cNvPr id="0" name="figure_4_decomposition.png"/>
                    <pic:cNvPicPr/>
                  </pic:nvPicPr>
                  <pic:blipFill>
                    <a:blip r:embed="rId13"/>
                    <a:stretch>
                      <a:fillRect/>
                    </a:stretch>
                  </pic:blipFill>
                  <pic:spPr>
                    <a:xfrm>
                      <a:off x="0" y="0"/>
                      <a:ext cx="5074920" cy="4234786"/>
                    </a:xfrm>
                    <a:prstGeom prst="rect"/>
                  </pic:spPr>
                </pic:pic>
              </a:graphicData>
            </a:graphic>
          </wp:inline>
        </w:drawing>
      </w:r>
    </w:p>
    <w:p>
      <w:pPr>
        <w:spacing w:after="200"/>
        <w:jc w:val="left"/>
      </w:pPr>
      <w:r>
        <w:rPr>
          <w:b/>
        </w:rPr>
        <w:t xml:space="preserve">Figure 4. </w:t>
      </w:r>
      <w:r>
        <w:t>Shapley decomposition of changes in reconstructed adult schizophrenia counts, 1990-2023. Components are deterministic attributions based on posterior mean rates.</w:t>
      </w:r>
    </w:p>
    <w:p>
      <w:pPr>
        <w:pStyle w:val="Heading2"/>
      </w:pPr>
      <w:r>
        <w:t>Secondary age-period-cohort summaries</w:t>
      </w:r>
    </w:p>
    <w:p>
      <w:r>
        <w:t>Incidence net and local drifts were directionally consistent with the primary rate-trend results. Nonlinear age, period, and cohort curvature contrasts are presented in the supplement. Their interpretation remained descriptive because the exact linear dependency among age, period, and cohort prevents unique causal separation.</w:t>
      </w:r>
    </w:p>
    <w:p>
      <w:pPr>
        <w:pStyle w:val="Heading1"/>
      </w:pPr>
      <w:r>
        <w:t>Discussion</w:t>
      </w:r>
    </w:p>
    <w:p>
      <w:r>
        <w:t>This comparative study found a shared increase in the absolute number of people affected by schizophrenia-related outcomes but divergent standardized-rate trajectories. Chinese age-standardized rates were broadly stable, whereas U.S. rates declined, particularly among females. The apparent contradiction between rising counts and flat or falling ASRs was largely explained by population growth and changing population structure.</w:t>
      </w:r>
    </w:p>
    <w:p>
      <w:r>
        <w:t>The distinction has direct public-health relevance. Counts approximate the scale of service demand, while standardized rates better describe changes in population risk after controlling for age structure. Service planning based only on standardized rates may underestimate future capacity needs; interpreting count growth as evidence of worsening individual risk would be equally misleading.</w:t>
      </w:r>
    </w:p>
    <w:p>
      <w:r>
        <w:t>Sex-specific analyses showed persistent male excess for several outcomes, consistent with established differences in age at onset, course, and disability. However, modeled GBD estimates cannot determine whether country or sex contrasts arise from true incidence, diagnostic recognition, data availability, care access, remission, excess mortality, or modeling assumptions. Health-system differences are therefore contextual hypotheses rather than tested mechanisms.</w:t>
      </w:r>
    </w:p>
    <w:p>
      <w:pPr>
        <w:pStyle w:val="Heading2"/>
      </w:pPr>
      <w:r>
        <w:t>Strengths and limitations</w:t>
      </w:r>
    </w:p>
    <w:p>
      <w:r>
        <w:t>Strengths include a prespecified comparative question, consistent GBD 2023 outcome definitions, explicit separation of native UIs from model CIs, formal multiplicity-controlled trajectory comparisons, exact Shapley decomposition, and restriction of APC interpretation to estimable functions. The pipeline records exclusions and prevents a provisional population source from being silently treated as official.</w:t>
      </w:r>
    </w:p>
    <w:p>
      <w:r>
        <w:t>Several limitations are important. First, GBD values are modeled estimates rather than direct observations and may share smoothing assumptions across years and countries. Second, posterior draws were unavailable, so exact uncertainty could not be propagated to changes, ratios, decomposition components, or comparative tests. Third, cross-year and cross-stratum correlations were unknown. Fourth, the 70+ age category obscured late-life patterns. Fifth, APC estimates remain sensitive to grouping and cannot identify independent causal age, period, and cohort effects. Sixth, ecological country contrasts cannot support causal attribution to policy or health systems. Finally, the provisional build requires the authenticated official GBD 2023 population export and user-registered NCI output before submission.</w:t>
      </w:r>
    </w:p>
    <w:p>
      <w:pPr>
        <w:pStyle w:val="Heading1"/>
      </w:pPr>
      <w:r>
        <w:t>Conclusions</w:t>
      </w:r>
    </w:p>
    <w:p>
      <w:r>
        <w:t>Between 1990 and 2023, schizophrenia incidence, prevalence, and DALY counts increased in China and the United States even as standardized-rate trajectories diverged. Population growth drove much of the increase in absolute burden, while age-specific rate change distinguished the two countries. Public-health planning should jointly consider service-volume counts, standardized epidemiologic trends, age structure, and sex-specific needs.</w:t>
      </w:r>
    </w:p>
    <w:p>
      <w:pPr>
        <w:pStyle w:val="Heading1"/>
      </w:pPr>
      <w:r>
        <w:t>Declarations</w:t>
      </w:r>
    </w:p>
    <w:p>
      <w:pPr>
        <w:pStyle w:val="Heading2"/>
      </w:pPr>
      <w:r>
        <w:t>Ethics approval and consent to participate</w:t>
      </w:r>
    </w:p>
    <w:p>
      <w:r>
        <w:t>Not applicable. This study used aggregated, non-identifiable modeled estimates available through the Institute for Health Metrics and Evaluation.</w:t>
      </w:r>
    </w:p>
    <w:p>
      <w:pPr>
        <w:pStyle w:val="Heading2"/>
      </w:pPr>
      <w:r>
        <w:t>Consent for publication</w:t>
      </w:r>
    </w:p>
    <w:p>
      <w:r>
        <w:t>Not applicable.</w:t>
      </w:r>
    </w:p>
    <w:p>
      <w:pPr>
        <w:pStyle w:val="Heading2"/>
      </w:pPr>
      <w:r>
        <w:t>Availability of data and materials</w:t>
      </w:r>
    </w:p>
    <w:p>
      <w:r>
        <w:t>GBD estimates are available through the IHME GBD Results Tool subject to IHME terms. Analytic code, derived tables, provenance metadata, and exact model settings accompany this submission. The repository does not redistribute data beyond applicable IHME terms.</w:t>
      </w:r>
    </w:p>
    <w:p>
      <w:pPr>
        <w:pStyle w:val="Heading2"/>
      </w:pPr>
      <w:r>
        <w:t>Competing interests</w:t>
      </w:r>
    </w:p>
    <w:p>
      <w:r>
        <w:t>The authors declare no competing interests.</w:t>
      </w:r>
    </w:p>
    <w:p>
      <w:pPr>
        <w:pStyle w:val="Heading2"/>
      </w:pPr>
      <w:r>
        <w:t>Funding</w:t>
      </w:r>
    </w:p>
    <w:p>
      <w:r>
        <w:t>No study-specific funding is declared in this blinded draft.</w:t>
      </w:r>
    </w:p>
    <w:p>
      <w:pPr>
        <w:pStyle w:val="Heading2"/>
      </w:pPr>
      <w:r>
        <w:t>Authors' contributions</w:t>
      </w:r>
    </w:p>
    <w:p>
      <w:r>
        <w:t>Contributor roles will be reported using the CRediT taxonomy in the unblinded submission file.</w:t>
      </w:r>
    </w:p>
    <w:p>
      <w:pPr>
        <w:pStyle w:val="Heading1"/>
      </w:pPr>
      <w:r>
        <w:t>References</w:t>
      </w:r>
    </w:p>
    <w:p>
      <w:pPr>
        <w:spacing w:after="60"/>
        <w:ind w:hanging="288" w:left="288"/>
      </w:pPr>
      <w:r>
        <w:rPr>
          <w:sz w:val="18"/>
        </w:rPr>
        <w:t>1. GBD 2021 Mental Disorders Collaborators. Global, regional, and national burden of 12 mental disorders in 204 countries and territories, 1990-2019. Lancet Psychiatry. 2022;9:137-150.</w:t>
      </w:r>
    </w:p>
    <w:p>
      <w:pPr>
        <w:spacing w:after="60"/>
        <w:ind w:hanging="288" w:left="288"/>
      </w:pPr>
      <w:r>
        <w:rPr>
          <w:sz w:val="18"/>
        </w:rPr>
        <w:t>2. Charlson FJ, Ferrari AJ, Santomauro DF, et al. Global epidemiology and burden of schizophrenia: findings from the Global Burden of Disease Study 2016. Schizophr Bull. 2018;44:1195-1203.</w:t>
      </w:r>
    </w:p>
    <w:p>
      <w:pPr>
        <w:spacing w:after="60"/>
        <w:ind w:hanging="288" w:left="288"/>
      </w:pPr>
      <w:r>
        <w:rPr>
          <w:sz w:val="18"/>
        </w:rPr>
        <w:t>3. Solmi M, Seitidis G, Mavridis D, et al. Incidence, prevalence, and global burden of schizophrenia: data, with critical appraisal, from GBD 2019. Mol Psychiatry. 2023;28:5319-5327.</w:t>
      </w:r>
    </w:p>
    <w:p>
      <w:pPr>
        <w:spacing w:after="60"/>
        <w:ind w:hanging="288" w:left="288"/>
      </w:pPr>
      <w:r>
        <w:rPr>
          <w:sz w:val="18"/>
        </w:rPr>
        <w:t>4. Global Burden of Disease Collaborative Network. Global Burden of Disease Study 2023 results. Institute for Health Metrics and Evaluation; 2026. https://vizhub.healthdata.org/gbd-results/.</w:t>
      </w:r>
    </w:p>
    <w:p>
      <w:pPr>
        <w:spacing w:after="60"/>
        <w:ind w:hanging="288" w:left="288"/>
      </w:pPr>
      <w:r>
        <w:rPr>
          <w:sz w:val="18"/>
        </w:rPr>
        <w:t>5. Stevens GA, Alkema L, Black RE, et al. Guidelines for Accurate and Transparent Health Estimates Reporting: the GATHER statement. Lancet. 2016;388:e19-e23.</w:t>
      </w:r>
    </w:p>
    <w:p>
      <w:pPr>
        <w:spacing w:after="60"/>
        <w:ind w:hanging="288" w:left="288"/>
      </w:pPr>
      <w:r>
        <w:rPr>
          <w:sz w:val="18"/>
        </w:rPr>
        <w:t>6. Kim HJ, Fay MP, Feuer EJ, Midthune DN. Permutation tests for joinpoint regression with applications to cancer rates. Stat Med. 2000;19:335-351; correction 2001;20:655.</w:t>
      </w:r>
    </w:p>
    <w:p>
      <w:pPr>
        <w:spacing w:after="60"/>
        <w:ind w:hanging="288" w:left="288"/>
      </w:pPr>
      <w:r>
        <w:rPr>
          <w:sz w:val="18"/>
        </w:rPr>
        <w:t>7. National Cancer Institute. Joinpoint Regression Program, version 6.0.1. Surveillance Research Program; 2026. https://surveillance.cancer.gov/joinpoint/.</w:t>
      </w:r>
    </w:p>
    <w:p>
      <w:pPr>
        <w:spacing w:after="60"/>
        <w:ind w:hanging="288" w:left="288"/>
      </w:pPr>
      <w:r>
        <w:rPr>
          <w:sz w:val="18"/>
        </w:rPr>
        <w:t>8. Das Gupta P. Standardization and decomposition of rates: a user's manual. US Bureau of the Census; 1993.</w:t>
      </w:r>
    </w:p>
    <w:p>
      <w:pPr>
        <w:spacing w:after="60"/>
        <w:ind w:hanging="288" w:left="288"/>
      </w:pPr>
      <w:r>
        <w:rPr>
          <w:sz w:val="18"/>
        </w:rPr>
        <w:t>9. Holford TR. The estimation of age, period and cohort effects for vital rates. Biometrics. 1983;39:311-324.</w:t>
      </w:r>
    </w:p>
    <w:p>
      <w:pPr>
        <w:spacing w:after="60"/>
        <w:ind w:hanging="288" w:left="288"/>
      </w:pPr>
      <w:r>
        <w:rPr>
          <w:sz w:val="18"/>
        </w:rPr>
        <w:t>10. Clayton D, Schifflers E. Models for temporal variation in cancer rates. II: age-period-cohort models. Stat Med. 1987;6:469-481.</w:t>
      </w:r>
    </w:p>
    <w:p>
      <w:pPr>
        <w:spacing w:after="60"/>
        <w:ind w:hanging="288" w:left="288"/>
      </w:pPr>
      <w:r>
        <w:rPr>
          <w:sz w:val="18"/>
        </w:rPr>
        <w:t>11. Luo L. Assessing validity and application scope of the intrinsic estimator approach to the age-period-cohort problem. Demography. 2013;50:1945-1967.</w:t>
      </w:r>
    </w:p>
    <w:p>
      <w:pPr>
        <w:spacing w:after="60"/>
        <w:ind w:hanging="288" w:left="288"/>
      </w:pPr>
      <w:r>
        <w:rPr>
          <w:sz w:val="18"/>
        </w:rPr>
        <w:t>12. Rutherford MJ, Lambert PC, Thompson JR. Age-period-cohort modeling. Stata J. 2010;10:606-627.</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6666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