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8"/>
          <w:sz w:val="40"/>
        </w:rPr>
        <w:t>Supplementary material</w:t>
      </w:r>
    </w:p>
    <w:p>
      <w:pPr>
        <w:jc w:val="center"/>
      </w:pPr>
      <w:r>
        <w:rPr>
          <w:i/>
          <w:color w:val="666666"/>
          <w:sz w:val="22"/>
        </w:rPr>
        <w:t>China-US schizophrenia burden study, 1990-2023</w:t>
      </w:r>
    </w:p>
    <w:p>
      <w:pPr>
        <w:jc w:val="center"/>
      </w:pPr>
      <w:r>
        <w:rPr>
          <w:b/>
        </w:rPr>
        <w:t>Blinded manuscript</w:t>
      </w:r>
    </w:p>
    <w:p>
      <w:pPr>
        <w:spacing w:before="80" w:after="200"/>
        <w:ind w:left="72" w:right="72"/>
        <w:jc w:val="center"/>
        <w:shd w:fill="FCE4D6"/>
      </w:pPr>
      <w:r>
        <w:rPr>
          <w:b/>
          <w:color w:val="9C5700"/>
        </w:rPr>
        <w:t>PROVISIONAL ANALYTICAL DRAFT - NOT FOR SUBMISSION</w:t>
        <w:br/>
        <w:t>Official GBD 2023 population and official NCI Joinpoint outputs remain external submission gates.</w:t>
      </w:r>
    </w:p>
    <w:p>
      <w:pPr>
        <w:pStyle w:val="Heading1"/>
      </w:pPr>
      <w:r>
        <w:t>Supplementary methods and audit trail</w:t>
      </w:r>
    </w:p>
    <w:p>
      <w:r>
        <w:t>This supplement contains the full audit, sensitivity analyses, secondary APC outputs, and external submission gates. Native GBD uncertainty intervals are never relabeled as confidence intervals for derived quantities.</w:t>
      </w:r>
    </w:p>
    <w:p>
      <w:pPr>
        <w:pStyle w:val="Heading2"/>
      </w:pPr>
      <w:r>
        <w:t>Table S1. Data provenance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tblHeader w:val="true"/>
        </w:trPr>
        <w:tc>
          <w:tcPr>
            <w:tcW w:type="dxa" w:w="1656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Source Role</w:t>
            </w:r>
          </w:p>
        </w:tc>
        <w:tc>
          <w:tcPr>
            <w:tcW w:type="dxa" w:w="1656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Gbd Release</w:t>
            </w:r>
          </w:p>
        </w:tc>
        <w:tc>
          <w:tcPr>
            <w:tcW w:type="dxa" w:w="1656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File</w:t>
            </w:r>
          </w:p>
        </w:tc>
        <w:tc>
          <w:tcPr>
            <w:tcW w:type="dxa" w:w="1656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Retrieval Date</w:t>
            </w:r>
          </w:p>
        </w:tc>
        <w:tc>
          <w:tcPr>
            <w:tcW w:type="dxa" w:w="1656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Dimensions</w:t>
            </w:r>
          </w:p>
        </w:tc>
        <w:tc>
          <w:tcPr>
            <w:tcW w:type="dxa" w:w="1656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burden estimates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GBD 2023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cause_all.csv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not recorded in source archive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China; United States; 1990-2023; Female; Male; incidence; prevalence; YLD; DALY; counts and rates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included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population denominators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UNVERIFIED - PROVISIONAL ONLY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rate pairs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2026-07-07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China; United States; 1990-2023; Female; Male; ages 15-19 through 70+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PROVISIONAL proxy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GBD percent metric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GBD 2023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cause_all.csv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not applicable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mixed measure-specific denominators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excluded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probability of death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GBD 2023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GBD_1990_2023_ProbabilityOfDeath_ChinaUS_Schizophrenia.csv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not applicable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not a schizophrenia-specific causal outcome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excluded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risk factor extract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GBD 2023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IHME-GBD_2023_DATA-5ef7a575-1.zip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not applicable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single sexual-violence risk branch</w:t>
            </w:r>
          </w:p>
        </w:tc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excluded</w:t>
            </w:r>
          </w:p>
        </w:tc>
      </w:tr>
    </w:tbl>
    <w:p/>
    <w:p>
      <w:r>
        <w:br w:type="page"/>
      </w:r>
    </w:p>
    <w:p>
      <w:pPr>
        <w:pStyle w:val="Heading2"/>
      </w:pPr>
      <w:r>
        <w:t>Table S2. Completeness and validity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4"/>
        <w:gridCol w:w="994"/>
        <w:gridCol w:w="994"/>
        <w:gridCol w:w="994"/>
        <w:gridCol w:w="994"/>
        <w:gridCol w:w="994"/>
        <w:gridCol w:w="994"/>
        <w:gridCol w:w="994"/>
        <w:gridCol w:w="994"/>
        <w:gridCol w:w="994"/>
      </w:tblGrid>
      <w:tr>
        <w:trPr>
          <w:tblHeader w:val="true"/>
        </w:trPr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Location Name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Sex Name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Measure Name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All Age Count Years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Asr Years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Adult Age Groups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Adult Age Year Cells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Missing Values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Invalid Ui Rows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Nonpositive Rows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4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Incidence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4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Incidence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4"/>
              </w:rPr>
              <w:t>United States of America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Incidence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4"/>
              </w:rPr>
              <w:t>United States of America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Incidence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4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Prevalence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4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Prevalence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4"/>
              </w:rPr>
              <w:t>United States of America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Prevalence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4"/>
              </w:rPr>
              <w:t>United States of America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Prevalence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4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DALYs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4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DALYs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4"/>
              </w:rPr>
              <w:t>United States of America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DALYs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4"/>
              </w:rPr>
              <w:t>United States of America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DALYs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</w:tbl>
    <w:p/>
    <w:p>
      <w:pPr>
        <w:pStyle w:val="Heading2"/>
      </w:pPr>
      <w:r>
        <w:t>Table S3. YLD-DALY identity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rPr>
          <w:tblHeader w:val="true"/>
        </w:trPr>
        <w:tc>
          <w:tcPr>
            <w:tcW w:type="dxa" w:w="124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Matched Cells</w:t>
            </w:r>
          </w:p>
        </w:tc>
        <w:tc>
          <w:tcPr>
            <w:tcW w:type="dxa" w:w="124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Max Abs Difference Val</w:t>
            </w:r>
          </w:p>
        </w:tc>
        <w:tc>
          <w:tcPr>
            <w:tcW w:type="dxa" w:w="124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Max Relative Difference Val</w:t>
            </w:r>
          </w:p>
        </w:tc>
        <w:tc>
          <w:tcPr>
            <w:tcW w:type="dxa" w:w="124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Max Abs Difference Lower</w:t>
            </w:r>
          </w:p>
        </w:tc>
        <w:tc>
          <w:tcPr>
            <w:tcW w:type="dxa" w:w="124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Max Relative Difference Lower</w:t>
            </w:r>
          </w:p>
        </w:tc>
        <w:tc>
          <w:tcPr>
            <w:tcW w:type="dxa" w:w="124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Max Abs Difference Upper</w:t>
            </w:r>
          </w:p>
        </w:tc>
        <w:tc>
          <w:tcPr>
            <w:tcW w:type="dxa" w:w="124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Max Relative Difference Upper</w:t>
            </w:r>
          </w:p>
        </w:tc>
        <w:tc>
          <w:tcPr>
            <w:tcW w:type="dxa" w:w="124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Numerically Identical</w:t>
            </w:r>
          </w:p>
        </w:tc>
      </w:tr>
      <w:tr>
        <w:trPr>
          <w:cantSplit/>
        </w:trPr>
        <w:tc>
          <w:tcPr>
            <w:tcW w:type="dxa" w:w="12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3944</w:t>
            </w:r>
          </w:p>
        </w:tc>
        <w:tc>
          <w:tcPr>
            <w:tcW w:type="dxa" w:w="12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7.342e-06</w:t>
            </w:r>
          </w:p>
        </w:tc>
        <w:tc>
          <w:tcPr>
            <w:tcW w:type="dxa" w:w="12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2.600e-08</w:t>
            </w:r>
          </w:p>
        </w:tc>
        <w:tc>
          <w:tcPr>
            <w:tcW w:type="dxa" w:w="12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5.305e-06</w:t>
            </w:r>
          </w:p>
        </w:tc>
        <w:tc>
          <w:tcPr>
            <w:tcW w:type="dxa" w:w="12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2.600e-08</w:t>
            </w:r>
          </w:p>
        </w:tc>
        <w:tc>
          <w:tcPr>
            <w:tcW w:type="dxa" w:w="12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9.112e-06</w:t>
            </w:r>
          </w:p>
        </w:tc>
        <w:tc>
          <w:tcPr>
            <w:tcW w:type="dxa" w:w="12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2.600e-08</w:t>
            </w:r>
          </w:p>
        </w:tc>
        <w:tc>
          <w:tcPr>
            <w:tcW w:type="dxa" w:w="12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True</w:t>
            </w:r>
          </w:p>
        </w:tc>
      </w:tr>
    </w:tbl>
    <w:p/>
    <w:p>
      <w:r>
        <w:br w:type="page"/>
      </w:r>
    </w:p>
    <w:p>
      <w:pPr>
        <w:pStyle w:val="Heading2"/>
      </w:pPr>
      <w:r>
        <w:t>Table S4. Weighted trend sensitivity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rPr>
          <w:tblHeader w:val="true"/>
        </w:trPr>
        <w:tc>
          <w:tcPr>
            <w:tcW w:type="dxa" w:w="1419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Location Name</w:t>
            </w:r>
          </w:p>
        </w:tc>
        <w:tc>
          <w:tcPr>
            <w:tcW w:type="dxa" w:w="1419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Sex Name</w:t>
            </w:r>
          </w:p>
        </w:tc>
        <w:tc>
          <w:tcPr>
            <w:tcW w:type="dxa" w:w="1419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Measure Name</w:t>
            </w:r>
          </w:p>
        </w:tc>
        <w:tc>
          <w:tcPr>
            <w:tcW w:type="dxa" w:w="1419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Primary Aapc</w:t>
            </w:r>
          </w:p>
        </w:tc>
        <w:tc>
          <w:tcPr>
            <w:tcW w:type="dxa" w:w="1419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Ui Weighted Fixed Knot Aapc</w:t>
            </w:r>
          </w:p>
        </w:tc>
        <w:tc>
          <w:tcPr>
            <w:tcW w:type="dxa" w:w="1419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Difference</w:t>
            </w:r>
          </w:p>
        </w:tc>
        <w:tc>
          <w:tcPr>
            <w:tcW w:type="dxa" w:w="1419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Interpretation</w:t>
            </w:r>
          </w:p>
        </w:tc>
      </w:tr>
      <w:tr>
        <w:trPr>
          <w:cantSplit/>
        </w:trPr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DALYs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0.0478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0.0479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0.0000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0.0125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0.0125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0.0000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Prevalence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0.0235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0.0235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-0.0000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DALYs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0.0363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0.0364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0.0000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-0.0014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-0.0015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-0.0001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Prevalence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0.0151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0.0151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-0.0000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 of America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DALYs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-0.2491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-0.2490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0.0001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 of America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-0.2097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-0.2097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-0.0000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 of America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Prevalence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-0.2301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-0.2301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-0.0000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 of America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DALYs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-0.1091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-0.1093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-0.0003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 of America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-0.0756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-0.0756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0.0000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 of America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Prevalence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-0.0792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-0.0795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-0.0003</w:t>
            </w:r>
          </w:p>
        </w:tc>
        <w:tc>
          <w:tcPr>
            <w:tcW w:type="dxa" w:w="14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Sensitivity only; GBD UIs are not independent sampling SEs.</w:t>
            </w:r>
          </w:p>
        </w:tc>
      </w:tr>
    </w:tbl>
    <w:p/>
    <w:p>
      <w:pPr>
        <w:pStyle w:val="Heading2"/>
      </w:pPr>
      <w:r>
        <w:t>Table S5. Alternative-window decomposition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4"/>
        <w:gridCol w:w="994"/>
        <w:gridCol w:w="994"/>
        <w:gridCol w:w="994"/>
        <w:gridCol w:w="994"/>
        <w:gridCol w:w="994"/>
        <w:gridCol w:w="994"/>
        <w:gridCol w:w="994"/>
        <w:gridCol w:w="994"/>
        <w:gridCol w:w="994"/>
      </w:tblGrid>
      <w:tr>
        <w:trPr>
          <w:tblHeader w:val="true"/>
        </w:trPr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Location Name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Sex Name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Measure Name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Start Year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End Year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Population Growth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Population Aging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Rate Change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Total Change</w:t>
            </w:r>
          </w:p>
        </w:tc>
        <w:tc>
          <w:tcPr>
            <w:tcW w:type="dxa" w:w="9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Closure Error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2000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25,800.6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-16,753.1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-44.0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9,003.5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2010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6,631.4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-15,075.7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-98.8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-8,543.1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Prevalence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2000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441,892.3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141,474.3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4,316.4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587,682.9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Prevalence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2010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115,992.3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105,591.2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3,603.3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225,186.9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DALYs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2000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279,994.0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65,055.7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3,837.7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348,887.4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DALYs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2010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73,357.4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47,212.8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2,075.5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122,645.6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2000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31,984.6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-17,917.7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-736.2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13,330.6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2010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9,912.6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-14,824.1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-1,216.8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-6,128.3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Prevalence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2000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503,527.9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112,420.3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720.8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616,668.9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Prevalence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2010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158,953.8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88,892.7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-8,321.7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239,524.8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DALYs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2000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323,737.4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45,956.9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1,373.9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371,068.3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DALYs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2010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101,869.9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38,213.5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-1,998.2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138,085.2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2000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7,109.1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-2,354.0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-1,359.7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3,395.3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2010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3,533.2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-2,230.8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-1,490.6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-188.2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Prevalence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2000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152,502.5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-24,138.8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-41,253.5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87,110.1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Prevalence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2010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75,457.3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-18,182.9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-39,211.3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18,063.0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DALYs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2000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93,339.5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-17,769.8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-30,272.9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45,296.8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DALYs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2010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46,181.9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-13,070.9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-30,525.3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2,585.7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2000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9,319.4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-3,568.1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-926.9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4,824.4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2010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4,782.6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-2,766.3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-1,074.7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941.6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Prevalence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2000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175,570.3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-33,834.5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-19,992.6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121,743.2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Prevalence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2010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90,194.4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-20,565.8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-19,674.8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49,953.7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DALYs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2000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110,458.3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-25,255.7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-16,940.9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68,261.8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  <w:tr>
        <w:trPr>
          <w:cantSplit/>
        </w:trPr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DALYs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2010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56,601.3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-15,027.6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-16,615.4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24,958.3</w:t>
            </w:r>
          </w:p>
        </w:tc>
        <w:tc>
          <w:tcPr>
            <w:tcW w:type="dxa" w:w="9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&lt;1e-8</w:t>
            </w:r>
          </w:p>
        </w:tc>
      </w:tr>
    </w:tbl>
    <w:p/>
    <w:p>
      <w:pPr>
        <w:pStyle w:val="Heading1"/>
      </w:pPr>
      <w:r>
        <w:t>Secondary APC analysis</w:t>
      </w:r>
    </w:p>
    <w:p>
      <w:r>
        <w:t>The APC analysis is intentionally restricted to incidence and estimable summaries. Curvature relative risks describe nonlinear departures after removing intercept and linear trend. They are not separately identified causal effects.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04"/>
        <w:gridCol w:w="1104"/>
      </w:tblGrid>
      <w:tr>
        <w:trPr>
          <w:tblHeader w:val="true"/>
        </w:trPr>
        <w:tc>
          <w:tcPr>
            <w:tcW w:type="dxa" w:w="110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Location Name</w:t>
            </w:r>
          </w:p>
        </w:tc>
        <w:tc>
          <w:tcPr>
            <w:tcW w:type="dxa" w:w="110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Sex Name</w:t>
            </w:r>
          </w:p>
        </w:tc>
        <w:tc>
          <w:tcPr>
            <w:tcW w:type="dxa" w:w="110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Measure Name</w:t>
            </w:r>
          </w:p>
        </w:tc>
        <w:tc>
          <w:tcPr>
            <w:tcW w:type="dxa" w:w="110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Start Year</w:t>
            </w:r>
          </w:p>
        </w:tc>
        <w:tc>
          <w:tcPr>
            <w:tcW w:type="dxa" w:w="110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End Year</w:t>
            </w:r>
          </w:p>
        </w:tc>
        <w:tc>
          <w:tcPr>
            <w:tcW w:type="dxa" w:w="110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 Drift</w:t>
            </w:r>
          </w:p>
        </w:tc>
        <w:tc>
          <w:tcPr>
            <w:tcW w:type="dxa" w:w="110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 Drift Lower Model Ci</w:t>
            </w:r>
          </w:p>
        </w:tc>
        <w:tc>
          <w:tcPr>
            <w:tcW w:type="dxa" w:w="110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 Drift Upper Model Ci</w:t>
            </w:r>
          </w:p>
        </w:tc>
        <w:tc>
          <w:tcPr>
            <w:tcW w:type="dxa" w:w="110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Interpretation</w:t>
            </w:r>
          </w:p>
        </w:tc>
      </w:tr>
      <w:tr>
        <w:trPr>
          <w:cantSplit/>
        </w:trPr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1994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0.0075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-0.0040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0.0189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Estimable net drift; model CI does not propagate GBD posterior uncertainty.</w:t>
            </w:r>
          </w:p>
        </w:tc>
      </w:tr>
      <w:tr>
        <w:trPr>
          <w:cantSplit/>
        </w:trPr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China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1994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0.0024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-0.0085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0.0134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Estimable net drift; model CI does not propagate GBD posterior uncertainty.</w:t>
            </w:r>
          </w:p>
        </w:tc>
      </w:tr>
      <w:tr>
        <w:trPr>
          <w:cantSplit/>
        </w:trPr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Female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1994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-0.0812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-0.1169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-0.0454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Estimable net drift; model CI does not propagate GBD posterior uncertainty.</w:t>
            </w:r>
          </w:p>
        </w:tc>
      </w:tr>
      <w:tr>
        <w:trPr>
          <w:cantSplit/>
        </w:trPr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5"/>
              </w:rPr>
              <w:t>United States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Male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Incidence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1994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2023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0.0235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-0.0079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0.0549</w:t>
            </w:r>
          </w:p>
        </w:tc>
        <w:tc>
          <w:tcPr>
            <w:tcW w:type="dxa" w:w="11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5"/>
              </w:rPr>
              <w:t>Estimable net drift; model CI does not propagate GBD posterior uncertainty.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68701"/>
            <wp:docPr id="1" name="Picture 1" descr="Three panels showing all-age incidence, prevalence, and DALY counts." title="Three panels showing all-age incidence, prevalence, and DALY cou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s1_cou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68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b/>
        </w:rPr>
        <w:t xml:space="preserve">Figure S1. </w:t>
      </w:r>
      <w:r>
        <w:t>All-age schizophrenia outcome counts by country and sex, 1990-2023.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103197"/>
            <wp:docPr id="2" name="Picture 2" descr="Four panels showing incidence net drift and nonlinear age, period, and cohort curvature summaries." title="Four panels showing incidence net drift and nonlinear age, period, and cohort c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s2_apc_inc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03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b/>
        </w:rPr>
        <w:t xml:space="preserve">Figure S2. </w:t>
      </w:r>
      <w:r>
        <w:t>Secondary incidence APC estimable summaries. Relative-risk curves are nonlinear curvature contrasts, not independent causal age, period, or cohort effects.</w:t>
      </w:r>
    </w:p>
    <w:p>
      <w:pPr>
        <w:pStyle w:val="Heading1"/>
      </w:pPr>
      <w:r>
        <w:t>External submission gates</w:t>
      </w:r>
    </w:p>
    <w:p>
      <w:pPr>
        <w:pStyle w:val="ListBullet"/>
      </w:pPr>
      <w:r>
        <w:t>Population status: derived_proxy_NOT_OFFICIAL</w:t>
      </w:r>
    </w:p>
    <w:p>
      <w:pPr>
        <w:pStyle w:val="ListBullet"/>
      </w:pPr>
      <w:r>
        <w:t>Trend status: independent permutation implementation; official NCI results not yet imported</w:t>
      </w:r>
    </w:p>
    <w:p>
      <w:pPr>
        <w:pStyle w:val="ListBullet"/>
      </w:pPr>
      <w:r>
        <w:t>Official GBD 2023 population must replace the proxy before submission.</w:t>
      </w:r>
    </w:p>
    <w:p>
      <w:pPr>
        <w:pStyle w:val="ListBullet"/>
      </w:pPr>
      <w:r>
        <w:t>Official NCI Joinpoint output must be generated by a registered end user and imported before the method is described as NCI Joinpoint.</w:t>
      </w:r>
    </w:p>
    <w:p>
      <w:pPr>
        <w:pStyle w:val="ListBullet"/>
      </w:pPr>
      <w:r>
        <w:t>Posterior draws remain unavailable; derived uncertainty must remain explicitly limited.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6666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