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4D78"/>
          <w:sz w:val="36"/>
        </w:rPr>
        <w:t>Supplementary material</w:t>
      </w:r>
    </w:p>
    <w:p>
      <w:pPr>
        <w:jc w:val="center"/>
      </w:pPr>
      <w:r>
        <w:rPr>
          <w:rFonts w:ascii="Calibri" w:hAnsi="Calibri" w:eastAsia="Calibri"/>
          <w:i/>
          <w:color w:val="666666"/>
          <w:sz w:val="22"/>
        </w:rPr>
        <w:t>China-US schizophrenia burden study, 1990-2023</w:t>
      </w:r>
    </w:p>
    <w:p>
      <w:pPr>
        <w:jc w:val="center"/>
      </w:pPr>
      <w:r>
        <w:rPr>
          <w:rFonts w:ascii="Calibri" w:hAnsi="Calibri" w:eastAsia="Calibri"/>
          <w:b/>
          <w:color w:val="666666"/>
          <w:sz w:val="22"/>
        </w:rPr>
        <w:t>Blinded manuscript</w:t>
      </w:r>
    </w:p>
    <w:p>
      <w:pPr>
        <w:pStyle w:val="Heading1"/>
      </w:pPr>
      <w:r>
        <w:t>Supplementary analyses</w:t>
      </w:r>
    </w:p>
    <w:p>
      <w:r>
        <w:t>This supplement contains sensitivity analyses, secondary APC outputs, and supporting figures. Native GBD uncertainty intervals are not relabeled as confidence intervals for derived quantities.</w:t>
      </w:r>
    </w:p>
    <w:p>
      <w:pPr>
        <w:pStyle w:val="Heading2"/>
      </w:pPr>
      <w:r>
        <w:t>Table S1. Selected segmented-model slopes</w:t>
      </w:r>
    </w:p>
    <w:tbl>
      <w:tblPr>
        <w:tblStyle w:val="TableGrid"/>
        <w:tblW w:type="dxa" w:w="9360"/>
        <w:jc w:val="left"/>
        <w:tblLook w:firstColumn="1" w:firstRow="1" w:lastColumn="0" w:lastRow="0" w:noHBand="0" w:noVBand="1" w:val="04A0"/>
        <w:tblInd w:w="120" w:type="dxa"/>
        <w:tblLayout w:type="fixed"/>
      </w:tblPr>
      <w:tblGrid>
        <w:gridCol w:w="1679"/>
        <w:gridCol w:w="1451"/>
        <w:gridCol w:w="1581"/>
        <w:gridCol w:w="1483"/>
        <w:gridCol w:w="1549"/>
        <w:gridCol w:w="1617"/>
      </w:tblGrid>
      <w:tr>
        <w:trPr>
          <w:tblHeader w:val="true"/>
        </w:trPr>
        <w:tc>
          <w:tcPr>
            <w:tcW w:type="dxa" w:w="1679"/>
            <w:shd w:fill="FFFFFF"/>
            <w:tcMar>
              <w:top w:w="80" w:type="dxa"/>
              <w:start w:w="120" w:type="dxa"/>
              <w:bottom w:w="80" w:type="dxa"/>
              <w:end w:w="120" w:type="dxa"/>
            </w:tcMar>
            <w:vAlign w:val="center"/>
          </w:tcPr>
          <w:p>
            <w:pPr>
              <w:jc w:val="center"/>
            </w:pPr>
            <w:r>
              <w:rPr>
                <w:rFonts w:ascii="Calibri" w:hAnsi="Calibri" w:eastAsia="Calibri"/>
                <w:b/>
                <w:color w:val="1F4D78"/>
                <w:sz w:val="15"/>
              </w:rPr>
              <w:t>Location</w:t>
            </w:r>
          </w:p>
        </w:tc>
        <w:tc>
          <w:tcPr>
            <w:tcW w:type="dxa" w:w="1451"/>
            <w:shd w:fill="FFFFFF"/>
            <w:tcMar>
              <w:top w:w="80" w:type="dxa"/>
              <w:start w:w="120" w:type="dxa"/>
              <w:bottom w:w="80" w:type="dxa"/>
              <w:end w:w="120" w:type="dxa"/>
            </w:tcMar>
            <w:vAlign w:val="center"/>
          </w:tcPr>
          <w:p>
            <w:pPr>
              <w:jc w:val="center"/>
            </w:pPr>
            <w:r>
              <w:rPr>
                <w:rFonts w:ascii="Calibri" w:hAnsi="Calibri" w:eastAsia="Calibri"/>
                <w:b/>
                <w:color w:val="1F4D78"/>
                <w:sz w:val="15"/>
              </w:rPr>
              <w:t>Sex</w:t>
            </w:r>
          </w:p>
        </w:tc>
        <w:tc>
          <w:tcPr>
            <w:tcW w:type="dxa" w:w="1581"/>
            <w:shd w:fill="FFFFFF"/>
            <w:tcMar>
              <w:top w:w="80" w:type="dxa"/>
              <w:start w:w="120" w:type="dxa"/>
              <w:bottom w:w="80" w:type="dxa"/>
              <w:end w:w="120" w:type="dxa"/>
            </w:tcMar>
            <w:vAlign w:val="center"/>
          </w:tcPr>
          <w:p>
            <w:pPr>
              <w:jc w:val="center"/>
            </w:pPr>
            <w:r>
              <w:rPr>
                <w:rFonts w:ascii="Calibri" w:hAnsi="Calibri" w:eastAsia="Calibri"/>
                <w:b/>
                <w:color w:val="1F4D78"/>
                <w:sz w:val="15"/>
              </w:rPr>
              <w:t>Outcome</w:t>
            </w:r>
          </w:p>
        </w:tc>
        <w:tc>
          <w:tcPr>
            <w:tcW w:type="dxa" w:w="1483"/>
            <w:shd w:fill="FFFFFF"/>
            <w:tcMar>
              <w:top w:w="80" w:type="dxa"/>
              <w:start w:w="120" w:type="dxa"/>
              <w:bottom w:w="80" w:type="dxa"/>
              <w:end w:w="120" w:type="dxa"/>
            </w:tcMar>
            <w:vAlign w:val="center"/>
          </w:tcPr>
          <w:p>
            <w:pPr>
              <w:jc w:val="center"/>
            </w:pPr>
            <w:r>
              <w:rPr>
                <w:rFonts w:ascii="Calibri" w:hAnsi="Calibri" w:eastAsia="Calibri"/>
                <w:b/>
                <w:color w:val="1F4D78"/>
                <w:sz w:val="15"/>
              </w:rPr>
              <w:t>Segment</w:t>
            </w:r>
          </w:p>
        </w:tc>
        <w:tc>
          <w:tcPr>
            <w:tcW w:type="dxa" w:w="1549"/>
            <w:shd w:fill="FFFFFF"/>
            <w:tcMar>
              <w:top w:w="80" w:type="dxa"/>
              <w:start w:w="120" w:type="dxa"/>
              <w:bottom w:w="80" w:type="dxa"/>
              <w:end w:w="120" w:type="dxa"/>
            </w:tcMar>
            <w:vAlign w:val="center"/>
          </w:tcPr>
          <w:p>
            <w:pPr>
              <w:jc w:val="center"/>
            </w:pPr>
            <w:r>
              <w:rPr>
                <w:rFonts w:ascii="Calibri" w:hAnsi="Calibri" w:eastAsia="Calibri"/>
                <w:b/>
                <w:color w:val="1F4D78"/>
                <w:sz w:val="15"/>
              </w:rPr>
              <w:t>Years</w:t>
            </w:r>
          </w:p>
        </w:tc>
        <w:tc>
          <w:tcPr>
            <w:tcW w:type="dxa" w:w="1617"/>
            <w:shd w:fill="FFFFFF"/>
            <w:tcMar>
              <w:top w:w="80" w:type="dxa"/>
              <w:start w:w="120" w:type="dxa"/>
              <w:bottom w:w="80" w:type="dxa"/>
              <w:end w:w="120" w:type="dxa"/>
            </w:tcMar>
            <w:vAlign w:val="center"/>
          </w:tcPr>
          <w:p>
            <w:pPr>
              <w:jc w:val="center"/>
            </w:pPr>
            <w:r>
              <w:rPr>
                <w:rFonts w:ascii="Calibri" w:hAnsi="Calibri" w:eastAsia="Calibri"/>
                <w:b/>
                <w:color w:val="1F4D78"/>
                <w:sz w:val="15"/>
              </w:rPr>
              <w:t>APC, %/year</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1990-1998</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0.1109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1998-2023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0.0276</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1990-2004</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0.0565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2004-2015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-0.0572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0.0313</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0.0310</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2019-2023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-0.0305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1990-1995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0.1796</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1995-1999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-0.0678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1999-2023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0.0239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1990-2006</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0.0294</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2006-2023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-0.0305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0.0164</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2003-2017</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0.0471</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2017-2023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-0.0622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0.0118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-1.3436</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-0.2125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-0.0361</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-1.1090</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-0.0784</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-0.0258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-1.2971</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-0.0697</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0.0263</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2009-2017</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-0.4329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2017-2023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-0.1052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0.0119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2010-2017</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-0.3422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2017-2023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-0.0558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0.0147</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2009-2018</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-0.3688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2018-2023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0.0861</w:t>
            </w:r>
          </w:p>
        </w:tc>
      </w:tr>
    </w:tbl>
    <w:p/>
    <w:p>
      <w:r>
        <w:t>All selected segments are reported. APC values are descriptive point estimates from the BIC-selected log-linear models.</w:t>
      </w:r>
    </w:p>
    <w:p>
      <w:pPr>
        <w:pStyle w:val="Heading2"/>
      </w:pPr>
      <w:r>
        <w:t>Table S2. AR(1) feasible-GLS sensitivity</w:t>
      </w:r>
    </w:p>
    <w:tbl>
      <w:tblPr>
        <w:tblStyle w:val="TableGrid"/>
        <w:tblW w:type="dxa" w:w="9360"/>
        <w:jc w:val="left"/>
        <w:tblLook w:firstColumn="1" w:firstRow="1" w:lastColumn="0" w:lastRow="0" w:noHBand="0" w:noVBand="1" w:val="04A0"/>
        <w:tblInd w:w="120" w:type="dxa"/>
        <w:tblLayout w:type="fixed"/>
      </w:tblPr>
      <w:tblGrid>
        <w:gridCol w:w="786"/>
        <w:gridCol w:w="733"/>
        <w:gridCol w:w="763"/>
        <w:gridCol w:w="801"/>
        <w:gridCol w:w="816"/>
        <w:gridCol w:w="748"/>
        <w:gridCol w:w="763"/>
        <w:gridCol w:w="763"/>
        <w:gridCol w:w="756"/>
        <w:gridCol w:w="823"/>
        <w:gridCol w:w="823"/>
        <w:gridCol w:w="785"/>
      </w:tblGrid>
      <w:tr>
        <w:trPr>
          <w:tblHeader w:val="true"/>
        </w:trPr>
        <w:tc>
          <w:tcPr>
            <w:tcW w:type="dxa" w:w="786"/>
            <w:shd w:fill="FFFFFF"/>
            <w:tcMar>
              <w:top w:w="80" w:type="dxa"/>
              <w:start w:w="120" w:type="dxa"/>
              <w:bottom w:w="80" w:type="dxa"/>
              <w:end w:w="120" w:type="dxa"/>
            </w:tcMar>
            <w:vAlign w:val="center"/>
          </w:tcPr>
          <w:p>
            <w:pPr>
              <w:jc w:val="center"/>
            </w:pPr>
            <w:r>
              <w:rPr>
                <w:rFonts w:ascii="Calibri" w:hAnsi="Calibri" w:eastAsia="Calibri"/>
                <w:b/>
                <w:color w:val="1F4D78"/>
                <w:sz w:val="13"/>
              </w:rPr>
              <w:t>Location</w:t>
            </w:r>
          </w:p>
        </w:tc>
        <w:tc>
          <w:tcPr>
            <w:tcW w:type="dxa" w:w="733"/>
            <w:shd w:fill="FFFFFF"/>
            <w:tcMar>
              <w:top w:w="80" w:type="dxa"/>
              <w:start w:w="120" w:type="dxa"/>
              <w:bottom w:w="80" w:type="dxa"/>
              <w:end w:w="120" w:type="dxa"/>
            </w:tcMar>
            <w:vAlign w:val="center"/>
          </w:tcPr>
          <w:p>
            <w:pPr>
              <w:jc w:val="center"/>
            </w:pPr>
            <w:r>
              <w:rPr>
                <w:rFonts w:ascii="Calibri" w:hAnsi="Calibri" w:eastAsia="Calibri"/>
                <w:b/>
                <w:color w:val="1F4D78"/>
                <w:sz w:val="13"/>
              </w:rPr>
              <w:t>Sex</w:t>
            </w:r>
          </w:p>
        </w:tc>
        <w:tc>
          <w:tcPr>
            <w:tcW w:type="dxa" w:w="763"/>
            <w:shd w:fill="FFFFFF"/>
            <w:tcMar>
              <w:top w:w="80" w:type="dxa"/>
              <w:start w:w="120" w:type="dxa"/>
              <w:bottom w:w="80" w:type="dxa"/>
              <w:end w:w="120" w:type="dxa"/>
            </w:tcMar>
            <w:vAlign w:val="center"/>
          </w:tcPr>
          <w:p>
            <w:pPr>
              <w:jc w:val="center"/>
            </w:pPr>
            <w:r>
              <w:rPr>
                <w:rFonts w:ascii="Calibri" w:hAnsi="Calibri" w:eastAsia="Calibri"/>
                <w:b/>
                <w:color w:val="1F4D78"/>
                <w:sz w:val="13"/>
              </w:rPr>
              <w:t>Outcome</w:t>
            </w:r>
          </w:p>
        </w:tc>
        <w:tc>
          <w:tcPr>
            <w:tcW w:type="dxa" w:w="801"/>
            <w:shd w:fill="FFFFFF"/>
            <w:tcMar>
              <w:top w:w="80" w:type="dxa"/>
              <w:start w:w="120" w:type="dxa"/>
              <w:bottom w:w="80" w:type="dxa"/>
              <w:end w:w="120" w:type="dxa"/>
            </w:tcMar>
            <w:vAlign w:val="center"/>
          </w:tcPr>
          <w:p>
            <w:pPr>
              <w:jc w:val="center"/>
            </w:pPr>
            <w:r>
              <w:rPr>
                <w:rFonts w:ascii="Calibri" w:hAnsi="Calibri" w:eastAsia="Calibri"/>
                <w:b/>
                <w:color w:val="1F4D78"/>
                <w:sz w:val="13"/>
              </w:rPr>
              <w:t>OLS breakpoints</w:t>
            </w:r>
          </w:p>
        </w:tc>
        <w:tc>
          <w:tcPr>
            <w:tcW w:type="dxa" w:w="816"/>
            <w:shd w:fill="FFFFFF"/>
            <w:tcMar>
              <w:top w:w="80" w:type="dxa"/>
              <w:start w:w="120" w:type="dxa"/>
              <w:bottom w:w="80" w:type="dxa"/>
              <w:end w:w="120" w:type="dxa"/>
            </w:tcMar>
            <w:vAlign w:val="center"/>
          </w:tcPr>
          <w:p>
            <w:pPr>
              <w:jc w:val="center"/>
            </w:pPr>
            <w:r>
              <w:rPr>
                <w:rFonts w:ascii="Calibri" w:hAnsi="Calibri" w:eastAsia="Calibri"/>
                <w:b/>
                <w:color w:val="1F4D78"/>
                <w:sz w:val="13"/>
              </w:rPr>
              <w:t>AR(1) breakpoints</w:t>
            </w:r>
          </w:p>
        </w:tc>
        <w:tc>
          <w:tcPr>
            <w:tcW w:type="dxa" w:w="748"/>
            <w:shd w:fill="FFFFFF"/>
            <w:tcMar>
              <w:top w:w="80" w:type="dxa"/>
              <w:start w:w="120" w:type="dxa"/>
              <w:bottom w:w="80" w:type="dxa"/>
              <w:end w:w="120" w:type="dxa"/>
            </w:tcMar>
            <w:vAlign w:val="center"/>
          </w:tcPr>
          <w:p>
            <w:pPr>
              <w:jc w:val="center"/>
            </w:pPr>
            <w:r>
              <w:rPr>
                <w:rFonts w:ascii="Calibri" w:hAnsi="Calibri" w:eastAsia="Calibri"/>
                <w:b/>
                <w:color w:val="1F4D78"/>
                <w:sz w:val="13"/>
              </w:rPr>
              <w:t>OLS AAPC</w:t>
            </w:r>
          </w:p>
        </w:tc>
        <w:tc>
          <w:tcPr>
            <w:tcW w:type="dxa" w:w="763"/>
            <w:shd w:fill="FFFFFF"/>
            <w:tcMar>
              <w:top w:w="80" w:type="dxa"/>
              <w:start w:w="120" w:type="dxa"/>
              <w:bottom w:w="80" w:type="dxa"/>
              <w:end w:w="120" w:type="dxa"/>
            </w:tcMar>
            <w:vAlign w:val="center"/>
          </w:tcPr>
          <w:p>
            <w:pPr>
              <w:jc w:val="center"/>
            </w:pPr>
            <w:r>
              <w:rPr>
                <w:rFonts w:ascii="Calibri" w:hAnsi="Calibri" w:eastAsia="Calibri"/>
                <w:b/>
                <w:color w:val="1F4D78"/>
                <w:sz w:val="13"/>
              </w:rPr>
              <w:t>AR(1) AAPC</w:t>
            </w:r>
          </w:p>
        </w:tc>
        <w:tc>
          <w:tcPr>
            <w:tcW w:type="dxa" w:w="763"/>
            <w:shd w:fill="FFFFFF"/>
            <w:tcMar>
              <w:top w:w="80" w:type="dxa"/>
              <w:start w:w="120" w:type="dxa"/>
              <w:bottom w:w="80" w:type="dxa"/>
              <w:end w:w="120" w:type="dxa"/>
            </w:tcMar>
            <w:vAlign w:val="center"/>
          </w:tcPr>
          <w:p>
            <w:pPr>
              <w:jc w:val="center"/>
            </w:pPr>
            <w:r>
              <w:rPr>
                <w:rFonts w:ascii="Calibri" w:hAnsi="Calibri" w:eastAsia="Calibri"/>
                <w:b/>
                <w:color w:val="1F4D78"/>
                <w:sz w:val="13"/>
              </w:rPr>
              <w:t>Difference</w:t>
            </w:r>
          </w:p>
        </w:tc>
        <w:tc>
          <w:tcPr>
            <w:tcW w:type="dxa" w:w="756"/>
            <w:shd w:fill="FFFFFF"/>
            <w:tcMar>
              <w:top w:w="80" w:type="dxa"/>
              <w:start w:w="120" w:type="dxa"/>
              <w:bottom w:w="80" w:type="dxa"/>
              <w:end w:w="120" w:type="dxa"/>
            </w:tcMar>
            <w:vAlign w:val="center"/>
          </w:tcPr>
          <w:p>
            <w:pPr>
              <w:jc w:val="center"/>
            </w:pPr>
            <w:r>
              <w:rPr>
                <w:rFonts w:ascii="Calibri" w:hAnsi="Calibri" w:eastAsia="Calibri"/>
                <w:b/>
                <w:color w:val="1F4D78"/>
                <w:sz w:val="13"/>
              </w:rPr>
              <w:t>AR(1) rho</w:t>
            </w:r>
          </w:p>
        </w:tc>
        <w:tc>
          <w:tcPr>
            <w:tcW w:type="dxa" w:w="823"/>
            <w:shd w:fill="FFFFFF"/>
            <w:tcMar>
              <w:top w:w="80" w:type="dxa"/>
              <w:start w:w="120" w:type="dxa"/>
              <w:bottom w:w="80" w:type="dxa"/>
              <w:end w:w="120" w:type="dxa"/>
            </w:tcMar>
            <w:vAlign w:val="center"/>
          </w:tcPr>
          <w:p>
            <w:pPr>
              <w:jc w:val="center"/>
            </w:pPr>
            <w:r>
              <w:rPr>
                <w:rFonts w:ascii="Calibri" w:hAnsi="Calibri" w:eastAsia="Calibri"/>
                <w:b/>
                <w:color w:val="1F4D78"/>
                <w:sz w:val="13"/>
              </w:rPr>
              <w:t>OLS label</w:t>
            </w:r>
          </w:p>
        </w:tc>
        <w:tc>
          <w:tcPr>
            <w:tcW w:type="dxa" w:w="823"/>
            <w:shd w:fill="FFFFFF"/>
            <w:tcMar>
              <w:top w:w="80" w:type="dxa"/>
              <w:start w:w="120" w:type="dxa"/>
              <w:bottom w:w="80" w:type="dxa"/>
              <w:end w:w="120" w:type="dxa"/>
            </w:tcMar>
            <w:vAlign w:val="center"/>
          </w:tcPr>
          <w:p>
            <w:pPr>
              <w:jc w:val="center"/>
            </w:pPr>
            <w:r>
              <w:rPr>
                <w:rFonts w:ascii="Calibri" w:hAnsi="Calibri" w:eastAsia="Calibri"/>
                <w:b/>
                <w:color w:val="1F4D78"/>
                <w:sz w:val="13"/>
              </w:rPr>
              <w:t>AR(1) label</w:t>
            </w:r>
          </w:p>
        </w:tc>
        <w:tc>
          <w:tcPr>
            <w:tcW w:type="dxa" w:w="785"/>
            <w:shd w:fill="FFFFFF"/>
            <w:tcMar>
              <w:top w:w="80" w:type="dxa"/>
              <w:start w:w="120" w:type="dxa"/>
              <w:bottom w:w="80" w:type="dxa"/>
              <w:end w:w="120" w:type="dxa"/>
            </w:tcMar>
            <w:vAlign w:val="center"/>
          </w:tcPr>
          <w:p>
            <w:pPr>
              <w:jc w:val="center"/>
            </w:pPr>
            <w:r>
              <w:rPr>
                <w:rFonts w:ascii="Calibri" w:hAnsi="Calibri" w:eastAsia="Calibri"/>
                <w:b/>
                <w:color w:val="1F4D78"/>
                <w:sz w:val="13"/>
              </w:rPr>
              <w:t>Label agrees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1998</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1997,2019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0.0478</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0.0422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-0.0056</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0.4961</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2004,2015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2004,2015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0.0125</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0.0122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-0.0003</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0.8190</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2019</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0.0235</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0.0220</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-0.0015</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0.8134</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1995,1999</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1995,2019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0.0363</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0.0274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-0.0090</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0.8863</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2006</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-0.0014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-0.0008</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0.0007</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0.8395</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2003,2017</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1994,2019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0.0151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0.0196</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0.0044</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0.9149</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-0.2491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-0.2519</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-0.0029</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0.7273</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-0.2097</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-0.2022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0.0075</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0.7855</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-0.2301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-0.2324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-0.0023</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0.7742</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2009,2017</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2009,2017</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-0.1091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-0.1091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0.0000</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-0.0039</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2010,2017</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2010,2017</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-0.0756</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-0.0770</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0.1419</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2009,2018</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2009,2018</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-0.0792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-0.0794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-0.0002</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0.0151</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bl>
    <w:p/>
    <w:p>
      <w:r>
        <w:t>The AR(1) sensitivity changed the selected breakpoint count in one of 12 strata, preserved the practical-change label in all 12, and changed AAPC by at most 0.0090 percentage points per year. This is a residual-correlation robustness analysis, not GBD posterior uncertainty.</w:t>
      </w:r>
    </w:p>
    <w:p>
      <w:pPr>
        <w:pStyle w:val="Heading2"/>
      </w:pPr>
      <w:r>
        <w:t>Table S3. Practical-stability threshold sensitivity</w:t>
      </w:r>
    </w:p>
    <w:tbl>
      <w:tblPr>
        <w:tblStyle w:val="TableGrid"/>
        <w:tblW w:type="dxa" w:w="9360"/>
        <w:jc w:val="left"/>
        <w:tblLook w:firstColumn="1" w:firstRow="1" w:lastColumn="0" w:lastRow="0" w:noHBand="0" w:noVBand="1" w:val="04A0"/>
        <w:tblInd w:w="120" w:type="dxa"/>
        <w:tblLayout w:type="fixed"/>
      </w:tblPr>
      <w:tblGrid>
        <w:gridCol w:w="1324"/>
        <w:gridCol w:w="1165"/>
        <w:gridCol w:w="1256"/>
        <w:gridCol w:w="1301"/>
        <w:gridCol w:w="1437"/>
        <w:gridCol w:w="1437"/>
        <w:gridCol w:w="1440"/>
      </w:tblGrid>
      <w:tr>
        <w:trPr>
          <w:tblHeader w:val="true"/>
        </w:trPr>
        <w:tc>
          <w:tcPr>
            <w:tcW w:type="dxa" w:w="132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165"/>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256"/>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301"/>
            <w:shd w:fill="FFFFFF"/>
            <w:tcMar>
              <w:top w:w="80" w:type="dxa"/>
              <w:start w:w="120" w:type="dxa"/>
              <w:bottom w:w="80" w:type="dxa"/>
              <w:end w:w="120" w:type="dxa"/>
            </w:tcMar>
            <w:vAlign w:val="center"/>
          </w:tcPr>
          <w:p>
            <w:pPr>
              <w:jc w:val="center"/>
            </w:pPr>
            <w:r>
              <w:rPr>
                <w:rFonts w:ascii="Calibri" w:hAnsi="Calibri" w:eastAsia="Calibri"/>
                <w:b/>
                <w:color w:val="1F4D78"/>
                <w:sz w:val="14"/>
              </w:rPr>
              <w:t>AAPC, %/year</w:t>
            </w:r>
          </w:p>
        </w:tc>
        <w:tc>
          <w:tcPr>
            <w:tcW w:type="dxa" w:w="1437"/>
            <w:shd w:fill="FFFFFF"/>
            <w:tcMar>
              <w:top w:w="80" w:type="dxa"/>
              <w:start w:w="120" w:type="dxa"/>
              <w:bottom w:w="80" w:type="dxa"/>
              <w:end w:w="120" w:type="dxa"/>
            </w:tcMar>
            <w:vAlign w:val="center"/>
          </w:tcPr>
          <w:p>
            <w:pPr>
              <w:jc w:val="center"/>
            </w:pPr>
            <w:r>
              <w:rPr>
                <w:rFonts w:ascii="Calibri" w:hAnsi="Calibri" w:eastAsia="Calibri"/>
                <w:b/>
                <w:color w:val="1F4D78"/>
                <w:sz w:val="14"/>
              </w:rPr>
              <w:t>0.02 band</w:t>
            </w:r>
          </w:p>
        </w:tc>
        <w:tc>
          <w:tcPr>
            <w:tcW w:type="dxa" w:w="1437"/>
            <w:shd w:fill="FFFFFF"/>
            <w:tcMar>
              <w:top w:w="80" w:type="dxa"/>
              <w:start w:w="120" w:type="dxa"/>
              <w:bottom w:w="80" w:type="dxa"/>
              <w:end w:w="120" w:type="dxa"/>
            </w:tcMar>
            <w:vAlign w:val="center"/>
          </w:tcPr>
          <w:p>
            <w:pPr>
              <w:jc w:val="center"/>
            </w:pPr>
            <w:r>
              <w:rPr>
                <w:rFonts w:ascii="Calibri" w:hAnsi="Calibri" w:eastAsia="Calibri"/>
                <w:b/>
                <w:color w:val="1F4D78"/>
                <w:sz w:val="14"/>
              </w:rPr>
              <w:t>0.05 band</w:t>
            </w:r>
          </w:p>
        </w:tc>
        <w:tc>
          <w:tcPr>
            <w:tcW w:type="dxa" w:w="1440"/>
            <w:shd w:fill="FFFFFF"/>
            <w:tcMar>
              <w:top w:w="80" w:type="dxa"/>
              <w:start w:w="120" w:type="dxa"/>
              <w:bottom w:w="80" w:type="dxa"/>
              <w:end w:w="120" w:type="dxa"/>
            </w:tcMar>
            <w:vAlign w:val="center"/>
          </w:tcPr>
          <w:p>
            <w:pPr>
              <w:jc w:val="center"/>
            </w:pPr>
            <w:r>
              <w:rPr>
                <w:rFonts w:ascii="Calibri" w:hAnsi="Calibri" w:eastAsia="Calibri"/>
                <w:b/>
                <w:color w:val="1F4D78"/>
                <w:sz w:val="14"/>
              </w:rPr>
              <w:t>0.10 band</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0.0478</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0.0125</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0.0235</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0.0363</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-0.0014</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0.0151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-0.2491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-0.2097</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-0.2301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-0.1091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-0.0756</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-0.0792</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bl>
    <w:p/>
    <w:p>
      <w:r>
        <w:t>The prespecified primary descriptive band is ±0.05% per year. These labels prevent substantively trivial signs from being narrated as meaningful change; they are not equivalence tests.</w:t>
      </w:r>
    </w:p>
    <w:p>
      <w:r>
        <w:br w:type="page"/>
      </w:r>
    </w:p>
    <w:p>
      <w:pPr>
        <w:pStyle w:val="Heading2"/>
      </w:pPr>
      <w:r>
        <w:t>Table S4. Full descriptive trajectory contrasts</w:t>
      </w:r>
    </w:p>
    <w:tbl>
      <w:tblPr>
        <w:tblStyle w:val="TableGrid"/>
        <w:tblW w:type="dxa" w:w="9360"/>
        <w:jc w:val="left"/>
        <w:tblLook w:firstColumn="1" w:firstRow="1" w:lastColumn="0" w:lastRow="0" w:noHBand="0" w:noVBand="1" w:val="04A0"/>
        <w:tblInd w:w="120" w:type="dxa"/>
        <w:tblLayout w:type="fixed"/>
      </w:tblPr>
      <w:tblGrid>
        <w:gridCol w:w="1034"/>
        <w:gridCol w:w="1139"/>
        <w:gridCol w:w="1087"/>
        <w:gridCol w:w="1296"/>
        <w:gridCol w:w="1174"/>
        <w:gridCol w:w="1174"/>
        <w:gridCol w:w="1296"/>
        <w:gridCol w:w="1160"/>
      </w:tblGrid>
      <w:tr>
        <w:trPr>
          <w:tblHeader w:val="true"/>
        </w:trPr>
        <w:tc>
          <w:tcPr>
            <w:tcW w:type="dxa" w:w="1034"/>
            <w:shd w:fill="FFFFFF"/>
            <w:tcMar>
              <w:top w:w="80" w:type="dxa"/>
              <w:start w:w="120" w:type="dxa"/>
              <w:bottom w:w="80" w:type="dxa"/>
              <w:end w:w="120" w:type="dxa"/>
            </w:tcMar>
            <w:vAlign w:val="center"/>
          </w:tcPr>
          <w:p>
            <w:pPr>
              <w:jc w:val="center"/>
            </w:pPr>
            <w:r>
              <w:rPr>
                <w:rFonts w:ascii="Calibri" w:hAnsi="Calibri" w:eastAsia="Calibri"/>
                <w:b/>
                <w:color w:val="1F4D78"/>
                <w:sz w:val="14"/>
              </w:rPr>
              <w:t>Family</w:t>
            </w:r>
          </w:p>
        </w:tc>
        <w:tc>
          <w:tcPr>
            <w:tcW w:type="dxa" w:w="1139"/>
            <w:shd w:fill="FFFFFF"/>
            <w:tcMar>
              <w:top w:w="80" w:type="dxa"/>
              <w:start w:w="120" w:type="dxa"/>
              <w:bottom w:w="80" w:type="dxa"/>
              <w:end w:w="120" w:type="dxa"/>
            </w:tcMar>
            <w:vAlign w:val="center"/>
          </w:tcPr>
          <w:p>
            <w:pPr>
              <w:jc w:val="center"/>
            </w:pPr>
            <w:r>
              <w:rPr>
                <w:rFonts w:ascii="Calibri" w:hAnsi="Calibri" w:eastAsia="Calibri"/>
                <w:b/>
                <w:color w:val="1F4D78"/>
                <w:sz w:val="14"/>
              </w:rPr>
              <w:t>Stratum</w:t>
            </w:r>
          </w:p>
        </w:tc>
        <w:tc>
          <w:tcPr>
            <w:tcW w:type="dxa" w:w="1087"/>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96"/>
            <w:shd w:fill="FFFFFF"/>
            <w:tcMar>
              <w:top w:w="80" w:type="dxa"/>
              <w:start w:w="120" w:type="dxa"/>
              <w:bottom w:w="80" w:type="dxa"/>
              <w:end w:w="120" w:type="dxa"/>
            </w:tcMar>
            <w:vAlign w:val="center"/>
          </w:tcPr>
          <w:p>
            <w:pPr>
              <w:jc w:val="center"/>
            </w:pPr>
            <w:r>
              <w:rPr>
                <w:rFonts w:ascii="Calibri" w:hAnsi="Calibri" w:eastAsia="Calibri"/>
                <w:b/>
                <w:color w:val="1F4D78"/>
                <w:sz w:val="14"/>
              </w:rPr>
              <w:t>Comparison</w:t>
            </w:r>
          </w:p>
        </w:tc>
        <w:tc>
          <w:tcPr>
            <w:tcW w:type="dxa" w:w="1174"/>
            <w:shd w:fill="FFFFFF"/>
            <w:tcMar>
              <w:top w:w="80" w:type="dxa"/>
              <w:start w:w="120" w:type="dxa"/>
              <w:bottom w:w="80" w:type="dxa"/>
              <w:end w:w="120" w:type="dxa"/>
            </w:tcMar>
            <w:vAlign w:val="center"/>
          </w:tcPr>
          <w:p>
            <w:pPr>
              <w:jc w:val="center"/>
            </w:pPr>
            <w:r>
              <w:rPr>
                <w:rFonts w:ascii="Calibri" w:hAnsi="Calibri" w:eastAsia="Calibri"/>
                <w:b/>
                <w:color w:val="1F4D78"/>
                <w:sz w:val="14"/>
              </w:rPr>
              <w:t>Group A, %/year</w:t>
            </w:r>
          </w:p>
        </w:tc>
        <w:tc>
          <w:tcPr>
            <w:tcW w:type="dxa" w:w="1174"/>
            <w:shd w:fill="FFFFFF"/>
            <w:tcMar>
              <w:top w:w="80" w:type="dxa"/>
              <w:start w:w="120" w:type="dxa"/>
              <w:bottom w:w="80" w:type="dxa"/>
              <w:end w:w="120" w:type="dxa"/>
            </w:tcMar>
            <w:vAlign w:val="center"/>
          </w:tcPr>
          <w:p>
            <w:pPr>
              <w:jc w:val="center"/>
            </w:pPr>
            <w:r>
              <w:rPr>
                <w:rFonts w:ascii="Calibri" w:hAnsi="Calibri" w:eastAsia="Calibri"/>
                <w:b/>
                <w:color w:val="1F4D78"/>
                <w:sz w:val="14"/>
              </w:rPr>
              <w:t>Group B, %/year</w:t>
            </w:r>
          </w:p>
        </w:tc>
        <w:tc>
          <w:tcPr>
            <w:tcW w:type="dxa" w:w="1296"/>
            <w:shd w:fill="FFFFFF"/>
            <w:tcMar>
              <w:top w:w="80" w:type="dxa"/>
              <w:start w:w="120" w:type="dxa"/>
              <w:bottom w:w="80" w:type="dxa"/>
              <w:end w:w="120" w:type="dxa"/>
            </w:tcMar>
            <w:vAlign w:val="center"/>
          </w:tcPr>
          <w:p>
            <w:pPr>
              <w:jc w:val="center"/>
            </w:pPr>
            <w:r>
              <w:rPr>
                <w:rFonts w:ascii="Calibri" w:hAnsi="Calibri" w:eastAsia="Calibri"/>
                <w:b/>
                <w:color w:val="1F4D78"/>
                <w:sz w:val="14"/>
              </w:rPr>
              <w:t>B-A, percentage points</w:t>
            </w:r>
          </w:p>
        </w:tc>
        <w:tc>
          <w:tcPr>
            <w:tcW w:type="dxa" w:w="1160"/>
            <w:shd w:fill="FFFFFF"/>
            <w:tcMar>
              <w:top w:w="80" w:type="dxa"/>
              <w:start w:w="120" w:type="dxa"/>
              <w:bottom w:w="80" w:type="dxa"/>
              <w:end w:w="120" w:type="dxa"/>
            </w:tcMar>
            <w:vAlign w:val="center"/>
          </w:tcPr>
          <w:p>
            <w:pPr>
              <w:jc w:val="center"/>
            </w:pPr>
            <w:r>
              <w:rPr>
                <w:rFonts w:ascii="Calibri" w:hAnsi="Calibri" w:eastAsia="Calibri"/>
                <w:b/>
                <w:color w:val="1F4D78"/>
                <w:sz w:val="14"/>
              </w:rPr>
              <w:t>Same direction</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-0.193</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-0.206</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-0.231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-0.252</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0.040</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-0.253</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-0.293</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-0.001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-0.097</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-0.095</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0.018</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-0.099</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-0.118</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0.028</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-0.121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-0.149</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-0.001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-0.014</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0.018</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-0.003</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0.040</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0.028</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-0.013</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-0.193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-0.097</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0.097</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-0.231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-0.099</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0.131</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-0.253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-0.121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0.132</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All entries are descriptive annualized endpoint contrasts; no hypothesis test or confidence interval is reported.</w:t>
      </w:r>
    </w:p>
    <w:p>
      <w:pPr>
        <w:pStyle w:val="Heading2"/>
      </w:pPr>
      <w:r>
        <w:t>Table S5. Weighted trend sensitivity</w:t>
      </w:r>
    </w:p>
    <w:tbl>
      <w:tblPr>
        <w:tblStyle w:val="TableGrid"/>
        <w:tblW w:type="dxa" w:w="9360"/>
        <w:jc w:val="left"/>
        <w:tblLook w:firstColumn="1" w:firstRow="1" w:lastColumn="0" w:lastRow="0" w:noHBand="0" w:noVBand="1" w:val="04A0"/>
        <w:tblInd w:w="120" w:type="dxa"/>
        <w:tblLayout w:type="fixed"/>
      </w:tblPr>
      <w:tblGrid>
        <w:gridCol w:w="1429"/>
        <w:gridCol w:w="1116"/>
        <w:gridCol w:w="1194"/>
        <w:gridCol w:w="1194"/>
        <w:gridCol w:w="1488"/>
        <w:gridCol w:w="1155"/>
        <w:gridCol w:w="1784"/>
      </w:tblGrid>
      <w:tr>
        <w:trPr>
          <w:tblHeader w:val="true"/>
        </w:trPr>
        <w:tc>
          <w:tcPr>
            <w:tcW w:type="dxa" w:w="1429"/>
            <w:shd w:fill="FFFFFF"/>
            <w:tcMar>
              <w:top w:w="80" w:type="dxa"/>
              <w:start w:w="120" w:type="dxa"/>
              <w:bottom w:w="80" w:type="dxa"/>
              <w:end w:w="120" w:type="dxa"/>
            </w:tcMar>
            <w:vAlign w:val="center"/>
          </w:tcPr>
          <w:p>
            <w:pPr>
              <w:jc w:val="center"/>
            </w:pPr>
            <w:r>
              <w:rPr>
                <w:rFonts w:ascii="Calibri" w:hAnsi="Calibri" w:eastAsia="Calibri"/>
                <w:b/>
                <w:color w:val="1F4D78"/>
                <w:sz w:val="15"/>
              </w:rPr>
              <w:t>Location Name</w:t>
            </w:r>
          </w:p>
        </w:tc>
        <w:tc>
          <w:tcPr>
            <w:tcW w:type="dxa" w:w="1116"/>
            <w:shd w:fill="FFFFFF"/>
            <w:tcMar>
              <w:top w:w="80" w:type="dxa"/>
              <w:start w:w="120" w:type="dxa"/>
              <w:bottom w:w="80" w:type="dxa"/>
              <w:end w:w="120" w:type="dxa"/>
            </w:tcMar>
            <w:vAlign w:val="center"/>
          </w:tcPr>
          <w:p>
            <w:pPr>
              <w:jc w:val="center"/>
            </w:pPr>
            <w:r>
              <w:rPr>
                <w:rFonts w:ascii="Calibri" w:hAnsi="Calibri" w:eastAsia="Calibri"/>
                <w:b/>
                <w:color w:val="1F4D78"/>
                <w:sz w:val="15"/>
              </w:rPr>
              <w:t>Sex Name</w:t>
            </w:r>
          </w:p>
        </w:tc>
        <w:tc>
          <w:tcPr>
            <w:tcW w:type="dxa" w:w="1194"/>
            <w:shd w:fill="FFFFFF"/>
            <w:tcMar>
              <w:top w:w="80" w:type="dxa"/>
              <w:start w:w="120" w:type="dxa"/>
              <w:bottom w:w="80" w:type="dxa"/>
              <w:end w:w="120" w:type="dxa"/>
            </w:tcMar>
            <w:vAlign w:val="center"/>
          </w:tcPr>
          <w:p>
            <w:pPr>
              <w:jc w:val="center"/>
            </w:pPr>
            <w:r>
              <w:rPr>
                <w:rFonts w:ascii="Calibri" w:hAnsi="Calibri" w:eastAsia="Calibri"/>
                <w:b/>
                <w:color w:val="1F4D78"/>
                <w:sz w:val="15"/>
              </w:rPr>
              <w:t>Measure Name</w:t>
            </w:r>
          </w:p>
        </w:tc>
        <w:tc>
          <w:tcPr>
            <w:tcW w:type="dxa" w:w="1194"/>
            <w:shd w:fill="FFFFFF"/>
            <w:tcMar>
              <w:top w:w="80" w:type="dxa"/>
              <w:start w:w="120" w:type="dxa"/>
              <w:bottom w:w="80" w:type="dxa"/>
              <w:end w:w="120" w:type="dxa"/>
            </w:tcMar>
            <w:vAlign w:val="center"/>
          </w:tcPr>
          <w:p>
            <w:pPr>
              <w:jc w:val="center"/>
            </w:pPr>
            <w:r>
              <w:rPr>
                <w:rFonts w:ascii="Calibri" w:hAnsi="Calibri" w:eastAsia="Calibri"/>
                <w:b/>
                <w:color w:val="1F4D78"/>
                <w:sz w:val="15"/>
              </w:rPr>
              <w:t>Primary Aapc</w:t>
            </w:r>
          </w:p>
        </w:tc>
        <w:tc>
          <w:tcPr>
            <w:tcW w:type="dxa" w:w="1488"/>
            <w:shd w:fill="FFFFFF"/>
            <w:tcMar>
              <w:top w:w="80" w:type="dxa"/>
              <w:start w:w="120" w:type="dxa"/>
              <w:bottom w:w="80" w:type="dxa"/>
              <w:end w:w="120" w:type="dxa"/>
            </w:tcMar>
            <w:vAlign w:val="center"/>
          </w:tcPr>
          <w:p>
            <w:pPr>
              <w:jc w:val="center"/>
            </w:pPr>
            <w:r>
              <w:rPr>
                <w:rFonts w:ascii="Calibri" w:hAnsi="Calibri" w:eastAsia="Calibri"/>
                <w:b/>
                <w:color w:val="1F4D78"/>
                <w:sz w:val="15"/>
              </w:rPr>
              <w:t>Ui Weighted Fixed Knot Aapc</w:t>
            </w:r>
          </w:p>
        </w:tc>
        <w:tc>
          <w:tcPr>
            <w:tcW w:type="dxa" w:w="1155"/>
            <w:shd w:fill="FFFFFF"/>
            <w:tcMar>
              <w:top w:w="80" w:type="dxa"/>
              <w:start w:w="120" w:type="dxa"/>
              <w:bottom w:w="80" w:type="dxa"/>
              <w:end w:w="120" w:type="dxa"/>
            </w:tcMar>
            <w:vAlign w:val="center"/>
          </w:tcPr>
          <w:p>
            <w:pPr>
              <w:jc w:val="center"/>
            </w:pPr>
            <w:r>
              <w:rPr>
                <w:rFonts w:ascii="Calibri" w:hAnsi="Calibri" w:eastAsia="Calibri"/>
                <w:b/>
                <w:color w:val="1F4D78"/>
                <w:sz w:val="15"/>
              </w:rPr>
              <w:t>Difference</w:t>
            </w:r>
          </w:p>
        </w:tc>
        <w:tc>
          <w:tcPr>
            <w:tcW w:type="dxa" w:w="1784"/>
            <w:shd w:fill="FFFFFF"/>
            <w:tcMar>
              <w:top w:w="80" w:type="dxa"/>
              <w:start w:w="120" w:type="dxa"/>
              <w:bottom w:w="80" w:type="dxa"/>
              <w:end w:w="120" w:type="dxa"/>
            </w:tcMar>
            <w:vAlign w:val="center"/>
          </w:tcPr>
          <w:p>
            <w:pPr>
              <w:jc w:val="center"/>
            </w:pPr>
            <w:r>
              <w:rPr>
                <w:rFonts w:ascii="Calibri" w:hAnsi="Calibri" w:eastAsia="Calibri"/>
                <w:b/>
                <w:color w:val="1F4D78"/>
                <w:sz w:val="15"/>
              </w:rPr>
              <w:t>Interpretation</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0.0478</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0.0479</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0.0125</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0.0125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0.0235</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0.0235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0.0363</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0.0364</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-0.0014</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-0.0015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-0.0001</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0.0151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0.0151</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-0.2491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-0.2490</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0.0001</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-0.2097</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-0.2097</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-0.2301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-0.2301</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-0.1091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-0.1093</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-0.0003</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-0.0756</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-0.0756</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-0.0792</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-0.0795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-0.0003</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bl>
    <w:p/>
    <w:p>
      <w:pPr>
        <w:pStyle w:val="Heading2"/>
      </w:pPr>
      <w:r>
        <w:t>Table S6. Segmented-model specification sensitivity</w:t>
      </w:r>
    </w:p>
    <w:tbl>
      <w:tblPr>
        <w:tblStyle w:val="TableGrid"/>
        <w:tblW w:type="dxa" w:w="9360"/>
        <w:jc w:val="left"/>
        <w:tblLook w:firstColumn="1" w:firstRow="1" w:lastColumn="0" w:lastRow="0" w:noHBand="0" w:noVBand="1" w:val="04A0"/>
        <w:tblInd w:w="120" w:type="dxa"/>
        <w:tblLayout w:type="fixed"/>
      </w:tblPr>
      <w:tblGrid>
        <w:gridCol w:w="1150"/>
        <w:gridCol w:w="1025"/>
        <w:gridCol w:w="1096"/>
        <w:gridCol w:w="1292"/>
        <w:gridCol w:w="1061"/>
        <w:gridCol w:w="1274"/>
        <w:gridCol w:w="1238"/>
        <w:gridCol w:w="1224"/>
      </w:tblGrid>
      <w:tr>
        <w:trPr>
          <w:tblHeader w:val="true"/>
        </w:trPr>
        <w:tc>
          <w:tcPr>
            <w:tcW w:type="dxa" w:w="1150"/>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25"/>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96"/>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92"/>
            <w:shd w:fill="FFFFFF"/>
            <w:tcMar>
              <w:top w:w="80" w:type="dxa"/>
              <w:start w:w="120" w:type="dxa"/>
              <w:bottom w:w="80" w:type="dxa"/>
              <w:end w:w="120" w:type="dxa"/>
            </w:tcMar>
            <w:vAlign w:val="center"/>
          </w:tcPr>
          <w:p>
            <w:pPr>
              <w:jc w:val="center"/>
            </w:pPr>
            <w:r>
              <w:rPr>
                <w:rFonts w:ascii="Calibri" w:hAnsi="Calibri" w:eastAsia="Calibri"/>
                <w:b/>
                <w:color w:val="1F4D78"/>
                <w:sz w:val="14"/>
              </w:rPr>
              <w:t>Specification</w:t>
            </w:r>
          </w:p>
        </w:tc>
        <w:tc>
          <w:tcPr>
            <w:tcW w:type="dxa" w:w="1061"/>
            <w:shd w:fill="FFFFFF"/>
            <w:tcMar>
              <w:top w:w="80" w:type="dxa"/>
              <w:start w:w="120" w:type="dxa"/>
              <w:bottom w:w="80" w:type="dxa"/>
              <w:end w:w="120" w:type="dxa"/>
            </w:tcMar>
            <w:vAlign w:val="center"/>
          </w:tcPr>
          <w:p>
            <w:pPr>
              <w:jc w:val="center"/>
            </w:pPr>
            <w:r>
              <w:rPr>
                <w:rFonts w:ascii="Calibri" w:hAnsi="Calibri" w:eastAsia="Calibri"/>
                <w:b/>
                <w:color w:val="1F4D78"/>
                <w:sz w:val="14"/>
              </w:rPr>
              <w:t>Scale</w:t>
            </w:r>
          </w:p>
        </w:tc>
        <w:tc>
          <w:tcPr>
            <w:tcW w:type="dxa" w:w="1274"/>
            <w:shd w:fill="FFFFFF"/>
            <w:tcMar>
              <w:top w:w="80" w:type="dxa"/>
              <w:start w:w="120" w:type="dxa"/>
              <w:bottom w:w="80" w:type="dxa"/>
              <w:end w:w="120" w:type="dxa"/>
            </w:tcMar>
            <w:vAlign w:val="center"/>
          </w:tcPr>
          <w:p>
            <w:pPr>
              <w:jc w:val="center"/>
            </w:pPr>
            <w:r>
              <w:rPr>
                <w:rFonts w:ascii="Calibri" w:hAnsi="Calibri" w:eastAsia="Calibri"/>
                <w:b/>
                <w:color w:val="1F4D78"/>
                <w:sz w:val="14"/>
              </w:rPr>
              <w:t>Annualized change, %</w:t>
            </w:r>
          </w:p>
        </w:tc>
        <w:tc>
          <w:tcPr>
            <w:tcW w:type="dxa" w:w="1238"/>
            <w:shd w:fill="FFFFFF"/>
            <w:tcMar>
              <w:top w:w="80" w:type="dxa"/>
              <w:start w:w="120" w:type="dxa"/>
              <w:bottom w:w="80" w:type="dxa"/>
              <w:end w:w="120" w:type="dxa"/>
            </w:tcMar>
            <w:vAlign w:val="center"/>
          </w:tcPr>
          <w:p>
            <w:pPr>
              <w:jc w:val="center"/>
            </w:pPr>
            <w:r>
              <w:rPr>
                <w:rFonts w:ascii="Calibri" w:hAnsi="Calibri" w:eastAsia="Calibri"/>
                <w:b/>
                <w:color w:val="1F4D78"/>
                <w:sz w:val="14"/>
              </w:rPr>
              <w:t>Direction</w:t>
            </w:r>
          </w:p>
        </w:tc>
        <w:tc>
          <w:tcPr>
            <w:tcW w:type="dxa" w:w="1224"/>
            <w:shd w:fill="FFFFFF"/>
            <w:tcMar>
              <w:top w:w="80" w:type="dxa"/>
              <w:start w:w="120" w:type="dxa"/>
              <w:bottom w:w="80" w:type="dxa"/>
              <w:end w:w="120" w:type="dxa"/>
            </w:tcMar>
            <w:vAlign w:val="center"/>
          </w:tcPr>
          <w:p>
            <w:pPr>
              <w:jc w:val="center"/>
            </w:pPr>
            <w:r>
              <w:rPr>
                <w:rFonts w:ascii="Calibri" w:hAnsi="Calibri" w:eastAsia="Calibri"/>
                <w:b/>
                <w:color w:val="1F4D78"/>
                <w:sz w:val="14"/>
              </w:rPr>
              <w:t>Stable vs primary</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0.048</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prepandemic_1990_2019</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0.056</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0.012</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0.024</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0.036</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-0.001</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0.015</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-0.249</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-0.210</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-0.230</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-0.109</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-0.076</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-0.079</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The table shows each primary fit and every direction-unstable sensitivity. The complete specification grid is supplied in the machine-readable tables. Specifications varied breakpoint count, minimum segment length, calendar window, and model scale. Stability refers to the sign of the fitted endpoint trajectory, not inferential equivalence.</w:t>
      </w:r>
    </w:p>
    <w:p>
      <w:pPr>
        <w:pStyle w:val="Heading2"/>
      </w:pPr>
      <w:r>
        <w:t>Table S7. Alternative-window decomposition</w:t>
      </w:r>
    </w:p>
    <w:tbl>
      <w:tblPr>
        <w:tblStyle w:val="TableGrid"/>
        <w:tblW w:type="dxa" w:w="9360"/>
        <w:jc w:val="left"/>
        <w:tblLook w:firstColumn="1" w:firstRow="1" w:lastColumn="0" w:lastRow="0" w:noHBand="0" w:noVBand="1" w:val="04A0"/>
        <w:tblInd w:w="120" w:type="dxa"/>
        <w:tblLayout w:type="fixed"/>
      </w:tblPr>
      <w:tblGrid>
        <w:gridCol w:w="922"/>
        <w:gridCol w:w="865"/>
        <w:gridCol w:w="911"/>
        <w:gridCol w:w="888"/>
        <w:gridCol w:w="865"/>
        <w:gridCol w:w="1024"/>
        <w:gridCol w:w="1001"/>
        <w:gridCol w:w="1047"/>
        <w:gridCol w:w="911"/>
        <w:gridCol w:w="926"/>
      </w:tblGrid>
      <w:tr>
        <w:trPr>
          <w:tblHeader w:val="true"/>
        </w:trPr>
        <w:tc>
          <w:tcPr>
            <w:tcW w:type="dxa" w:w="922"/>
            <w:shd w:fill="FFFFFF"/>
            <w:tcMar>
              <w:top w:w="80" w:type="dxa"/>
              <w:start w:w="120" w:type="dxa"/>
              <w:bottom w:w="80" w:type="dxa"/>
              <w:end w:w="120" w:type="dxa"/>
            </w:tcMar>
            <w:vAlign w:val="center"/>
          </w:tcPr>
          <w:p>
            <w:pPr>
              <w:jc w:val="center"/>
            </w:pPr>
            <w:r>
              <w:rPr>
                <w:rFonts w:ascii="Calibri" w:hAnsi="Calibri" w:eastAsia="Calibri"/>
                <w:b/>
                <w:color w:val="1F4D78"/>
                <w:sz w:val="14"/>
              </w:rPr>
              <w:t>Location Name</w:t>
            </w:r>
          </w:p>
        </w:tc>
        <w:tc>
          <w:tcPr>
            <w:tcW w:type="dxa" w:w="865"/>
            <w:shd w:fill="FFFFFF"/>
            <w:tcMar>
              <w:top w:w="80" w:type="dxa"/>
              <w:start w:w="120" w:type="dxa"/>
              <w:bottom w:w="80" w:type="dxa"/>
              <w:end w:w="120" w:type="dxa"/>
            </w:tcMar>
            <w:vAlign w:val="center"/>
          </w:tcPr>
          <w:p>
            <w:pPr>
              <w:jc w:val="center"/>
            </w:pPr>
            <w:r>
              <w:rPr>
                <w:rFonts w:ascii="Calibri" w:hAnsi="Calibri" w:eastAsia="Calibri"/>
                <w:b/>
                <w:color w:val="1F4D78"/>
                <w:sz w:val="14"/>
              </w:rPr>
              <w:t>Sex Name</w:t>
            </w:r>
          </w:p>
        </w:tc>
        <w:tc>
          <w:tcPr>
            <w:tcW w:type="dxa" w:w="911"/>
            <w:shd w:fill="FFFFFF"/>
            <w:tcMar>
              <w:top w:w="80" w:type="dxa"/>
              <w:start w:w="120" w:type="dxa"/>
              <w:bottom w:w="80" w:type="dxa"/>
              <w:end w:w="120" w:type="dxa"/>
            </w:tcMar>
            <w:vAlign w:val="center"/>
          </w:tcPr>
          <w:p>
            <w:pPr>
              <w:jc w:val="center"/>
            </w:pPr>
            <w:r>
              <w:rPr>
                <w:rFonts w:ascii="Calibri" w:hAnsi="Calibri" w:eastAsia="Calibri"/>
                <w:b/>
                <w:color w:val="1F4D78"/>
                <w:sz w:val="14"/>
              </w:rPr>
              <w:t>Measure Name</w:t>
            </w:r>
          </w:p>
        </w:tc>
        <w:tc>
          <w:tcPr>
            <w:tcW w:type="dxa" w:w="888"/>
            <w:shd w:fill="FFFFFF"/>
            <w:tcMar>
              <w:top w:w="80" w:type="dxa"/>
              <w:start w:w="120" w:type="dxa"/>
              <w:bottom w:w="80" w:type="dxa"/>
              <w:end w:w="120" w:type="dxa"/>
            </w:tcMar>
            <w:vAlign w:val="center"/>
          </w:tcPr>
          <w:p>
            <w:pPr>
              <w:jc w:val="center"/>
            </w:pPr>
            <w:r>
              <w:rPr>
                <w:rFonts w:ascii="Calibri" w:hAnsi="Calibri" w:eastAsia="Calibri"/>
                <w:b/>
                <w:color w:val="1F4D78"/>
                <w:sz w:val="14"/>
              </w:rPr>
              <w:t>Start Year</w:t>
            </w:r>
          </w:p>
        </w:tc>
        <w:tc>
          <w:tcPr>
            <w:tcW w:type="dxa" w:w="865"/>
            <w:shd w:fill="FFFFFF"/>
            <w:tcMar>
              <w:top w:w="80" w:type="dxa"/>
              <w:start w:w="120" w:type="dxa"/>
              <w:bottom w:w="80" w:type="dxa"/>
              <w:end w:w="120" w:type="dxa"/>
            </w:tcMar>
            <w:vAlign w:val="center"/>
          </w:tcPr>
          <w:p>
            <w:pPr>
              <w:jc w:val="center"/>
            </w:pPr>
            <w:r>
              <w:rPr>
                <w:rFonts w:ascii="Calibri" w:hAnsi="Calibri" w:eastAsia="Calibri"/>
                <w:b/>
                <w:color w:val="1F4D78"/>
                <w:sz w:val="14"/>
              </w:rPr>
              <w:t>End Year</w:t>
            </w:r>
          </w:p>
        </w:tc>
        <w:tc>
          <w:tcPr>
            <w:tcW w:type="dxa" w:w="1024"/>
            <w:shd w:fill="FFFFFF"/>
            <w:tcMar>
              <w:top w:w="80" w:type="dxa"/>
              <w:start w:w="120" w:type="dxa"/>
              <w:bottom w:w="80" w:type="dxa"/>
              <w:end w:w="120" w:type="dxa"/>
            </w:tcMar>
            <w:vAlign w:val="center"/>
          </w:tcPr>
          <w:p>
            <w:pPr>
              <w:jc w:val="center"/>
            </w:pPr>
            <w:r>
              <w:rPr>
                <w:rFonts w:ascii="Calibri" w:hAnsi="Calibri" w:eastAsia="Calibri"/>
                <w:b/>
                <w:color w:val="1F4D78"/>
                <w:sz w:val="14"/>
              </w:rPr>
              <w:t>Population Size Change</w:t>
            </w:r>
          </w:p>
        </w:tc>
        <w:tc>
          <w:tcPr>
            <w:tcW w:type="dxa" w:w="1001"/>
            <w:shd w:fill="FFFFFF"/>
            <w:tcMar>
              <w:top w:w="80" w:type="dxa"/>
              <w:start w:w="120" w:type="dxa"/>
              <w:bottom w:w="80" w:type="dxa"/>
              <w:end w:w="120" w:type="dxa"/>
            </w:tcMar>
            <w:vAlign w:val="center"/>
          </w:tcPr>
          <w:p>
            <w:pPr>
              <w:jc w:val="center"/>
            </w:pPr>
            <w:r>
              <w:rPr>
                <w:rFonts w:ascii="Calibri" w:hAnsi="Calibri" w:eastAsia="Calibri"/>
                <w:b/>
                <w:color w:val="1F4D78"/>
                <w:sz w:val="14"/>
              </w:rPr>
              <w:t>Age Structure Change</w:t>
            </w:r>
          </w:p>
        </w:tc>
        <w:tc>
          <w:tcPr>
            <w:tcW w:type="dxa" w:w="1047"/>
            <w:shd w:fill="FFFFFF"/>
            <w:tcMar>
              <w:top w:w="80" w:type="dxa"/>
              <w:start w:w="120" w:type="dxa"/>
              <w:bottom w:w="80" w:type="dxa"/>
              <w:end w:w="120" w:type="dxa"/>
            </w:tcMar>
            <w:vAlign w:val="center"/>
          </w:tcPr>
          <w:p>
            <w:pPr>
              <w:jc w:val="center"/>
            </w:pPr>
            <w:r>
              <w:rPr>
                <w:rFonts w:ascii="Calibri" w:hAnsi="Calibri" w:eastAsia="Calibri"/>
                <w:b/>
                <w:color w:val="1F4D78"/>
                <w:sz w:val="14"/>
              </w:rPr>
              <w:t>Age Specific Rate Change</w:t>
            </w:r>
          </w:p>
        </w:tc>
        <w:tc>
          <w:tcPr>
            <w:tcW w:type="dxa" w:w="911"/>
            <w:shd w:fill="FFFFFF"/>
            <w:tcMar>
              <w:top w:w="80" w:type="dxa"/>
              <w:start w:w="120" w:type="dxa"/>
              <w:bottom w:w="80" w:type="dxa"/>
              <w:end w:w="120" w:type="dxa"/>
            </w:tcMar>
            <w:vAlign w:val="center"/>
          </w:tcPr>
          <w:p>
            <w:pPr>
              <w:jc w:val="center"/>
            </w:pPr>
            <w:r>
              <w:rPr>
                <w:rFonts w:ascii="Calibri" w:hAnsi="Calibri" w:eastAsia="Calibri"/>
                <w:b/>
                <w:color w:val="1F4D78"/>
                <w:sz w:val="14"/>
              </w:rPr>
              <w:t>Total Change</w:t>
            </w:r>
          </w:p>
        </w:tc>
        <w:tc>
          <w:tcPr>
            <w:tcW w:type="dxa" w:w="926"/>
            <w:shd w:fill="FFFFFF"/>
            <w:tcMar>
              <w:top w:w="80" w:type="dxa"/>
              <w:start w:w="120" w:type="dxa"/>
              <w:bottom w:w="80" w:type="dxa"/>
              <w:end w:w="120" w:type="dxa"/>
            </w:tcMar>
            <w:vAlign w:val="center"/>
          </w:tcPr>
          <w:p>
            <w:pPr>
              <w:jc w:val="center"/>
            </w:pPr>
            <w:r>
              <w:rPr>
                <w:rFonts w:ascii="Calibri" w:hAnsi="Calibri" w:eastAsia="Calibri"/>
                <w:b/>
                <w:color w:val="1F4D78"/>
                <w:sz w:val="14"/>
              </w:rPr>
              <w:t>Closure Error</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17,358.8</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-9,650.2</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-3.7</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7,704.9</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8,895.5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-16,866.3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-110.4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-8,081.2</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291,427.4</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283,799.6</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10,333.5</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585,560.5</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153,069.7</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67,775.2</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5,097.4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225,942.3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184,656.0</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155,271.7</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7,455.6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347,383.3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96,831.1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23,432.8</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2,917.4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123,181.2</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20,596.5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-8,163.3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-553.5</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11,879.8</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11,915.5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-16,384.7</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-1,158.9</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-5,628.1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318,037.1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287,372.6</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8,890.7</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614,300.4</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188,049.9</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57,686.0</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-5,392.6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240,343.3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204,477.1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158,623.5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6,324.4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369,425.0</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120,543.1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18,400.9</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-291.4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138,652.6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5,783.5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-965.3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-1,445.6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3,372.6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2,711.4</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-1,327.8</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-1,562.5</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-179.0</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121,680.3</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8,687.5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-43,295.1</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87,072.6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56,873.8</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3,956.9</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-42,752.6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18,078.1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74,486.1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2,240.5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-31,456.2</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45,270.4</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34,814.8</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324.6</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-32,543.0</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2,596.4</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7,451.1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-1,670.8</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-966.9</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4,813.5</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3,657.4</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-1,589.3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-1,153.8</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914.2</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137,354.5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4,644.0</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-20,273.4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121,725.1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67,541.2</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3,705.1</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-21,337.8</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49,908.6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86,425.5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-1,070.3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-17,106.1</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68,249.1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42,393.9</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102.5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-17,570.1</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24,926.3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bl>
    <w:p/>
    <w:p>
      <w:pPr>
        <w:pStyle w:val="Heading2"/>
      </w:pPr>
      <w:r>
        <w:t>Table S8. Decomposition path sensitivity</w:t>
      </w:r>
    </w:p>
    <w:tbl>
      <w:tblPr>
        <w:tblStyle w:val="TableGrid"/>
        <w:tblW w:type="dxa" w:w="9360"/>
        <w:jc w:val="left"/>
        <w:tblLook w:firstColumn="1" w:firstRow="1" w:lastColumn="0" w:lastRow="0" w:noHBand="0" w:noVBand="1" w:val="04A0"/>
        <w:tblInd w:w="120" w:type="dxa"/>
        <w:tblLayout w:type="fixed"/>
      </w:tblPr>
      <w:tblGrid>
        <w:gridCol w:w="1644"/>
        <w:gridCol w:w="1422"/>
        <w:gridCol w:w="1549"/>
        <w:gridCol w:w="2182"/>
        <w:gridCol w:w="2563"/>
      </w:tblGrid>
      <w:tr>
        <w:trPr>
          <w:tblHeader w:val="true"/>
        </w:trPr>
        <w:tc>
          <w:tcPr>
            <w:tcW w:type="dxa" w:w="164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422"/>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549"/>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2182"/>
            <w:shd w:fill="FFFFFF"/>
            <w:tcMar>
              <w:top w:w="80" w:type="dxa"/>
              <w:start w:w="120" w:type="dxa"/>
              <w:bottom w:w="80" w:type="dxa"/>
              <w:end w:w="120" w:type="dxa"/>
            </w:tcMar>
            <w:vAlign w:val="center"/>
          </w:tcPr>
          <w:p>
            <w:pPr>
              <w:jc w:val="center"/>
            </w:pPr>
            <w:r>
              <w:rPr>
                <w:rFonts w:ascii="Calibri" w:hAnsi="Calibri" w:eastAsia="Calibri"/>
                <w:b/>
                <w:color w:val="1F4D78"/>
                <w:sz w:val="14"/>
              </w:rPr>
              <w:t>Maximum path shift, % of total</w:t>
            </w:r>
          </w:p>
        </w:tc>
        <w:tc>
          <w:tcPr>
            <w:tcW w:type="dxa" w:w="2563"/>
            <w:shd w:fill="FFFFFF"/>
            <w:tcMar>
              <w:top w:w="80" w:type="dxa"/>
              <w:start w:w="120" w:type="dxa"/>
              <w:bottom w:w="80" w:type="dxa"/>
              <w:end w:w="120" w:type="dxa"/>
            </w:tcMar>
            <w:vAlign w:val="center"/>
          </w:tcPr>
          <w:p>
            <w:pPr>
              <w:jc w:val="center"/>
            </w:pPr>
            <w:r>
              <w:rPr>
                <w:rFonts w:ascii="Calibri" w:hAnsi="Calibri" w:eastAsia="Calibri"/>
                <w:b/>
                <w:color w:val="1F4D78"/>
                <w:sz w:val="14"/>
              </w:rPr>
              <w:t>Interpretation</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7.92</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1.56</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1.93</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7.10</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1.60</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1.82</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1.90</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1.65</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2.81</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0.87</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1.07</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1.67</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bl>
    <w:p/>
    <w:p>
      <w:r>
        <w:t>Endpoint Shapley attribution was compared with annual- and five-year-chained attribution. The maximum component allocation shift was 7.92% of total change. This quantifies accounting-path sensitivity and is not statistical uncertainty.</w:t>
      </w:r>
    </w:p>
    <w:p>
      <w:pPr>
        <w:pStyle w:val="Heading2"/>
      </w:pPr>
      <w:r>
        <w:t>Table S9. Age-bin decomposition sensitivity</w:t>
      </w:r>
    </w:p>
    <w:tbl>
      <w:tblPr>
        <w:tblStyle w:val="TableGrid"/>
        <w:tblW w:type="dxa" w:w="9360"/>
        <w:jc w:val="left"/>
        <w:tblLook w:firstColumn="1" w:firstRow="1" w:lastColumn="0" w:lastRow="0" w:noHBand="0" w:noVBand="1" w:val="04A0"/>
        <w:tblInd w:w="120" w:type="dxa"/>
        <w:tblLayout w:type="fixed"/>
      </w:tblPr>
      <w:tblGrid>
        <w:gridCol w:w="964"/>
        <w:gridCol w:w="877"/>
        <w:gridCol w:w="927"/>
        <w:gridCol w:w="939"/>
        <w:gridCol w:w="977"/>
        <w:gridCol w:w="1328"/>
        <w:gridCol w:w="1328"/>
        <w:gridCol w:w="1115"/>
        <w:gridCol w:w="905"/>
      </w:tblGrid>
      <w:tr>
        <w:trPr>
          <w:tblHeader w:val="true"/>
        </w:trPr>
        <w:tc>
          <w:tcPr>
            <w:tcW w:type="dxa" w:w="96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877"/>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927"/>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939"/>
            <w:shd w:fill="FFFFFF"/>
            <w:tcMar>
              <w:top w:w="80" w:type="dxa"/>
              <w:start w:w="120" w:type="dxa"/>
              <w:bottom w:w="80" w:type="dxa"/>
              <w:end w:w="120" w:type="dxa"/>
            </w:tcMar>
            <w:vAlign w:val="center"/>
          </w:tcPr>
          <w:p>
            <w:pPr>
              <w:jc w:val="center"/>
            </w:pPr>
            <w:r>
              <w:rPr>
                <w:rFonts w:ascii="Calibri" w:hAnsi="Calibri" w:eastAsia="Calibri"/>
                <w:b/>
                <w:color w:val="1F4D78"/>
                <w:sz w:val="14"/>
              </w:rPr>
              <w:t>Finest bins</w:t>
            </w:r>
          </w:p>
        </w:tc>
        <w:tc>
          <w:tcPr>
            <w:tcW w:type="dxa" w:w="977"/>
            <w:shd w:fill="FFFFFF"/>
            <w:tcMar>
              <w:top w:w="80" w:type="dxa"/>
              <w:start w:w="120" w:type="dxa"/>
              <w:bottom w:w="80" w:type="dxa"/>
              <w:end w:w="120" w:type="dxa"/>
            </w:tcMar>
            <w:vAlign w:val="center"/>
          </w:tcPr>
          <w:p>
            <w:pPr>
              <w:jc w:val="center"/>
            </w:pPr>
            <w:r>
              <w:rPr>
                <w:rFonts w:ascii="Calibri" w:hAnsi="Calibri" w:eastAsia="Calibri"/>
                <w:b/>
                <w:color w:val="1F4D78"/>
                <w:sz w:val="14"/>
              </w:rPr>
              <w:t>Collapsed bins</w:t>
            </w:r>
          </w:p>
        </w:tc>
        <w:tc>
          <w:tcPr>
            <w:tcW w:type="dxa" w:w="1328"/>
            <w:shd w:fill="FFFFFF"/>
            <w:tcMar>
              <w:top w:w="80" w:type="dxa"/>
              <w:start w:w="120" w:type="dxa"/>
              <w:bottom w:w="80" w:type="dxa"/>
              <w:end w:w="120" w:type="dxa"/>
            </w:tcMar>
            <w:vAlign w:val="center"/>
          </w:tcPr>
          <w:p>
            <w:pPr>
              <w:jc w:val="center"/>
            </w:pPr>
            <w:r>
              <w:rPr>
                <w:rFonts w:ascii="Calibri" w:hAnsi="Calibri" w:eastAsia="Calibri"/>
                <w:b/>
                <w:color w:val="1F4D78"/>
                <w:sz w:val="14"/>
              </w:rPr>
              <w:t>Finest rank</w:t>
            </w:r>
          </w:p>
        </w:tc>
        <w:tc>
          <w:tcPr>
            <w:tcW w:type="dxa" w:w="1328"/>
            <w:shd w:fill="FFFFFF"/>
            <w:tcMar>
              <w:top w:w="80" w:type="dxa"/>
              <w:start w:w="120" w:type="dxa"/>
              <w:bottom w:w="80" w:type="dxa"/>
              <w:end w:w="120" w:type="dxa"/>
            </w:tcMar>
            <w:vAlign w:val="center"/>
          </w:tcPr>
          <w:p>
            <w:pPr>
              <w:jc w:val="center"/>
            </w:pPr>
            <w:r>
              <w:rPr>
                <w:rFonts w:ascii="Calibri" w:hAnsi="Calibri" w:eastAsia="Calibri"/>
                <w:b/>
                <w:color w:val="1F4D78"/>
                <w:sz w:val="14"/>
              </w:rPr>
              <w:t>Collapsed rank</w:t>
            </w:r>
          </w:p>
        </w:tc>
        <w:tc>
          <w:tcPr>
            <w:tcW w:type="dxa" w:w="1115"/>
            <w:shd w:fill="FFFFFF"/>
            <w:tcMar>
              <w:top w:w="80" w:type="dxa"/>
              <w:start w:w="120" w:type="dxa"/>
              <w:bottom w:w="80" w:type="dxa"/>
              <w:end w:w="120" w:type="dxa"/>
            </w:tcMar>
            <w:vAlign w:val="center"/>
          </w:tcPr>
          <w:p>
            <w:pPr>
              <w:jc w:val="center"/>
            </w:pPr>
            <w:r>
              <w:rPr>
                <w:rFonts w:ascii="Calibri" w:hAnsi="Calibri" w:eastAsia="Calibri"/>
                <w:b/>
                <w:color w:val="1F4D78"/>
                <w:sz w:val="14"/>
              </w:rPr>
              <w:t>Maximum shift, % of total</w:t>
            </w:r>
          </w:p>
        </w:tc>
        <w:tc>
          <w:tcPr>
            <w:tcW w:type="dxa" w:w="905"/>
            <w:shd w:fill="FFFFFF"/>
            <w:tcMar>
              <w:top w:w="80" w:type="dxa"/>
              <w:start w:w="120" w:type="dxa"/>
              <w:bottom w:w="80" w:type="dxa"/>
              <w:end w:w="120" w:type="dxa"/>
            </w:tcMar>
            <w:vAlign w:val="center"/>
          </w:tcPr>
          <w:p>
            <w:pPr>
              <w:jc w:val="center"/>
            </w:pPr>
            <w:r>
              <w:rPr>
                <w:rFonts w:ascii="Calibri" w:hAnsi="Calibri" w:eastAsia="Calibri"/>
                <w:b/>
                <w:color w:val="1F4D78"/>
                <w:sz w:val="14"/>
              </w:rPr>
              <w:t>Material</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4.6</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50.0</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4.9</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4.1</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49.0</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4.4</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1.3</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17.6</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0.8</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3.3</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5.6</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2.7</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bl>
    <w:p/>
    <w:p>
      <w:r>
        <w:t>A result was flagged when a component changed sign, component magnitude ranking changed, or a component shifted by at least 10% of total change. The comparison is an aggregation sensitivity, not an uncertainty interval.</w:t>
      </w:r>
    </w:p>
    <w:p>
      <w:pPr>
        <w:pStyle w:val="Heading2"/>
      </w:pPr>
      <w:r>
        <w:t>Table S10. Incidence decomposition restricted to supported ages</w:t>
      </w:r>
    </w:p>
    <w:tbl>
      <w:tblPr>
        <w:tblStyle w:val="TableGrid"/>
        <w:tblW w:type="dxa" w:w="9360"/>
        <w:jc w:val="left"/>
        <w:tblLook w:firstColumn="1" w:firstRow="1" w:lastColumn="0" w:lastRow="0" w:noHBand="0" w:noVBand="1" w:val="04A0"/>
        <w:tblInd w:w="120" w:type="dxa"/>
        <w:tblLayout w:type="fixed"/>
      </w:tblPr>
      <w:tblGrid>
        <w:gridCol w:w="1069"/>
        <w:gridCol w:w="960"/>
        <w:gridCol w:w="945"/>
        <w:gridCol w:w="929"/>
        <w:gridCol w:w="1100"/>
        <w:gridCol w:w="1100"/>
        <w:gridCol w:w="1069"/>
        <w:gridCol w:w="1131"/>
        <w:gridCol w:w="1057"/>
      </w:tblGrid>
      <w:tr>
        <w:trPr>
          <w:tblHeader w:val="true"/>
        </w:trPr>
        <w:tc>
          <w:tcPr>
            <w:tcW w:type="dxa" w:w="1069"/>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960"/>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945"/>
            <w:shd w:fill="FFFFFF"/>
            <w:tcMar>
              <w:top w:w="80" w:type="dxa"/>
              <w:start w:w="120" w:type="dxa"/>
              <w:bottom w:w="80" w:type="dxa"/>
              <w:end w:w="120" w:type="dxa"/>
            </w:tcMar>
            <w:vAlign w:val="center"/>
          </w:tcPr>
          <w:p>
            <w:pPr>
              <w:jc w:val="center"/>
            </w:pPr>
            <w:r>
              <w:rPr>
                <w:rFonts w:ascii="Calibri" w:hAnsi="Calibri" w:eastAsia="Calibri"/>
                <w:b/>
                <w:color w:val="1F4D78"/>
                <w:sz w:val="14"/>
              </w:rPr>
              <w:t>Start</w:t>
            </w:r>
          </w:p>
        </w:tc>
        <w:tc>
          <w:tcPr>
            <w:tcW w:type="dxa" w:w="929"/>
            <w:shd w:fill="FFFFFF"/>
            <w:tcMar>
              <w:top w:w="80" w:type="dxa"/>
              <w:start w:w="120" w:type="dxa"/>
              <w:bottom w:w="80" w:type="dxa"/>
              <w:end w:w="120" w:type="dxa"/>
            </w:tcMar>
            <w:vAlign w:val="center"/>
          </w:tcPr>
          <w:p>
            <w:pPr>
              <w:jc w:val="center"/>
            </w:pPr>
            <w:r>
              <w:rPr>
                <w:rFonts w:ascii="Calibri" w:hAnsi="Calibri" w:eastAsia="Calibri"/>
                <w:b/>
                <w:color w:val="1F4D78"/>
                <w:sz w:val="14"/>
              </w:rPr>
              <w:t>End</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Age scope</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Population size</w:t>
            </w:r>
          </w:p>
        </w:tc>
        <w:tc>
          <w:tcPr>
            <w:tcW w:type="dxa" w:w="1069"/>
            <w:shd w:fill="FFFFFF"/>
            <w:tcMar>
              <w:top w:w="80" w:type="dxa"/>
              <w:start w:w="120" w:type="dxa"/>
              <w:bottom w:w="80" w:type="dxa"/>
              <w:end w:w="120" w:type="dxa"/>
            </w:tcMar>
            <w:vAlign w:val="center"/>
          </w:tcPr>
          <w:p>
            <w:pPr>
              <w:jc w:val="center"/>
            </w:pPr>
            <w:r>
              <w:rPr>
                <w:rFonts w:ascii="Calibri" w:hAnsi="Calibri" w:eastAsia="Calibri"/>
                <w:b/>
                <w:color w:val="1F4D78"/>
                <w:sz w:val="14"/>
              </w:rPr>
              <w:t>Age structure</w:t>
            </w:r>
          </w:p>
        </w:tc>
        <w:tc>
          <w:tcPr>
            <w:tcW w:type="dxa" w:w="1131"/>
            <w:shd w:fill="FFFFFF"/>
            <w:tcMar>
              <w:top w:w="80" w:type="dxa"/>
              <w:start w:w="120" w:type="dxa"/>
              <w:bottom w:w="80" w:type="dxa"/>
              <w:end w:w="120" w:type="dxa"/>
            </w:tcMar>
            <w:vAlign w:val="center"/>
          </w:tcPr>
          <w:p>
            <w:pPr>
              <w:jc w:val="center"/>
            </w:pPr>
            <w:r>
              <w:rPr>
                <w:rFonts w:ascii="Calibri" w:hAnsi="Calibri" w:eastAsia="Calibri"/>
                <w:b/>
                <w:color w:val="1F4D78"/>
                <w:sz w:val="14"/>
              </w:rPr>
              <w:t>Age-specific rate</w:t>
            </w:r>
          </w:p>
        </w:tc>
        <w:tc>
          <w:tcPr>
            <w:tcW w:type="dxa" w:w="1057"/>
            <w:shd w:fill="FFFFFF"/>
            <w:tcMar>
              <w:top w:w="80" w:type="dxa"/>
              <w:start w:w="120" w:type="dxa"/>
              <w:bottom w:w="80" w:type="dxa"/>
              <w:end w:w="120" w:type="dxa"/>
            </w:tcMar>
            <w:vAlign w:val="center"/>
          </w:tcPr>
          <w:p>
            <w:pPr>
              <w:jc w:val="center"/>
            </w:pPr>
            <w:r>
              <w:rPr>
                <w:rFonts w:ascii="Calibri" w:hAnsi="Calibri" w:eastAsia="Calibri"/>
                <w:b/>
                <w:color w:val="1F4D78"/>
                <w:sz w:val="14"/>
              </w:rPr>
              <w:t>Total change</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31,731.2</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-15,615.6</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707.1</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16,822.8</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40,053.2</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-18,357.1</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-93.2</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21,602.8</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9,872.1</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-3,803.0</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-1,874.1</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4,195.0</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12,663.8</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-5,014.5</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-1,120.2</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6,529.1</w:t>
            </w:r>
          </w:p>
        </w:tc>
      </w:tr>
    </w:tbl>
    <w:p/>
    <w:p>
      <w:r>
        <w:t>This 10-79-year sensitivity excludes the source-export incidence zeros at ages 0-9 and 80+. It preserved the sign of every incidence decomposition component in all four country-sex strata; its quantities are not all-age burden totals.</w:t>
      </w:r>
    </w:p>
    <w:p>
      <w:pPr>
        <w:pStyle w:val="Heading1"/>
      </w:pPr>
      <w:r>
        <w:t>Custom descriptive APC rate-surface analysis</w:t>
      </w:r>
    </w:p>
    <w:p>
      <w:r>
        <w:t>Incidence is the principal APC outcome specified in the amended protocol. Prevalence and DALYs are exploratory extensions. The custom weighted least-squares model summarizes grouped age-period rate surfaces using a global period slope, separately fitted age-specific slopes, and normalized nonlinear age, period, and cohort curvature rate ratios. These are not asserted to reproduce the conventional NCI APC estimable functions and are not interpreted as causal effects.</w:t>
      </w:r>
    </w:p>
    <w:p>
      <w:pPr>
        <w:pStyle w:val="Heading2"/>
      </w:pPr>
      <w:r>
        <w:t>Table S11. Custom APC global period slope</w:t>
      </w:r>
    </w:p>
    <w:tbl>
      <w:tblPr>
        <w:tblStyle w:val="TableGrid"/>
        <w:tblW w:type="dxa" w:w="9360"/>
        <w:jc w:val="left"/>
        <w:tblLook w:firstColumn="1" w:firstRow="1" w:lastColumn="0" w:lastRow="0" w:noHBand="0" w:noVBand="1" w:val="04A0"/>
        <w:tblInd w:w="120" w:type="dxa"/>
        <w:tblLayout w:type="fixed"/>
      </w:tblPr>
      <w:tblGrid>
        <w:gridCol w:w="1129"/>
        <w:gridCol w:w="1009"/>
        <w:gridCol w:w="1077"/>
        <w:gridCol w:w="1489"/>
        <w:gridCol w:w="1060"/>
        <w:gridCol w:w="1146"/>
        <w:gridCol w:w="1369"/>
        <w:gridCol w:w="1081"/>
      </w:tblGrid>
      <w:tr>
        <w:trPr>
          <w:tblHeader w:val="true"/>
        </w:trPr>
        <w:tc>
          <w:tcPr>
            <w:tcW w:type="dxa" w:w="1129"/>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09"/>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77"/>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489"/>
            <w:shd w:fill="FFFFFF"/>
            <w:tcMar>
              <w:top w:w="80" w:type="dxa"/>
              <w:start w:w="120" w:type="dxa"/>
              <w:bottom w:w="80" w:type="dxa"/>
              <w:end w:w="120" w:type="dxa"/>
            </w:tcMar>
            <w:vAlign w:val="center"/>
          </w:tcPr>
          <w:p>
            <w:pPr>
              <w:jc w:val="center"/>
            </w:pPr>
            <w:r>
              <w:rPr>
                <w:rFonts w:ascii="Calibri" w:hAnsi="Calibri" w:eastAsia="Calibri"/>
                <w:b/>
                <w:color w:val="1F4D78"/>
                <w:sz w:val="14"/>
              </w:rPr>
              <w:t>Role</w:t>
            </w:r>
          </w:p>
        </w:tc>
        <w:tc>
          <w:tcPr>
            <w:tcW w:type="dxa" w:w="1060"/>
            <w:shd w:fill="FFFFFF"/>
            <w:tcMar>
              <w:top w:w="80" w:type="dxa"/>
              <w:start w:w="120" w:type="dxa"/>
              <w:bottom w:w="80" w:type="dxa"/>
              <w:end w:w="120" w:type="dxa"/>
            </w:tcMar>
            <w:vAlign w:val="center"/>
          </w:tcPr>
          <w:p>
            <w:pPr>
              <w:jc w:val="center"/>
            </w:pPr>
            <w:r>
              <w:rPr>
                <w:rFonts w:ascii="Calibri" w:hAnsi="Calibri" w:eastAsia="Calibri"/>
                <w:b/>
                <w:color w:val="1F4D78"/>
                <w:sz w:val="14"/>
              </w:rPr>
              <w:t>Period</w:t>
            </w:r>
          </w:p>
        </w:tc>
        <w:tc>
          <w:tcPr>
            <w:tcW w:type="dxa" w:w="1146"/>
            <w:shd w:fill="FFFFFF"/>
            <w:tcMar>
              <w:top w:w="80" w:type="dxa"/>
              <w:start w:w="120" w:type="dxa"/>
              <w:bottom w:w="80" w:type="dxa"/>
              <w:end w:w="120" w:type="dxa"/>
            </w:tcMar>
            <w:vAlign w:val="center"/>
          </w:tcPr>
          <w:p>
            <w:pPr>
              <w:jc w:val="center"/>
            </w:pPr>
            <w:r>
              <w:rPr>
                <w:rFonts w:ascii="Calibri" w:hAnsi="Calibri" w:eastAsia="Calibri"/>
                <w:b/>
                <w:color w:val="1F4D78"/>
                <w:sz w:val="14"/>
              </w:rPr>
              <w:t>Age coverage</w:t>
            </w:r>
          </w:p>
        </w:tc>
        <w:tc>
          <w:tcPr>
            <w:tcW w:type="dxa" w:w="1369"/>
            <w:shd w:fill="FFFFFF"/>
            <w:tcMar>
              <w:top w:w="80" w:type="dxa"/>
              <w:start w:w="120" w:type="dxa"/>
              <w:bottom w:w="80" w:type="dxa"/>
              <w:end w:w="120" w:type="dxa"/>
            </w:tcMar>
            <w:vAlign w:val="center"/>
          </w:tcPr>
          <w:p>
            <w:pPr>
              <w:jc w:val="center"/>
            </w:pPr>
            <w:r>
              <w:rPr>
                <w:rFonts w:ascii="Calibri" w:hAnsi="Calibri" w:eastAsia="Calibri"/>
                <w:b/>
                <w:color w:val="1F4D78"/>
                <w:sz w:val="14"/>
              </w:rPr>
              <w:t>Global period slope, %/year</w:t>
            </w:r>
          </w:p>
        </w:tc>
        <w:tc>
          <w:tcPr>
            <w:tcW w:type="dxa" w:w="1081"/>
            <w:shd w:fill="FFFFFF"/>
            <w:tcMar>
              <w:top w:w="80" w:type="dxa"/>
              <w:start w:w="120" w:type="dxa"/>
              <w:bottom w:w="80" w:type="dxa"/>
              <w:end w:w="120" w:type="dxa"/>
            </w:tcMar>
            <w:vAlign w:val="center"/>
          </w:tcPr>
          <w:p>
            <w:pPr>
              <w:jc w:val="center"/>
            </w:pPr>
            <w:r>
              <w:rPr>
                <w:rFonts w:ascii="Calibri" w:hAnsi="Calibri" w:eastAsia="Calibri"/>
                <w:b/>
                <w:color w:val="1F4D78"/>
                <w:sz w:val="14"/>
              </w:rPr>
              <w:t>Weighting</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-0.0016</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-0.0172</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-0.0106</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-0.0002</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-0.0170</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0.0022</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-0.2907</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-0.0689</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-0.2801</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-0.1097</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0.0383</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-0.0893</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bl>
    <w:p/>
    <w:p>
      <w:r>
        <w:t>All slopes are descriptive point estimates. Values inside ±0.05% per year are described as practically stable; no confidence interval or equivalence test is reported.</w:t>
      </w:r>
    </w:p>
    <w:p>
      <w:pPr>
        <w:pStyle w:val="Heading2"/>
      </w:pPr>
      <w:r>
        <w:t>Table S12. Custom APC weighting sensitivity</w:t>
      </w:r>
    </w:p>
    <w:tbl>
      <w:tblPr>
        <w:tblStyle w:val="TableGrid"/>
        <w:tblW w:type="dxa" w:w="9360"/>
        <w:jc w:val="left"/>
        <w:tblLook w:firstColumn="1" w:firstRow="1" w:lastColumn="0" w:lastRow="0" w:noHBand="0" w:noVBand="1" w:val="04A0"/>
        <w:tblInd w:w="120" w:type="dxa"/>
        <w:tblLayout w:type="fixed"/>
      </w:tblPr>
      <w:tblGrid>
        <w:gridCol w:w="1254"/>
        <w:gridCol w:w="1109"/>
        <w:gridCol w:w="1192"/>
        <w:gridCol w:w="1502"/>
        <w:gridCol w:w="1357"/>
        <w:gridCol w:w="1192"/>
        <w:gridCol w:w="1754"/>
      </w:tblGrid>
      <w:tr>
        <w:trPr>
          <w:tblHeader w:val="true"/>
        </w:trPr>
        <w:tc>
          <w:tcPr>
            <w:tcW w:type="dxa" w:w="1254"/>
            <w:shd w:fill="FFFFFF"/>
            <w:tcMar>
              <w:top w:w="80" w:type="dxa"/>
              <w:start w:w="120" w:type="dxa"/>
              <w:bottom w:w="80" w:type="dxa"/>
              <w:end w:w="120" w:type="dxa"/>
            </w:tcMar>
            <w:vAlign w:val="center"/>
          </w:tcPr>
          <w:p>
            <w:pPr>
              <w:jc w:val="center"/>
            </w:pPr>
            <w:r>
              <w:rPr>
                <w:rFonts w:ascii="Calibri" w:hAnsi="Calibri" w:eastAsia="Calibri"/>
                <w:b/>
                <w:color w:val="1F4D78"/>
                <w:sz w:val="13"/>
              </w:rPr>
              <w:t>Location</w:t>
            </w:r>
          </w:p>
        </w:tc>
        <w:tc>
          <w:tcPr>
            <w:tcW w:type="dxa" w:w="1109"/>
            <w:shd w:fill="FFFFFF"/>
            <w:tcMar>
              <w:top w:w="80" w:type="dxa"/>
              <w:start w:w="120" w:type="dxa"/>
              <w:bottom w:w="80" w:type="dxa"/>
              <w:end w:w="120" w:type="dxa"/>
            </w:tcMar>
            <w:vAlign w:val="center"/>
          </w:tcPr>
          <w:p>
            <w:pPr>
              <w:jc w:val="center"/>
            </w:pPr>
            <w:r>
              <w:rPr>
                <w:rFonts w:ascii="Calibri" w:hAnsi="Calibri" w:eastAsia="Calibri"/>
                <w:b/>
                <w:color w:val="1F4D78"/>
                <w:sz w:val="13"/>
              </w:rPr>
              <w:t>Sex</w:t>
            </w:r>
          </w:p>
        </w:tc>
        <w:tc>
          <w:tcPr>
            <w:tcW w:type="dxa" w:w="1192"/>
            <w:shd w:fill="FFFFFF"/>
            <w:tcMar>
              <w:top w:w="80" w:type="dxa"/>
              <w:start w:w="120" w:type="dxa"/>
              <w:bottom w:w="80" w:type="dxa"/>
              <w:end w:w="120" w:type="dxa"/>
            </w:tcMar>
            <w:vAlign w:val="center"/>
          </w:tcPr>
          <w:p>
            <w:pPr>
              <w:jc w:val="center"/>
            </w:pPr>
            <w:r>
              <w:rPr>
                <w:rFonts w:ascii="Calibri" w:hAnsi="Calibri" w:eastAsia="Calibri"/>
                <w:b/>
                <w:color w:val="1F4D78"/>
                <w:sz w:val="13"/>
              </w:rPr>
              <w:t>Outcome</w:t>
            </w:r>
          </w:p>
        </w:tc>
        <w:tc>
          <w:tcPr>
            <w:tcW w:type="dxa" w:w="1502"/>
            <w:shd w:fill="FFFFFF"/>
            <w:tcMar>
              <w:top w:w="80" w:type="dxa"/>
              <w:start w:w="120" w:type="dxa"/>
              <w:bottom w:w="80" w:type="dxa"/>
              <w:end w:w="120" w:type="dxa"/>
            </w:tcMar>
            <w:vAlign w:val="center"/>
          </w:tcPr>
          <w:p>
            <w:pPr>
              <w:jc w:val="center"/>
            </w:pPr>
            <w:r>
              <w:rPr>
                <w:rFonts w:ascii="Calibri" w:hAnsi="Calibri" w:eastAsia="Calibri"/>
                <w:b/>
                <w:color w:val="1F4D78"/>
                <w:sz w:val="13"/>
              </w:rPr>
              <w:t>Population-weighted slope</w:t>
            </w:r>
          </w:p>
        </w:tc>
        <w:tc>
          <w:tcPr>
            <w:tcW w:type="dxa" w:w="1357"/>
            <w:shd w:fill="FFFFFF"/>
            <w:tcMar>
              <w:top w:w="80" w:type="dxa"/>
              <w:start w:w="120" w:type="dxa"/>
              <w:bottom w:w="80" w:type="dxa"/>
              <w:end w:w="120" w:type="dxa"/>
            </w:tcMar>
            <w:vAlign w:val="center"/>
          </w:tcPr>
          <w:p>
            <w:pPr>
              <w:jc w:val="center"/>
            </w:pPr>
            <w:r>
              <w:rPr>
                <w:rFonts w:ascii="Calibri" w:hAnsi="Calibri" w:eastAsia="Calibri"/>
                <w:b/>
                <w:color w:val="1F4D78"/>
                <w:sz w:val="13"/>
              </w:rPr>
              <w:t>Equal-weight slope</w:t>
            </w:r>
          </w:p>
        </w:tc>
        <w:tc>
          <w:tcPr>
            <w:tcW w:type="dxa" w:w="1192"/>
            <w:shd w:fill="FFFFFF"/>
            <w:tcMar>
              <w:top w:w="80" w:type="dxa"/>
              <w:start w:w="120" w:type="dxa"/>
              <w:bottom w:w="80" w:type="dxa"/>
              <w:end w:w="120" w:type="dxa"/>
            </w:tcMar>
            <w:vAlign w:val="center"/>
          </w:tcPr>
          <w:p>
            <w:pPr>
              <w:jc w:val="center"/>
            </w:pPr>
            <w:r>
              <w:rPr>
                <w:rFonts w:ascii="Calibri" w:hAnsi="Calibri" w:eastAsia="Calibri"/>
                <w:b/>
                <w:color w:val="1F4D78"/>
                <w:sz w:val="13"/>
              </w:rPr>
              <w:t>Difference</w:t>
            </w:r>
          </w:p>
        </w:tc>
        <w:tc>
          <w:tcPr>
            <w:tcW w:type="dxa" w:w="1754"/>
            <w:shd w:fill="FFFFFF"/>
            <w:tcMar>
              <w:top w:w="80" w:type="dxa"/>
              <w:start w:w="120" w:type="dxa"/>
              <w:bottom w:w="80" w:type="dxa"/>
              <w:end w:w="120" w:type="dxa"/>
            </w:tcMar>
            <w:vAlign w:val="center"/>
          </w:tcPr>
          <w:p>
            <w:pPr>
              <w:jc w:val="center"/>
            </w:pPr>
            <w:r>
              <w:rPr>
                <w:rFonts w:ascii="Calibri" w:hAnsi="Calibri" w:eastAsia="Calibri"/>
                <w:b/>
                <w:color w:val="1F4D78"/>
                <w:sz w:val="13"/>
              </w:rPr>
              <w:t>Maximum age-specific-slope difference</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-0.0016</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-0.0004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0.0121</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-0.0172</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-0.0171</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0.0001</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0.0184</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-0.0106</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-0.0093</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0.0118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-0.0002</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0.0015</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0.0017</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0.0083</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-0.0170</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-0.0156</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0.0015</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0.0098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0.0022</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0.0044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0.0021</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0.0079</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-0.2907</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-0.2919</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-0.0012</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0.0141</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-0.0689</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-0.0691</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-0.0002</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0.0228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-0.2801</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-0.2814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0.0128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-0.1097</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-0.1105</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-0.0009</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0.0094</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0.0383</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0.0374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-0.0009</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0.0096</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-0.0893</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-0.0901</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-0.0009</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0.0089</w:t>
            </w:r>
          </w:p>
        </w:tc>
      </w:tr>
    </w:tbl>
    <w:p/>
    <w:p>
      <w:r>
        <w:t>Equal cell weights changed the global period slope by at most 0.0022 percentage points per year. The full age and curvature differences are supplied in the machine-readable table.</w:t>
      </w:r>
    </w:p>
    <w:p>
      <w:pPr>
        <w:pStyle w:val="Heading2"/>
      </w:pPr>
      <w:r>
        <w:t>Table S13. Custom APC window sensitivity, 1990-2019</w:t>
      </w:r>
    </w:p>
    <w:tbl>
      <w:tblPr>
        <w:tblStyle w:val="TableGrid"/>
        <w:tblW w:type="dxa" w:w="9360"/>
        <w:jc w:val="left"/>
        <w:tblLook w:firstColumn="1" w:firstRow="1" w:lastColumn="0" w:lastRow="0" w:noHBand="0" w:noVBand="1" w:val="04A0"/>
        <w:tblInd w:w="120" w:type="dxa"/>
        <w:tblLayout w:type="fixed"/>
      </w:tblPr>
      <w:tblGrid>
        <w:gridCol w:w="1154"/>
        <w:gridCol w:w="1029"/>
        <w:gridCol w:w="1100"/>
        <w:gridCol w:w="1225"/>
        <w:gridCol w:w="1225"/>
        <w:gridCol w:w="1243"/>
        <w:gridCol w:w="1243"/>
        <w:gridCol w:w="1141"/>
      </w:tblGrid>
      <w:tr>
        <w:trPr>
          <w:tblHeader w:val="true"/>
        </w:trPr>
        <w:tc>
          <w:tcPr>
            <w:tcW w:type="dxa" w:w="115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29"/>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25"/>
            <w:shd w:fill="FFFFFF"/>
            <w:tcMar>
              <w:top w:w="80" w:type="dxa"/>
              <w:start w:w="120" w:type="dxa"/>
              <w:bottom w:w="80" w:type="dxa"/>
              <w:end w:w="120" w:type="dxa"/>
            </w:tcMar>
            <w:vAlign w:val="center"/>
          </w:tcPr>
          <w:p>
            <w:pPr>
              <w:jc w:val="center"/>
            </w:pPr>
            <w:r>
              <w:rPr>
                <w:rFonts w:ascii="Calibri" w:hAnsi="Calibri" w:eastAsia="Calibri"/>
                <w:b/>
                <w:color w:val="1F4D78"/>
                <w:sz w:val="14"/>
              </w:rPr>
              <w:t>1994-2023, %/year</w:t>
            </w:r>
          </w:p>
        </w:tc>
        <w:tc>
          <w:tcPr>
            <w:tcW w:type="dxa" w:w="1225"/>
            <w:shd w:fill="FFFFFF"/>
            <w:tcMar>
              <w:top w:w="80" w:type="dxa"/>
              <w:start w:w="120" w:type="dxa"/>
              <w:bottom w:w="80" w:type="dxa"/>
              <w:end w:w="120" w:type="dxa"/>
            </w:tcMar>
            <w:vAlign w:val="center"/>
          </w:tcPr>
          <w:p>
            <w:pPr>
              <w:jc w:val="center"/>
            </w:pPr>
            <w:r>
              <w:rPr>
                <w:rFonts w:ascii="Calibri" w:hAnsi="Calibri" w:eastAsia="Calibri"/>
                <w:b/>
                <w:color w:val="1F4D78"/>
                <w:sz w:val="14"/>
              </w:rPr>
              <w:t>1990-2019, %/year</w:t>
            </w:r>
          </w:p>
        </w:tc>
        <w:tc>
          <w:tcPr>
            <w:tcW w:type="dxa" w:w="1243"/>
            <w:shd w:fill="FFFFFF"/>
            <w:tcMar>
              <w:top w:w="80" w:type="dxa"/>
              <w:start w:w="120" w:type="dxa"/>
              <w:bottom w:w="80" w:type="dxa"/>
              <w:end w:w="120" w:type="dxa"/>
            </w:tcMar>
            <w:vAlign w:val="center"/>
          </w:tcPr>
          <w:p>
            <w:pPr>
              <w:jc w:val="center"/>
            </w:pPr>
            <w:r>
              <w:rPr>
                <w:rFonts w:ascii="Calibri" w:hAnsi="Calibri" w:eastAsia="Calibri"/>
                <w:b/>
                <w:color w:val="1F4D78"/>
                <w:sz w:val="14"/>
              </w:rPr>
              <w:t>Primary label</w:t>
            </w:r>
          </w:p>
        </w:tc>
        <w:tc>
          <w:tcPr>
            <w:tcW w:type="dxa" w:w="1243"/>
            <w:shd w:fill="FFFFFF"/>
            <w:tcMar>
              <w:top w:w="80" w:type="dxa"/>
              <w:start w:w="120" w:type="dxa"/>
              <w:bottom w:w="80" w:type="dxa"/>
              <w:end w:w="120" w:type="dxa"/>
            </w:tcMar>
            <w:vAlign w:val="center"/>
          </w:tcPr>
          <w:p>
            <w:pPr>
              <w:jc w:val="center"/>
            </w:pPr>
            <w:r>
              <w:rPr>
                <w:rFonts w:ascii="Calibri" w:hAnsi="Calibri" w:eastAsia="Calibri"/>
                <w:b/>
                <w:color w:val="1F4D78"/>
                <w:sz w:val="14"/>
              </w:rPr>
              <w:t>Sensitivity label</w:t>
            </w:r>
          </w:p>
        </w:tc>
        <w:tc>
          <w:tcPr>
            <w:tcW w:type="dxa" w:w="1141"/>
            <w:shd w:fill="FFFFFF"/>
            <w:tcMar>
              <w:top w:w="80" w:type="dxa"/>
              <w:start w:w="120" w:type="dxa"/>
              <w:bottom w:w="80" w:type="dxa"/>
              <w:end w:w="120" w:type="dxa"/>
            </w:tcMar>
            <w:vAlign w:val="center"/>
          </w:tcPr>
          <w:p>
            <w:pPr>
              <w:jc w:val="center"/>
            </w:pPr>
            <w:r>
              <w:rPr>
                <w:rFonts w:ascii="Calibri" w:hAnsi="Calibri" w:eastAsia="Calibri"/>
                <w:b/>
                <w:color w:val="1F4D78"/>
                <w:sz w:val="14"/>
              </w:rPr>
              <w:t>Label stable</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-0.0016</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0.0019</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-0.0172</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-0.0198</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-0.0106</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-0.0139</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-0.0002</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-0.0007</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-0.0170</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-0.0172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0.0022</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0.0019</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-0.2907</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-0.1880</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-0.0689</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-0.0582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-0.2801</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-0.2002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-0.1097</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-0.0592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0.0383</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0.0476</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-0.0893</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-0.0542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This sensitivity retains six equal five-year periods, from 1990-1994 through 2015-2019, and therefore excludes 2020-2023 without shortening the grouped design.</w:t>
      </w:r>
    </w:p>
    <w:p>
      <w:pPr>
        <w:pStyle w:val="Heading2"/>
      </w:pPr>
      <w:r>
        <w:t>Table S14. Aggregate-custom APC practical-label comparison</w:t>
      </w:r>
    </w:p>
    <w:tbl>
      <w:tblPr>
        <w:tblStyle w:val="TableGrid"/>
        <w:tblW w:type="dxa" w:w="9360"/>
        <w:jc w:val="left"/>
        <w:tblLook w:firstColumn="1" w:firstRow="1" w:lastColumn="0" w:lastRow="0" w:noHBand="0" w:noVBand="1" w:val="04A0"/>
        <w:tblInd w:w="120" w:type="dxa"/>
        <w:tblLayout w:type="fixed"/>
      </w:tblPr>
      <w:tblGrid>
        <w:gridCol w:w="1458"/>
        <w:gridCol w:w="1273"/>
        <w:gridCol w:w="1590"/>
        <w:gridCol w:w="1723"/>
        <w:gridCol w:w="1590"/>
        <w:gridCol w:w="1726"/>
      </w:tblGrid>
      <w:tr>
        <w:trPr>
          <w:tblHeader w:val="true"/>
        </w:trPr>
        <w:tc>
          <w:tcPr>
            <w:tcW w:type="dxa" w:w="1458"/>
            <w:shd w:fill="FFFFFF"/>
            <w:tcMar>
              <w:top w:w="80" w:type="dxa"/>
              <w:start w:w="120" w:type="dxa"/>
              <w:bottom w:w="80" w:type="dxa"/>
              <w:end w:w="120" w:type="dxa"/>
            </w:tcMar>
            <w:vAlign w:val="center"/>
          </w:tcPr>
          <w:p>
            <w:pPr>
              <w:jc w:val="center"/>
            </w:pPr>
            <w:r>
              <w:rPr>
                <w:rFonts w:ascii="Calibri" w:hAnsi="Calibri" w:eastAsia="Calibri"/>
                <w:b/>
                <w:color w:val="1F4D78"/>
                <w:sz w:val="15"/>
              </w:rPr>
              <w:t>Location</w:t>
            </w:r>
          </w:p>
        </w:tc>
        <w:tc>
          <w:tcPr>
            <w:tcW w:type="dxa" w:w="1273"/>
            <w:shd w:fill="FFFFFF"/>
            <w:tcMar>
              <w:top w:w="80" w:type="dxa"/>
              <w:start w:w="120" w:type="dxa"/>
              <w:bottom w:w="80" w:type="dxa"/>
              <w:end w:w="120" w:type="dxa"/>
            </w:tcMar>
            <w:vAlign w:val="center"/>
          </w:tcPr>
          <w:p>
            <w:pPr>
              <w:jc w:val="center"/>
            </w:pPr>
            <w:r>
              <w:rPr>
                <w:rFonts w:ascii="Calibri" w:hAnsi="Calibri" w:eastAsia="Calibri"/>
                <w:b/>
                <w:color w:val="1F4D78"/>
                <w:sz w:val="15"/>
              </w:rPr>
              <w:t>Sex</w:t>
            </w:r>
          </w:p>
        </w:tc>
        <w:tc>
          <w:tcPr>
            <w:tcW w:type="dxa" w:w="1590"/>
            <w:shd w:fill="FFFFFF"/>
            <w:tcMar>
              <w:top w:w="80" w:type="dxa"/>
              <w:start w:w="120" w:type="dxa"/>
              <w:bottom w:w="80" w:type="dxa"/>
              <w:end w:w="120" w:type="dxa"/>
            </w:tcMar>
            <w:vAlign w:val="center"/>
          </w:tcPr>
          <w:p>
            <w:pPr>
              <w:jc w:val="center"/>
            </w:pPr>
            <w:r>
              <w:rPr>
                <w:rFonts w:ascii="Calibri" w:hAnsi="Calibri" w:eastAsia="Calibri"/>
                <w:b/>
                <w:color w:val="1F4D78"/>
                <w:sz w:val="15"/>
              </w:rPr>
              <w:t>Segmented label</w:t>
            </w:r>
          </w:p>
        </w:tc>
        <w:tc>
          <w:tcPr>
            <w:tcW w:type="dxa" w:w="1723"/>
            <w:shd w:fill="FFFFFF"/>
            <w:tcMar>
              <w:top w:w="80" w:type="dxa"/>
              <w:start w:w="120" w:type="dxa"/>
              <w:bottom w:w="80" w:type="dxa"/>
              <w:end w:w="120" w:type="dxa"/>
            </w:tcMar>
            <w:vAlign w:val="center"/>
          </w:tcPr>
          <w:p>
            <w:pPr>
              <w:jc w:val="center"/>
            </w:pPr>
            <w:r>
              <w:rPr>
                <w:rFonts w:ascii="Calibri" w:hAnsi="Calibri" w:eastAsia="Calibri"/>
                <w:b/>
                <w:color w:val="1F4D78"/>
                <w:sz w:val="15"/>
              </w:rPr>
              <w:t>Observed endpoint label</w:t>
            </w:r>
          </w:p>
        </w:tc>
        <w:tc>
          <w:tcPr>
            <w:tcW w:type="dxa" w:w="1590"/>
            <w:shd w:fill="FFFFFF"/>
            <w:tcMar>
              <w:top w:w="80" w:type="dxa"/>
              <w:start w:w="120" w:type="dxa"/>
              <w:bottom w:w="80" w:type="dxa"/>
              <w:end w:w="120" w:type="dxa"/>
            </w:tcMar>
            <w:vAlign w:val="center"/>
          </w:tcPr>
          <w:p>
            <w:pPr>
              <w:jc w:val="center"/>
            </w:pPr>
            <w:r>
              <w:rPr>
                <w:rFonts w:ascii="Calibri" w:hAnsi="Calibri" w:eastAsia="Calibri"/>
                <w:b/>
                <w:color w:val="1F4D78"/>
                <w:sz w:val="15"/>
              </w:rPr>
              <w:t>Custom APC label</w:t>
            </w:r>
          </w:p>
        </w:tc>
        <w:tc>
          <w:tcPr>
            <w:tcW w:type="dxa" w:w="1726"/>
            <w:shd w:fill="FFFFFF"/>
            <w:tcMar>
              <w:top w:w="80" w:type="dxa"/>
              <w:start w:w="120" w:type="dxa"/>
              <w:bottom w:w="80" w:type="dxa"/>
              <w:end w:w="120" w:type="dxa"/>
            </w:tcMar>
            <w:vAlign w:val="center"/>
          </w:tcPr>
          <w:p>
            <w:pPr>
              <w:jc w:val="center"/>
            </w:pPr>
            <w:r>
              <w:rPr>
                <w:rFonts w:ascii="Calibri" w:hAnsi="Calibri" w:eastAsia="Calibri"/>
                <w:b/>
                <w:color w:val="1F4D78"/>
                <w:sz w:val="15"/>
              </w:rPr>
              <w:t>APC-segmented agreement</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No</w:t>
            </w:r>
          </w:p>
        </w:tc>
      </w:tr>
    </w:tbl>
    <w:p/>
    <w:p>
      <w:r>
        <w:t>Agreement denotes only matching practical-change labels for descriptive point estimates; it is not a significance or equivalence test and numerical agreement is not expected because the estimands differ.</w:t>
      </w:r>
    </w:p>
    <w:p>
      <w:pPr>
        <w:pStyle w:val="Heading2"/>
      </w:pPr>
      <w:r>
        <w:t>Table S15. Cross-method interpretation</w:t>
      </w:r>
    </w:p>
    <w:tbl>
      <w:tblPr>
        <w:tblStyle w:val="TableGrid"/>
        <w:tblW w:type="dxa" w:w="9360"/>
        <w:jc w:val="left"/>
        <w:tblLook w:firstColumn="1" w:firstRow="1" w:lastColumn="0" w:lastRow="0" w:noHBand="0" w:noVBand="1" w:val="04A0"/>
        <w:tblInd w:w="120" w:type="dxa"/>
        <w:tblLayout w:type="fixed"/>
      </w:tblPr>
      <w:tblGrid>
        <w:gridCol w:w="1091"/>
        <w:gridCol w:w="978"/>
        <w:gridCol w:w="1043"/>
        <w:gridCol w:w="1172"/>
        <w:gridCol w:w="1172"/>
        <w:gridCol w:w="1172"/>
        <w:gridCol w:w="1172"/>
        <w:gridCol w:w="1560"/>
      </w:tblGrid>
      <w:tr>
        <w:trPr>
          <w:tblHeader w:val="true"/>
        </w:trPr>
        <w:tc>
          <w:tcPr>
            <w:tcW w:type="dxa" w:w="1091"/>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978"/>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43"/>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Segmented</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ASR endpoint</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Selected-age crude</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Custom APC</w:t>
            </w:r>
          </w:p>
        </w:tc>
        <w:tc>
          <w:tcPr>
            <w:tcW w:type="dxa" w:w="1560"/>
            <w:shd w:fill="FFFFFF"/>
            <w:tcMar>
              <w:top w:w="80" w:type="dxa"/>
              <w:start w:w="120" w:type="dxa"/>
              <w:bottom w:w="80" w:type="dxa"/>
              <w:end w:w="120" w:type="dxa"/>
            </w:tcMar>
            <w:vAlign w:val="center"/>
          </w:tcPr>
          <w:p>
            <w:pPr>
              <w:jc w:val="center"/>
            </w:pPr>
            <w:r>
              <w:rPr>
                <w:rFonts w:ascii="Calibri" w:hAnsi="Calibri" w:eastAsia="Calibri"/>
                <w:b/>
                <w:color w:val="1F4D78"/>
                <w:sz w:val="14"/>
              </w:rPr>
              <w:t>Likely factors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opposing age-specific slopes hidden by aggregate summaries</w:t>
            </w:r>
          </w:p>
        </w:tc>
      </w:tr>
    </w:tbl>
    <w:p/>
    <w:p>
      <w:r>
        <w:t>Each apparent mismatch was checked on an aligned 1994-2023 calendar window. Likely factors include estimand, age coverage, standardization, weighting, model form, and APC constraints; the tested implementation did not indicate a software failure.</w:t>
      </w:r>
    </w:p>
    <w:p>
      <w:pPr>
        <w:jc w:val="center"/>
      </w:pPr>
      <w:r>
        <w:drawing>
          <wp:inline xmlns:a="http://schemas.openxmlformats.org/drawingml/2006/main" xmlns:pic="http://schemas.openxmlformats.org/drawingml/2006/picture">
            <wp:extent cx="5943600" cy="1909934"/>
            <wp:docPr id="1" name="Picture 1" descr="Three panels showing all-age incident cases, prevalent cases, and DALYs." title="Three panels showing all-age incident cases, prevalent cases, and DALYs."/>
            <wp:cNvGraphicFramePr>
              <a:graphicFrameLocks noChangeAspect="1"/>
            </wp:cNvGraphicFramePr>
            <a:graphic>
              <a:graphicData uri="http://schemas.openxmlformats.org/drawingml/2006/picture">
                <pic:pic>
                  <pic:nvPicPr>
                    <pic:cNvPr id="0" name="figure_s1_counts.png"/>
                    <pic:cNvPicPr/>
                  </pic:nvPicPr>
                  <pic:blipFill>
                    <a:blip r:embed="rId10"/>
                    <a:stretch>
                      <a:fillRect/>
                    </a:stretch>
                  </pic:blipFill>
                  <pic:spPr>
                    <a:xfrm>
                      <a:off x="0" y="0"/>
                      <a:ext cx="5943600" cy="1909934"/>
                    </a:xfrm>
                    <a:prstGeom prst="rect"/>
                  </pic:spPr>
                </pic:pic>
              </a:graphicData>
            </a:graphic>
          </wp:inline>
        </w:drawing>
      </w:r>
    </w:p>
    <w:p>
      <w:pPr>
        <w:spacing w:after="200"/>
        <w:jc w:val="left"/>
      </w:pPr>
      <w:r>
        <w:rPr>
          <w:b/>
        </w:rPr>
        <w:t xml:space="preserve">Figure S1. </w:t>
      </w:r>
      <w:r>
        <w:t>All-age schizophrenia quantities by country and sex, 1990-2023. DALYs represent healthy life-years lost rather than people.</w:t>
      </w:r>
    </w:p>
    <w:p>
      <w:pPr>
        <w:keepNext/>
        <w:jc w:val="center"/>
      </w:pPr>
      <w:r>
        <w:drawing>
          <wp:inline xmlns:a="http://schemas.openxmlformats.org/drawingml/2006/main" xmlns:pic="http://schemas.openxmlformats.org/drawingml/2006/picture">
            <wp:extent cx="5760720" cy="5281467"/>
            <wp:docPr id="2" name="Picture 2"/>
            <wp:cNvGraphicFramePr>
              <a:graphicFrameLocks noChangeAspect="1"/>
            </wp:cNvGraphicFramePr>
            <a:graphic>
              <a:graphicData uri="http://schemas.openxmlformats.org/drawingml/2006/picture">
                <pic:pic>
                  <pic:nvPicPr>
                    <pic:cNvPr id="0" name="figure_s2_segmented_trends.png"/>
                    <pic:cNvPicPr/>
                  </pic:nvPicPr>
                  <pic:blipFill>
                    <a:blip r:embed="rId12"/>
                    <a:stretch>
                      <a:fillRect/>
                    </a:stretch>
                  </pic:blipFill>
                  <pic:spPr>
                    <a:xfrm>
                      <a:off x="0" y="0"/>
                      <a:ext cx="5760720" cy="5281467"/>
                    </a:xfrm>
                    <a:prstGeom prst="rect"/>
                  </pic:spPr>
                </pic:pic>
              </a:graphicData>
            </a:graphic>
          </wp:inline>
        </w:drawing>
      </w:r>
    </w:p>
    <w:p>
      <w:pPr>
        <w:spacing w:after="200"/>
        <w:jc w:val="left"/>
      </w:pPr>
      <w:r>
        <w:t>Figure S2. Observed and fitted segmented age-standardized rate trajectories. The fitted curves were selected by BIC using the study's Python implementation; they are not output from the NCI Joinpoint program.</w:t>
      </w:r>
    </w:p>
    <w:p>
      <w:pPr>
        <w:keepNext/>
        <w:jc w:val="center"/>
      </w:pPr>
      <w:r>
        <w:drawing>
          <wp:inline xmlns:a="http://schemas.openxmlformats.org/drawingml/2006/main" xmlns:pic="http://schemas.openxmlformats.org/drawingml/2006/picture">
            <wp:extent cx="5760720" cy="3648869"/>
            <wp:docPr id="3" name="Picture 3"/>
            <wp:cNvGraphicFramePr>
              <a:graphicFrameLocks noChangeAspect="1"/>
            </wp:cNvGraphicFramePr>
            <a:graphic>
              <a:graphicData uri="http://schemas.openxmlformats.org/drawingml/2006/picture">
                <pic:pic>
                  <pic:nvPicPr>
                    <pic:cNvPr id="0" name="figure_s3_annual_prevalence_decomposition.png"/>
                    <pic:cNvPicPr/>
                  </pic:nvPicPr>
                  <pic:blipFill>
                    <a:blip r:embed="rId13"/>
                    <a:stretch>
                      <a:fillRect/>
                    </a:stretch>
                  </pic:blipFill>
                  <pic:spPr>
                    <a:xfrm>
                      <a:off x="0" y="0"/>
                      <a:ext cx="5760720" cy="3648869"/>
                    </a:xfrm>
                    <a:prstGeom prst="rect"/>
                  </pic:spPr>
                </pic:pic>
              </a:graphicData>
            </a:graphic>
          </wp:inline>
        </w:drawing>
      </w:r>
    </w:p>
    <w:p>
      <w:pPr/>
      <w:r>
        <w:t>Figure S3. Cumulative annual decomposition of the change in prevalent schizophrenia cases in China and the United States, 1990-2023. Solid lines show population growth, population ageing, and age-specific rate change; dashed lines show the cumulative net change.</w:t>
      </w:r>
    </w:p>
    <w:p>
      <w:pPr>
        <w:keepNext/>
        <w:jc w:val="center"/>
      </w:pPr>
      <w:r>
        <w:drawing>
          <wp:inline xmlns:a="http://schemas.openxmlformats.org/drawingml/2006/main" xmlns:pic="http://schemas.openxmlformats.org/drawingml/2006/picture">
            <wp:extent cx="5760720" cy="3952796"/>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3952796"/>
                    </a:xfrm>
                    <a:prstGeom prst="rect"/>
                  </pic:spPr>
                </pic:pic>
              </a:graphicData>
            </a:graphic>
          </wp:inline>
        </w:drawing>
      </w:r>
    </w:p>
    <w:p>
      <w:pPr/>
      <w:r>
        <w:t>Figure S4. Custom descriptive APC summaries for incidence, prevalence, and DALYs. Rate-ratio curves are normalized nonlinear curvature contrasts, not independent causal age, period, or cohort effects.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