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D78"/>
          <w:sz w:val="36"/>
        </w:rPr>
        <w:t>Statistical methods appendix</w:t>
      </w:r>
    </w:p>
    <w:p>
      <w:pPr>
        <w:jc w:val="center"/>
      </w:pPr>
      <w:r>
        <w:rPr>
          <w:rFonts w:ascii="Calibri" w:hAnsi="Calibri" w:eastAsia="Calibri"/>
          <w:i/>
          <w:color w:val="666666"/>
          <w:sz w:val="22"/>
        </w:rPr>
        <w:t>China-US schizophrenia burden study</w:t>
      </w:r>
    </w:p>
    <w:p>
      <w:pPr>
        <w:pStyle w:val="Heading1"/>
      </w:pPr>
      <w:r>
        <w:t>Analysis estimands</w:t>
      </w:r>
    </w:p>
    <w:p>
      <w:pPr>
        <w:pStyle w:val="ListBullet"/>
      </w:pPr>
      <w:r>
        <w:t>Incident and prevalent case counts approximate potential service-volume need; DALYs quantify health loss and are not people.</w:t>
      </w:r>
    </w:p>
    <w:p>
      <w:pPr>
        <w:pStyle w:val="ListBullet"/>
      </w:pPr>
      <w:r>
        <w:t>Age-standardized rates describe temporal and cross-country rate patterns after standardization.</w:t>
      </w:r>
    </w:p>
    <w:p>
      <w:pPr>
        <w:pStyle w:val="ListBullet"/>
      </w:pPr>
      <w:r>
        <w:t>Derived ratios, changes, trend contrasts, APC functions, and decomposition components are point estimands; no draw-based uncertainty is asserted.</w:t>
      </w:r>
    </w:p>
    <w:p>
      <w:pPr>
        <w:pStyle w:val="ListBullet"/>
      </w:pPr>
      <w:r>
        <w:t>Decomposition components are deterministic functions of posterior mean rates and populations. The production build uses 20 fine-age groups from 0-4 through 95+ years.</w:t>
      </w:r>
    </w:p>
    <w:p>
      <w:pPr>
        <w:pStyle w:val="Heading1"/>
      </w:pPr>
      <w:r>
        <w:t>Segmented log-linear trend model</w:t>
      </w:r>
    </w:p>
    <w:p>
      <w:r>
        <w:t>For year t and rate r(t), log r(t) = beta0 + beta1(t-t0) + sum[j] delta_j max(0,t-tau_j) + error(t). Candidate models contain zero, one, or two knots and require four observations between boundaries. The model with minimum BIC is selected, counting each knot location in the parameter penalty. Segment APC is 100[exp(slope)-1]; AAPC is the time-weighted mean log slope transformed to a percentage.</w:t>
      </w:r>
    </w:p>
    <w:p>
      <w:r>
        <w:t>To avoid overinterpreting numerically tiny signs, AAPC values with absolute magnitude below 0.05% per year are labeled practically stable; values at or above the band are labeled increases or decreases. Sensitivities use 0.02% and 0.10% per year. These are reporting thresholds, not equivalence margins or hypothesis tests.</w:t>
      </w:r>
    </w:p>
    <w:p>
      <w:r>
        <w:t>The implementation is deterministic, open, and descriptive. Residual-permutation p values and regression confidence intervals are not used because serial dependence and the joint GBD posterior covariance are unavailable. NCI Joinpoint is methodological context only; no Joinpoint software output is used or claimed equivalent to the primary estimator.</w:t>
      </w:r>
    </w:p>
    <w:p>
      <w:r>
        <w:t>Specification sensitivities allow one or three maximum breakpoints, require at least five years per segment, truncate at 2019, or fit on the rate scale. A UI-width-weighted fixed-knot sensitivity is also reported. The primary analysis remains the 1990-2023 log-rate model with zero to two breakpoints and at least four annual observations per segment. Every selected segment and slope is retained in the supplement and machine-readable tables.</w:t>
      </w:r>
    </w:p>
    <w:p>
      <w:r>
        <w:t>Serial-correlation sensitivity uses iterative feasible generalized least squares with AR(1) errors. For each candidate segmented design, an initial ordinary least-squares fit supplies residuals; rho is estimated from adjacent residual products, bounded to [-0.95, 0.95], and the data and design are Prais-Winsten transformed, including the first observation multiplied by sqrt(1-rho squared). Coefficients and rho are iterated to a tolerance of 1e-10 or 200 iterations. Candidate models are compared using n log(SSE/n) + k log(n), with regression coefficients, rho, and knot locations included in k. This sensitivity targets residual autocorrelation only and does not propagate GBD posterior uncertainty.</w:t>
      </w:r>
    </w:p>
    <w:p>
      <w:pPr>
        <w:pStyle w:val="Heading1"/>
      </w:pPr>
      <w:r>
        <w:t>Descriptive trajectory contrasts</w:t>
      </w:r>
    </w:p>
    <w:p>
      <w:r>
        <w:t>For each comparison, we report each group's annualized endpoint change, the difference for group B minus group A, correlation between annual log changes, and whether endpoint directions match. These summaries do not test parallelism. Lag-1 residual autocorrelation and Durbin-Watson statistics diagnose whether the independent-error approximation is implausible.</w:t>
      </w:r>
    </w:p>
    <w:p>
      <w:pPr>
        <w:pStyle w:val="Heading1"/>
      </w:pPr>
      <w:r>
        <w:t>Shapley decomposition</w:t>
      </w:r>
    </w:p>
    <w:p>
      <w:r>
        <w:t>For all-age population N, age-share vector S, and age-specific rate vector R, reconstructed burden is B=N sum_a(S_a R_a). Each factor was replaced from baseline to endpoint in all 3! orders. A factor's contribution is the average marginal change across orders. The three contributions therefore sum exactly to B_end-B_start apart from floating-point tolerance; reconstructed endpoints are also checked against reported all-age numbers. The production age vector has 20 groups from 0-4 through 95+. A sensitivity collapses the finest available vector into 0-19, 20-39, 40-59, and 60+ and flags sign, magnitude-rank, or component shifts of at least 10% of total change. Endpoint attribution is additionally compared with annual- and five-year-chained decompositions. For incidence, a supported-age sensitivity repeats the analysis for ages 10-79; it is not labeled as all-age burden.</w:t>
      </w:r>
    </w:p>
    <w:p>
      <w:pPr>
        <w:pStyle w:val="Heading1"/>
      </w:pPr>
      <w:r>
        <w:t>Age-period-cohort incidence analysis</w:t>
      </w:r>
    </w:p>
    <w:p>
      <w:r>
        <w:t>Incidence alone is analyzed. For age a and five-year period p, N(a,p) is the sum of GBD modeled incident counts and P(a,p) is the sum of matching population across the five calendar years. The grouped rate is N(a,p)/P(a,p). Twelve equal age groups from 10-14 to 65-69 and six equal periods from 1994-1998 to 2019-2023 form the primary 12 x 6 matrix; 1990-1994 to 2015-2019 forms the sensitivity matrix.</w:t>
      </w:r>
    </w:p>
    <w:p>
      <w:r>
        <w:t>The analysis uses the published apc2() R code of Rosenberg, Check, and Anderson (2014), distributed through the National Cancer Institute's APC Web Tool, without changing its fitting or estimable-function algorithms (pinned source revision 9e86d92d3f95b76b610a37f6e3c539ee126b5efd). In its fit, z_i = log[N_i/P_i] and W_ii = N_i; the constrained APC design X yields beta = (X'WX)^(-1)X'Wz. The design resolves the exact cohort = period - age linear dependency through its estimable-function parameterization. The implementation's default reference age, period, and cohort are used.</w:t>
      </w:r>
    </w:p>
    <w:p>
      <w:r>
        <w:t>We report APC net drift, 100[exp(beta_net)-1] percent per year; local drifts; longitudinal age-specific incidence rates; and period and cohort rate ratios. The imported GBD counts are fractional modeled posterior means, not independent observed Poisson cases. The implementation computes confidence intervals and Wald tests under its event-count model, but these are discarded here. Posterior draws and cross-cell covariance are unavailable, so no confidence intervals or P values are asserted for the reported APC functions.</w:t>
      </w:r>
    </w:p>
    <w:p>
      <w:pPr>
        <w:pStyle w:val="Heading1"/>
      </w:pPr>
      <w:r>
        <w:t>Source-export zero values</w:t>
      </w:r>
    </w:p>
    <w:p>
      <w:r>
        <w:t>The retained IHME exports report exact zero values for incidence Number and Rate at ages 0-9 and 80+, and for prevalence and DALY Number and Rate at ages 0-9, in both countries, both sexes, and all years. These values are retained unchanged. The exports do not identify whether they represent biological structural zeros or a GBD model-support convention, so no etiologic interpretation is assigned.</w:t>
      </w:r>
    </w:p>
    <w:p>
      <w:pPr>
        <w:pStyle w:val="Heading1"/>
      </w:pPr>
      <w:r>
        <w:t>Uncertainty taxonomy</w:t>
      </w:r>
    </w:p>
    <w:tbl>
      <w:tblPr>
        <w:tblStyle w:val="TableGrid"/>
        <w:tblW w:type="dxa" w:w="9360"/>
        <w:jc w:val="left"/>
        <w:tblLook w:firstColumn="1" w:firstRow="1" w:lastColumn="0" w:lastRow="0" w:noHBand="0" w:noVBand="1" w:val="04A0"/>
        <w:tblInd w:w="120" w:type="dxa"/>
        <w:tblLayout w:type="fixed"/>
      </w:tblPr>
      <w:tblGrid>
        <w:gridCol w:w="2847"/>
        <w:gridCol w:w="2693"/>
        <w:gridCol w:w="3820"/>
      </w:tblGrid>
      <w:tr>
        <w:trPr>
          <w:tblHeader w:val="true"/>
        </w:trPr>
        <w:tc>
          <w:tcPr>
            <w:tcW w:type="dxa" w:w="2847"/>
            <w:shd w:fill="FFFFFF"/>
            <w:tcMar>
              <w:top w:w="80" w:type="dxa"/>
              <w:start w:w="120" w:type="dxa"/>
              <w:bottom w:w="80" w:type="dxa"/>
              <w:end w:w="120" w:type="dxa"/>
            </w:tcMar>
            <w:vAlign w:val="center"/>
          </w:tcPr>
          <w:p>
            <w:pPr>
              <w:jc w:val="center"/>
            </w:pPr>
            <w:r>
              <w:rPr>
                <w:rFonts w:ascii="Calibri" w:hAnsi="Calibri" w:eastAsia="Calibri"/>
                <w:b/>
                <w:color w:val="1F4D78"/>
                <w:sz w:val="17"/>
              </w:rPr>
              <w:t>Quantity</w:t>
            </w:r>
          </w:p>
        </w:tc>
        <w:tc>
          <w:tcPr>
            <w:tcW w:type="dxa" w:w="2693"/>
            <w:shd w:fill="FFFFFF"/>
            <w:tcMar>
              <w:top w:w="80" w:type="dxa"/>
              <w:start w:w="120" w:type="dxa"/>
              <w:bottom w:w="80" w:type="dxa"/>
              <w:end w:w="120" w:type="dxa"/>
            </w:tcMar>
            <w:vAlign w:val="center"/>
          </w:tcPr>
          <w:p>
            <w:pPr>
              <w:jc w:val="center"/>
            </w:pPr>
            <w:r>
              <w:rPr>
                <w:rFonts w:ascii="Calibri" w:hAnsi="Calibri" w:eastAsia="Calibri"/>
                <w:b/>
                <w:color w:val="1F4D78"/>
                <w:sz w:val="17"/>
              </w:rPr>
              <w:t>Reported uncertainty</w:t>
            </w:r>
          </w:p>
        </w:tc>
        <w:tc>
          <w:tcPr>
            <w:tcW w:type="dxa" w:w="3820"/>
            <w:shd w:fill="FFFFFF"/>
            <w:tcMar>
              <w:top w:w="80" w:type="dxa"/>
              <w:start w:w="120" w:type="dxa"/>
              <w:bottom w:w="80" w:type="dxa"/>
              <w:end w:w="120" w:type="dxa"/>
            </w:tcMar>
            <w:vAlign w:val="center"/>
          </w:tcPr>
          <w:p>
            <w:pPr>
              <w:jc w:val="center"/>
            </w:pPr>
            <w:r>
              <w:rPr>
                <w:rFonts w:ascii="Calibri" w:hAnsi="Calibri" w:eastAsia="Calibri"/>
                <w:b/>
                <w:color w:val="1F4D78"/>
                <w:sz w:val="17"/>
              </w:rPr>
              <w:t>Interpretation</w:t>
            </w:r>
          </w:p>
        </w:tc>
      </w:tr>
      <w:tr>
        <w:trPr>
          <w:cantSplit/>
        </w:trPr>
        <w:tc>
          <w:tcPr>
            <w:tcW w:type="dxa" w:w="2847"/>
            <w:vAlign w:val="center"/>
            <w:tcMar>
              <w:top w:w="80" w:type="dxa"/>
              <w:start w:w="120" w:type="dxa"/>
              <w:bottom w:w="80" w:type="dxa"/>
              <w:end w:w="120" w:type="dxa"/>
            </w:tcMar>
          </w:tcPr>
          <w:p>
            <w:pPr>
              <w:spacing w:line="240" w:lineRule="auto"/>
              <w:jc w:val="left"/>
            </w:pPr>
            <w:r>
              <w:rPr>
                <w:rFonts w:ascii="Calibri" w:hAnsi="Calibri" w:eastAsia="Calibri"/>
                <w:sz w:val="17"/>
              </w:rPr>
              <w:t>Original GBD estimate</w:t>
            </w:r>
          </w:p>
        </w:tc>
        <w:tc>
          <w:tcPr>
            <w:tcW w:type="dxa" w:w="2693"/>
            <w:vAlign w:val="center"/>
            <w:tcMar>
              <w:top w:w="80" w:type="dxa"/>
              <w:start w:w="120" w:type="dxa"/>
              <w:bottom w:w="80" w:type="dxa"/>
              <w:end w:w="120" w:type="dxa"/>
            </w:tcMar>
          </w:tcPr>
          <w:p>
            <w:pPr>
              <w:spacing w:line="240" w:lineRule="auto"/>
              <w:jc w:val="center"/>
            </w:pPr>
            <w:r>
              <w:rPr>
                <w:rFonts w:ascii="Calibri" w:hAnsi="Calibri" w:eastAsia="Calibri"/>
                <w:sz w:val="17"/>
              </w:rPr>
              <w:t>Native 95% UI</w:t>
            </w:r>
          </w:p>
        </w:tc>
        <w:tc>
          <w:tcPr>
            <w:tcW w:type="dxa" w:w="3820"/>
            <w:vAlign w:val="center"/>
            <w:tcMar>
              <w:top w:w="80" w:type="dxa"/>
              <w:start w:w="120" w:type="dxa"/>
              <w:bottom w:w="80" w:type="dxa"/>
              <w:end w:w="120" w:type="dxa"/>
            </w:tcMar>
          </w:tcPr>
          <w:p>
            <w:pPr>
              <w:spacing w:line="240" w:lineRule="auto"/>
              <w:jc w:val="center"/>
            </w:pPr>
            <w:r>
              <w:rPr>
                <w:rFonts w:ascii="Calibri" w:hAnsi="Calibri" w:eastAsia="Calibri"/>
                <w:sz w:val="17"/>
              </w:rPr>
              <w:t>2.5th-97.5th percentiles of GBD draws</w:t>
            </w:r>
          </w:p>
        </w:tc>
      </w:tr>
      <w:tr>
        <w:trPr>
          <w:cantSplit/>
        </w:trPr>
        <w:tc>
          <w:tcPr>
            <w:tcW w:type="dxa" w:w="2847"/>
            <w:vAlign w:val="center"/>
            <w:tcMar>
              <w:top w:w="80" w:type="dxa"/>
              <w:start w:w="120" w:type="dxa"/>
              <w:bottom w:w="80" w:type="dxa"/>
              <w:end w:w="120" w:type="dxa"/>
            </w:tcMar>
          </w:tcPr>
          <w:p>
            <w:pPr>
              <w:spacing w:line="240" w:lineRule="auto"/>
              <w:jc w:val="left"/>
            </w:pPr>
            <w:r>
              <w:rPr>
                <w:rFonts w:ascii="Calibri" w:hAnsi="Calibri" w:eastAsia="Calibri"/>
                <w:sz w:val="17"/>
              </w:rPr>
              <w:t>Segment APC/AAPC</w:t>
            </w:r>
          </w:p>
        </w:tc>
        <w:tc>
          <w:tcPr>
            <w:tcW w:type="dxa" w:w="2693"/>
            <w:vAlign w:val="center"/>
            <w:tcMar>
              <w:top w:w="80" w:type="dxa"/>
              <w:start w:w="120" w:type="dxa"/>
              <w:bottom w:w="80" w:type="dxa"/>
              <w:end w:w="120" w:type="dxa"/>
            </w:tcMar>
          </w:tcPr>
          <w:p>
            <w:pPr>
              <w:spacing w:line="240" w:lineRule="auto"/>
              <w:jc w:val="center"/>
            </w:pPr>
            <w:r>
              <w:rPr>
                <w:rFonts w:ascii="Calibri" w:hAnsi="Calibri" w:eastAsia="Calibri"/>
                <w:sz w:val="17"/>
              </w:rPr>
              <w:t>None</w:t>
            </w:r>
          </w:p>
        </w:tc>
        <w:tc>
          <w:tcPr>
            <w:tcW w:type="dxa" w:w="3820"/>
            <w:vAlign w:val="center"/>
            <w:tcMar>
              <w:top w:w="80" w:type="dxa"/>
              <w:start w:w="120" w:type="dxa"/>
              <w:bottom w:w="80" w:type="dxa"/>
              <w:end w:w="120" w:type="dxa"/>
            </w:tcMar>
          </w:tcPr>
          <w:p>
            <w:pPr>
              <w:spacing w:line="240" w:lineRule="auto"/>
              <w:jc w:val="center"/>
            </w:pPr>
            <w:r>
              <w:rPr>
                <w:rFonts w:ascii="Calibri" w:hAnsi="Calibri" w:eastAsia="Calibri"/>
                <w:sz w:val="17"/>
              </w:rPr>
              <w:t>Descriptive point summary of annual GBD posterior means</w:t>
            </w:r>
          </w:p>
        </w:tc>
      </w:tr>
      <w:tr>
        <w:trPr>
          <w:cantSplit/>
        </w:trPr>
        <w:tc>
          <w:tcPr>
            <w:tcW w:type="dxa" w:w="2847"/>
            <w:vAlign w:val="center"/>
            <w:tcMar>
              <w:top w:w="80" w:type="dxa"/>
              <w:start w:w="120" w:type="dxa"/>
              <w:bottom w:w="80" w:type="dxa"/>
              <w:end w:w="120" w:type="dxa"/>
            </w:tcMar>
          </w:tcPr>
          <w:p>
            <w:pPr>
              <w:spacing w:line="240" w:lineRule="auto"/>
              <w:jc w:val="left"/>
            </w:pPr>
            <w:r>
              <w:rPr>
                <w:rFonts w:ascii="Calibri" w:hAnsi="Calibri" w:eastAsia="Calibri"/>
                <w:sz w:val="17"/>
              </w:rPr>
              <w:t>Ratios and changes</w:t>
            </w:r>
          </w:p>
        </w:tc>
        <w:tc>
          <w:tcPr>
            <w:tcW w:type="dxa" w:w="2693"/>
            <w:vAlign w:val="center"/>
            <w:tcMar>
              <w:top w:w="80" w:type="dxa"/>
              <w:start w:w="120" w:type="dxa"/>
              <w:bottom w:w="80" w:type="dxa"/>
              <w:end w:w="120" w:type="dxa"/>
            </w:tcMar>
          </w:tcPr>
          <w:p>
            <w:pPr>
              <w:spacing w:line="240" w:lineRule="auto"/>
              <w:jc w:val="center"/>
            </w:pPr>
            <w:r>
              <w:rPr>
                <w:rFonts w:ascii="Calibri" w:hAnsi="Calibri" w:eastAsia="Calibri"/>
                <w:sz w:val="17"/>
              </w:rPr>
              <w:t>None</w:t>
            </w:r>
          </w:p>
        </w:tc>
        <w:tc>
          <w:tcPr>
            <w:tcW w:type="dxa" w:w="3820"/>
            <w:vAlign w:val="center"/>
            <w:tcMar>
              <w:top w:w="80" w:type="dxa"/>
              <w:start w:w="120" w:type="dxa"/>
              <w:bottom w:w="80" w:type="dxa"/>
              <w:end w:w="120" w:type="dxa"/>
            </w:tcMar>
          </w:tcPr>
          <w:p>
            <w:pPr>
              <w:spacing w:line="240" w:lineRule="auto"/>
              <w:jc w:val="center"/>
            </w:pPr>
            <w:r>
              <w:rPr>
                <w:rFonts w:ascii="Calibri" w:hAnsi="Calibri" w:eastAsia="Calibri"/>
                <w:sz w:val="17"/>
              </w:rPr>
              <w:t>Point estimate; interval dominance is conservative only</w:t>
            </w:r>
          </w:p>
        </w:tc>
      </w:tr>
      <w:tr>
        <w:trPr>
          <w:cantSplit/>
        </w:trPr>
        <w:tc>
          <w:tcPr>
            <w:tcW w:type="dxa" w:w="2847"/>
            <w:vAlign w:val="center"/>
            <w:tcMar>
              <w:top w:w="80" w:type="dxa"/>
              <w:start w:w="120" w:type="dxa"/>
              <w:bottom w:w="80" w:type="dxa"/>
              <w:end w:w="120" w:type="dxa"/>
            </w:tcMar>
          </w:tcPr>
          <w:p>
            <w:pPr>
              <w:spacing w:line="240" w:lineRule="auto"/>
              <w:jc w:val="left"/>
            </w:pPr>
            <w:r>
              <w:rPr>
                <w:rFonts w:ascii="Calibri" w:hAnsi="Calibri" w:eastAsia="Calibri"/>
                <w:sz w:val="17"/>
              </w:rPr>
              <w:t>Decomposition component</w:t>
            </w:r>
          </w:p>
        </w:tc>
        <w:tc>
          <w:tcPr>
            <w:tcW w:type="dxa" w:w="2693"/>
            <w:vAlign w:val="center"/>
            <w:tcMar>
              <w:top w:w="80" w:type="dxa"/>
              <w:start w:w="120" w:type="dxa"/>
              <w:bottom w:w="80" w:type="dxa"/>
              <w:end w:w="120" w:type="dxa"/>
            </w:tcMar>
          </w:tcPr>
          <w:p>
            <w:pPr>
              <w:spacing w:line="240" w:lineRule="auto"/>
              <w:jc w:val="center"/>
            </w:pPr>
            <w:r>
              <w:rPr>
                <w:rFonts w:ascii="Calibri" w:hAnsi="Calibri" w:eastAsia="Calibri"/>
                <w:sz w:val="17"/>
              </w:rPr>
              <w:t>None</w:t>
            </w:r>
          </w:p>
        </w:tc>
        <w:tc>
          <w:tcPr>
            <w:tcW w:type="dxa" w:w="3820"/>
            <w:vAlign w:val="center"/>
            <w:tcMar>
              <w:top w:w="80" w:type="dxa"/>
              <w:start w:w="120" w:type="dxa"/>
              <w:bottom w:w="80" w:type="dxa"/>
              <w:end w:w="120" w:type="dxa"/>
            </w:tcMar>
          </w:tcPr>
          <w:p>
            <w:pPr>
              <w:spacing w:line="240" w:lineRule="auto"/>
              <w:jc w:val="center"/>
            </w:pPr>
            <w:r>
              <w:rPr>
                <w:rFonts w:ascii="Calibri" w:hAnsi="Calibri" w:eastAsia="Calibri"/>
                <w:sz w:val="17"/>
              </w:rPr>
              <w:t>Deterministic attribution using posterior means</w:t>
            </w:r>
          </w:p>
        </w:tc>
      </w:tr>
      <w:tr>
        <w:trPr>
          <w:cantSplit/>
        </w:trPr>
        <w:tc>
          <w:tcPr>
            <w:tcW w:type="dxa" w:w="2847"/>
            <w:vAlign w:val="center"/>
            <w:tcMar>
              <w:top w:w="80" w:type="dxa"/>
              <w:start w:w="120" w:type="dxa"/>
              <w:bottom w:w="80" w:type="dxa"/>
              <w:end w:w="120" w:type="dxa"/>
            </w:tcMar>
          </w:tcPr>
          <w:p>
            <w:r>
              <w:t>APC incidence function</w:t>
            </w:r>
          </w:p>
        </w:tc>
        <w:tc>
          <w:tcPr>
            <w:tcW w:type="dxa" w:w="2693"/>
            <w:vAlign w:val="center"/>
            <w:tcMar>
              <w:top w:w="80" w:type="dxa"/>
              <w:start w:w="120" w:type="dxa"/>
              <w:bottom w:w="80" w:type="dxa"/>
              <w:end w:w="120" w:type="dxa"/>
            </w:tcMar>
          </w:tcPr>
          <w:p>
            <w:pPr>
              <w:spacing w:line="240" w:lineRule="auto"/>
              <w:jc w:val="center"/>
            </w:pPr>
            <w:r>
              <w:rPr>
                <w:rFonts w:ascii="Calibri" w:hAnsi="Calibri" w:eastAsia="Calibri"/>
                <w:sz w:val="17"/>
              </w:rPr>
              <w:t>None</w:t>
            </w:r>
          </w:p>
        </w:tc>
        <w:tc>
          <w:tcPr>
            <w:tcW w:type="dxa" w:w="3820"/>
            <w:vAlign w:val="center"/>
            <w:tcMar>
              <w:top w:w="80" w:type="dxa"/>
              <w:start w:w="120" w:type="dxa"/>
              <w:bottom w:w="80" w:type="dxa"/>
              <w:end w:w="120" w:type="dxa"/>
            </w:tcMar>
          </w:tcPr>
          <w:p>
            <w:r>
              <w:t>Published APC estimable-function point estimate; no valid count-model CI for GBD posterior means</w:t>
            </w:r>
          </w:p>
        </w:tc>
      </w:tr>
      <w:tr>
        <w:trPr>
          <w:cantSplit/>
        </w:trPr>
        <w:tc>
          <w:tcPr>
            <w:tcW w:type="dxa" w:w="2847"/>
            <w:vAlign w:val="center"/>
            <w:tcMar>
              <w:top w:w="80" w:type="dxa"/>
              <w:start w:w="120" w:type="dxa"/>
              <w:bottom w:w="80" w:type="dxa"/>
              <w:end w:w="120" w:type="dxa"/>
            </w:tcMar>
          </w:tcPr>
          <w:p>
            <w:pPr>
              <w:spacing w:line="240" w:lineRule="auto"/>
              <w:jc w:val="left"/>
            </w:pPr>
            <w:r>
              <w:rPr>
                <w:rFonts w:ascii="Calibri" w:hAnsi="Calibri" w:eastAsia="Calibri"/>
                <w:sz w:val="17"/>
              </w:rPr>
              <w:t>AR(1) trend sensitivity</w:t>
            </w:r>
          </w:p>
        </w:tc>
        <w:tc>
          <w:tcPr>
            <w:tcW w:type="dxa" w:w="2693"/>
            <w:vAlign w:val="center"/>
            <w:tcMar>
              <w:top w:w="80" w:type="dxa"/>
              <w:start w:w="120" w:type="dxa"/>
              <w:bottom w:w="80" w:type="dxa"/>
              <w:end w:w="120" w:type="dxa"/>
            </w:tcMar>
          </w:tcPr>
          <w:p>
            <w:pPr>
              <w:spacing w:line="240" w:lineRule="auto"/>
              <w:jc w:val="center"/>
            </w:pPr>
            <w:r>
              <w:rPr>
                <w:rFonts w:ascii="Calibri" w:hAnsi="Calibri" w:eastAsia="Calibri"/>
                <w:sz w:val="17"/>
              </w:rPr>
              <w:t>None</w:t>
            </w:r>
          </w:p>
        </w:tc>
        <w:tc>
          <w:tcPr>
            <w:tcW w:type="dxa" w:w="3820"/>
            <w:vAlign w:val="center"/>
            <w:tcMar>
              <w:top w:w="80" w:type="dxa"/>
              <w:start w:w="120" w:type="dxa"/>
              <w:bottom w:w="80" w:type="dxa"/>
              <w:end w:w="120" w:type="dxa"/>
            </w:tcMar>
          </w:tcPr>
          <w:p>
            <w:pPr>
              <w:spacing w:line="240" w:lineRule="auto"/>
              <w:jc w:val="center"/>
            </w:pPr>
            <w:r>
              <w:rPr>
                <w:rFonts w:ascii="Calibri" w:hAnsi="Calibri" w:eastAsia="Calibri"/>
                <w:sz w:val="17"/>
              </w:rPr>
              <w:t>Residual-correlation robustness estimate; not GBD posterior uncertainty</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