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4D78"/>
          <w:sz w:val="36"/>
        </w:rPr>
        <w:t>Statistical methods appendix</w:t>
      </w:r>
    </w:p>
    <w:p>
      <w:pPr>
        <w:jc w:val="center"/>
      </w:pPr>
      <w:r>
        <w:rPr>
          <w:rFonts w:ascii="Calibri" w:hAnsi="Calibri" w:eastAsia="Calibri"/>
          <w:i/>
          <w:color w:val="666666"/>
          <w:sz w:val="22"/>
        </w:rPr>
        <w:t>China-US schizophrenia burden study</w:t>
      </w:r>
    </w:p>
    <w:p>
      <w:pPr>
        <w:pStyle w:val="Heading1"/>
      </w:pPr>
      <w:r>
        <w:t>Analysis estimands</w:t>
      </w:r>
    </w:p>
    <w:p>
      <w:pPr>
        <w:pStyle w:val="ListBullet"/>
      </w:pPr>
      <w:r>
        <w:t>Incident and prevalent case counts approximate potential service-volume need; DALYs quantify health loss and are not people.</w:t>
      </w:r>
    </w:p>
    <w:p>
      <w:pPr>
        <w:pStyle w:val="ListBullet"/>
      </w:pPr>
      <w:r>
        <w:t>Age-standardized rates describe temporal and cross-country rate patterns after standardization.</w:t>
      </w:r>
    </w:p>
    <w:p>
      <w:pPr>
        <w:pStyle w:val="ListBullet"/>
      </w:pPr>
      <w:r>
        <w:t>Derived ratios, changes, trend contrasts, APC functions, and decomposition components are point estimands; no draw-based uncertainty is asserted.</w:t>
      </w:r>
    </w:p>
    <w:p>
      <w:pPr>
        <w:pStyle w:val="ListBullet"/>
      </w:pPr>
      <w:r>
        <w:t>Decomposition components are deterministic functions of posterior mean rates and populations. The production build uses 20 fine-age groups from 0-4 through 95+ years.</w:t>
      </w:r>
    </w:p>
    <w:p>
      <w:pPr>
        <w:pStyle w:val="Heading1"/>
      </w:pPr>
      <w:r>
        <w:t>Segmented log-linear trend model</w:t>
      </w:r>
    </w:p>
    <w:p>
      <w:r>
        <w:t>For year t and rate r(t), log r(t) = beta0 + beta1(t-t0) + sum[j] delta_j max(0,t-tau_j) + error(t). Candidate models contain zero, one, or two knots and require four observations between boundaries. The model with minimum BIC is selected, counting each knot location in the parameter penalty. Segment APC is 100[exp(slope)-1]; AAPC is the time-weighted mean log slope transformed to a percentage.</w:t>
      </w:r>
    </w:p>
    <w:p>
      <w:r>
        <w:t>To avoid overinterpreting numerically tiny signs, AAPC values with absolute magnitude below 0.05% per year are labeled practically stable; values at or above the band are labeled increases or decreases. Sensitivities use 0.02% and 0.10% per year. These are reporting thresholds, not equivalence margins or hypothesis tests.</w:t>
      </w:r>
    </w:p>
    <w:p>
      <w:r>
        <w:t>The implementation is deterministic, open, and descriptive. Residual-permutation p values and regression confidence intervals are not used because serial dependence and the joint GBD posterior covariance are unavailable. NCI Joinpoint is methodological context only; no NCI software output is used or claimed equivalent to the primary estimator.</w:t>
      </w:r>
    </w:p>
    <w:p>
      <w:r>
        <w:t>Specification sensitivities allow one or three maximum breakpoints, require at least five years per segment, truncate at 2019, or fit on the rate scale. A UI-width-weighted fixed-knot sensitivity is also reported. The primary analysis remains the 1990-2023 log-rate model with zero to two breakpoints and at least four annual observations per segment. Every selected segment and slope is retained in the supplement and machine-readable tables.</w:t>
      </w:r>
    </w:p>
    <w:p>
      <w:r>
        <w:t>Serial-correlation sensitivity uses iterative feasible generalized least squares with AR(1) errors. For each candidate segmented design, an initial ordinary least-squares fit supplies residuals; rho is estimated from adjacent residual products, bounded to [-0.95, 0.95], and the data and design are Prais-Winsten transformed, including the first observation multiplied by sqrt(1-rho squared). Coefficients and rho are iterated to a tolerance of 1e-10 or 200 iterations. Candidate models are compared using n log(SSE/n) + k log(n), with regression coefficients, rho, and knot locations included in k. This sensitivity targets residual autocorrelation only and does not propagate GBD posterior uncertainty.</w:t>
      </w:r>
    </w:p>
    <w:p>
      <w:pPr>
        <w:pStyle w:val="Heading1"/>
      </w:pPr>
      <w:r>
        <w:t>Descriptive trajectory contrasts</w:t>
      </w:r>
    </w:p>
    <w:p>
      <w:r>
        <w:t>For each comparison, we report each group's annualized endpoint change, the difference for group B minus group A, correlation between annual log changes, and whether endpoint directions match. These summaries do not test parallelism. Lag-1 residual autocorrelation and Durbin-Watson statistics diagnose whether the independent-error approximation is implausible.</w:t>
      </w:r>
    </w:p>
    <w:p>
      <w:pPr>
        <w:pStyle w:val="Heading1"/>
      </w:pPr>
      <w:r>
        <w:t>Shapley decomposition</w:t>
      </w:r>
    </w:p>
    <w:p>
      <w:r>
        <w:t>For all-age population N, age-share vector S, and age-specific rate vector R, reconstructed burden is B=N sum_a(S_a R_a). Each factor was replaced from baseline to endpoint in all 3! orders. A factor's contribution is the average marginal change across orders. The three contributions therefore sum exactly to B_end-B_start apart from floating-point tolerance; reconstructed endpoints are also checked against reported all-age numbers. The production age vector has 20 groups from 0-4 through 95+. A sensitivity collapses the finest available vector into 0-19, 20-39, 40-59, and 60+ and flags sign, magnitude-rank, or component shifts of at least 10% of total change. Endpoint attribution is additionally compared with annual- and five-year-chained decompositions. For incidence, a supported-age sensitivity repeats the analysis for ages 10-79; it is not labeled as all-age burden.</w:t>
      </w:r>
    </w:p>
    <w:p>
      <w:pPr>
        <w:pStyle w:val="Heading1"/>
      </w:pPr>
      <w:r>
        <w:t>Custom descriptive age-period-cohort rate-surface model</w:t>
      </w:r>
    </w:p>
    <w:p>
      <w:r>
        <w:t>The principal APC outcome is incidence; prevalence and DALYs are exploratory extensions. The primary window contains six equal five-year periods from 1994-1998 through 2019-2023 and ages 10-14 through 65-69. A sensitivity contains six periods from 1990-1994 through 2015-2019. For age group a and period p, the grouped rate is r(a,p) = sum_y P(a,y) r(a,y) / sum_y P(a,y), where y indexes years in p and P is population.</w:t>
      </w:r>
    </w:p>
    <w:p>
      <w:r>
        <w:t>For each observed age-period cell i, the custom model minimizes sum_i w_i[log r_i - X_i beta]^2. Primary weights are w_i=P_i/mean(P); the equal-weight sensitivity sets w_i=1. The design matrix contains an intercept, centered linear age and period indices, and nonlinear age, period, and cohort bases. Cohort midpoint is period midpoint minus age midpoint. Each nonlinear basis is projected onto the null space of its intercept and linear trend, so the exact cohort=period-age dependency is not represented by three unrestricted linear effects. The least-squares solution is obtained by the Moore-Penrose pseudoinverse after checking design rank.</w:t>
      </w:r>
    </w:p>
    <w:p>
      <w:r>
        <w:t>The global period slope is 100[exp(beta_period/5)-1] percent per year because period indices advance in five-year units. Age-specific slopes are separate weighted log-rate regressions against period midpoint within each age group; they are not conventional local drift. The nonlinear age, period, and cohort curves are exponentiated and normalized to prespecified reference categories, yielding descriptive rate ratios or curvature contrasts. They are not conventional longitudinal age, period, or cohort relative-risk estimable functions and are not asserted equivalent to NCI APC output. All quantities are descriptive point estimates without model confidence intervals.</w:t>
      </w:r>
    </w:p>
    <w:p>
      <w:pPr>
        <w:pStyle w:val="Heading1"/>
      </w:pPr>
      <w:r>
        <w:t>Source-export zero values</w:t>
      </w:r>
    </w:p>
    <w:p>
      <w:r>
        <w:t>The retained IHME exports report exact zero values for incidence Number and Rate at ages 0-9 and 80+, and for prevalence and DALY Number and Rate at ages 0-9, in both countries, both sexes, and all years. These values are retained unchanged. The exports do not identify whether they represent biological structural zeros or a GBD model-support convention, so no etiologic interpretation is assigned.</w:t>
      </w:r>
    </w:p>
    <w:p>
      <w:pPr>
        <w:pStyle w:val="Heading1"/>
      </w:pPr>
      <w:r>
        <w:t>Uncertainty taxonomy</w:t>
      </w:r>
    </w:p>
    <w:tbl>
      <w:tblPr>
        <w:tblStyle w:val="TableGrid"/>
        <w:tblW w:type="dxa" w:w="9360"/>
        <w:jc w:val="left"/>
        <w:tblLook w:firstColumn="1" w:firstRow="1" w:lastColumn="0" w:lastRow="0" w:noHBand="0" w:noVBand="1" w:val="04A0"/>
        <w:tblInd w:w="120" w:type="dxa"/>
        <w:tblLayout w:type="fixed"/>
      </w:tblPr>
      <w:tblGrid>
        <w:gridCol w:w="2847"/>
        <w:gridCol w:w="2693"/>
        <w:gridCol w:w="3820"/>
      </w:tblGrid>
      <w:tr>
        <w:trPr>
          <w:tblHeader w:val="true"/>
        </w:trPr>
        <w:tc>
          <w:tcPr>
            <w:tcW w:type="dxa" w:w="2847"/>
            <w:shd w:fill="FFFFFF"/>
            <w:tcMar>
              <w:top w:w="80" w:type="dxa"/>
              <w:start w:w="120" w:type="dxa"/>
              <w:bottom w:w="80" w:type="dxa"/>
              <w:end w:w="120" w:type="dxa"/>
            </w:tcMar>
            <w:vAlign w:val="center"/>
          </w:tcPr>
          <w:p>
            <w:pPr>
              <w:jc w:val="center"/>
            </w:pPr>
            <w:r>
              <w:rPr>
                <w:rFonts w:ascii="Calibri" w:hAnsi="Calibri" w:eastAsia="Calibri"/>
                <w:b/>
                <w:color w:val="1F4D78"/>
                <w:sz w:val="17"/>
              </w:rPr>
              <w:t>Quantity</w:t>
            </w:r>
          </w:p>
        </w:tc>
        <w:tc>
          <w:tcPr>
            <w:tcW w:type="dxa" w:w="2693"/>
            <w:shd w:fill="FFFFFF"/>
            <w:tcMar>
              <w:top w:w="80" w:type="dxa"/>
              <w:start w:w="120" w:type="dxa"/>
              <w:bottom w:w="80" w:type="dxa"/>
              <w:end w:w="120" w:type="dxa"/>
            </w:tcMar>
            <w:vAlign w:val="center"/>
          </w:tcPr>
          <w:p>
            <w:pPr>
              <w:jc w:val="center"/>
            </w:pPr>
            <w:r>
              <w:rPr>
                <w:rFonts w:ascii="Calibri" w:hAnsi="Calibri" w:eastAsia="Calibri"/>
                <w:b/>
                <w:color w:val="1F4D78"/>
                <w:sz w:val="17"/>
              </w:rPr>
              <w:t>Reported uncertainty</w:t>
            </w:r>
          </w:p>
        </w:tc>
        <w:tc>
          <w:tcPr>
            <w:tcW w:type="dxa" w:w="3820"/>
            <w:shd w:fill="FFFFFF"/>
            <w:tcMar>
              <w:top w:w="80" w:type="dxa"/>
              <w:start w:w="120" w:type="dxa"/>
              <w:bottom w:w="80" w:type="dxa"/>
              <w:end w:w="120" w:type="dxa"/>
            </w:tcMar>
            <w:vAlign w:val="center"/>
          </w:tcPr>
          <w:p>
            <w:pPr>
              <w:jc w:val="center"/>
            </w:pPr>
            <w:r>
              <w:rPr>
                <w:rFonts w:ascii="Calibri" w:hAnsi="Calibri" w:eastAsia="Calibri"/>
                <w:b/>
                <w:color w:val="1F4D78"/>
                <w:sz w:val="17"/>
              </w:rPr>
              <w:t>Interpretation</w:t>
            </w:r>
          </w:p>
        </w:tc>
      </w:tr>
      <w:tr>
        <w:trPr>
          <w:cantSplit/>
        </w:trPr>
        <w:tc>
          <w:tcPr>
            <w:tcW w:type="dxa" w:w="2847"/>
            <w:vAlign w:val="center"/>
            <w:tcMar>
              <w:top w:w="80" w:type="dxa"/>
              <w:start w:w="120" w:type="dxa"/>
              <w:bottom w:w="80" w:type="dxa"/>
              <w:end w:w="120" w:type="dxa"/>
            </w:tcMar>
          </w:tcPr>
          <w:p>
            <w:pPr>
              <w:spacing w:line="240" w:lineRule="auto"/>
              <w:jc w:val="left"/>
            </w:pPr>
            <w:r>
              <w:rPr>
                <w:rFonts w:ascii="Calibri" w:hAnsi="Calibri" w:eastAsia="Calibri"/>
                <w:sz w:val="17"/>
              </w:rPr>
              <w:t>Original GBD estimate</w:t>
            </w:r>
          </w:p>
        </w:tc>
        <w:tc>
          <w:tcPr>
            <w:tcW w:type="dxa" w:w="2693"/>
            <w:vAlign w:val="center"/>
            <w:tcMar>
              <w:top w:w="80" w:type="dxa"/>
              <w:start w:w="120" w:type="dxa"/>
              <w:bottom w:w="80" w:type="dxa"/>
              <w:end w:w="120" w:type="dxa"/>
            </w:tcMar>
          </w:tcPr>
          <w:p>
            <w:pPr>
              <w:spacing w:line="240" w:lineRule="auto"/>
              <w:jc w:val="center"/>
            </w:pPr>
            <w:r>
              <w:rPr>
                <w:rFonts w:ascii="Calibri" w:hAnsi="Calibri" w:eastAsia="Calibri"/>
                <w:sz w:val="17"/>
              </w:rPr>
              <w:t>Native 95% UI</w:t>
            </w:r>
          </w:p>
        </w:tc>
        <w:tc>
          <w:tcPr>
            <w:tcW w:type="dxa" w:w="3820"/>
            <w:vAlign w:val="center"/>
            <w:tcMar>
              <w:top w:w="80" w:type="dxa"/>
              <w:start w:w="120" w:type="dxa"/>
              <w:bottom w:w="80" w:type="dxa"/>
              <w:end w:w="120" w:type="dxa"/>
            </w:tcMar>
          </w:tcPr>
          <w:p>
            <w:pPr>
              <w:spacing w:line="240" w:lineRule="auto"/>
              <w:jc w:val="center"/>
            </w:pPr>
            <w:r>
              <w:rPr>
                <w:rFonts w:ascii="Calibri" w:hAnsi="Calibri" w:eastAsia="Calibri"/>
                <w:sz w:val="17"/>
              </w:rPr>
              <w:t>2.5th-97.5th percentiles of GBD draws</w:t>
            </w:r>
          </w:p>
        </w:tc>
      </w:tr>
      <w:tr>
        <w:trPr>
          <w:cantSplit/>
        </w:trPr>
        <w:tc>
          <w:tcPr>
            <w:tcW w:type="dxa" w:w="2847"/>
            <w:vAlign w:val="center"/>
            <w:tcMar>
              <w:top w:w="80" w:type="dxa"/>
              <w:start w:w="120" w:type="dxa"/>
              <w:bottom w:w="80" w:type="dxa"/>
              <w:end w:w="120" w:type="dxa"/>
            </w:tcMar>
          </w:tcPr>
          <w:p>
            <w:pPr>
              <w:spacing w:line="240" w:lineRule="auto"/>
              <w:jc w:val="left"/>
            </w:pPr>
            <w:r>
              <w:rPr>
                <w:rFonts w:ascii="Calibri" w:hAnsi="Calibri" w:eastAsia="Calibri"/>
                <w:sz w:val="17"/>
              </w:rPr>
              <w:t>Segment APC/AAPC</w:t>
            </w:r>
          </w:p>
        </w:tc>
        <w:tc>
          <w:tcPr>
            <w:tcW w:type="dxa" w:w="2693"/>
            <w:vAlign w:val="center"/>
            <w:tcMar>
              <w:top w:w="80" w:type="dxa"/>
              <w:start w:w="120" w:type="dxa"/>
              <w:bottom w:w="80" w:type="dxa"/>
              <w:end w:w="120" w:type="dxa"/>
            </w:tcMar>
          </w:tcPr>
          <w:p>
            <w:pPr>
              <w:spacing w:line="240" w:lineRule="auto"/>
              <w:jc w:val="center"/>
            </w:pPr>
            <w:r>
              <w:rPr>
                <w:rFonts w:ascii="Calibri" w:hAnsi="Calibri" w:eastAsia="Calibri"/>
                <w:sz w:val="17"/>
              </w:rPr>
              <w:t>None</w:t>
            </w:r>
          </w:p>
        </w:tc>
        <w:tc>
          <w:tcPr>
            <w:tcW w:type="dxa" w:w="3820"/>
            <w:vAlign w:val="center"/>
            <w:tcMar>
              <w:top w:w="80" w:type="dxa"/>
              <w:start w:w="120" w:type="dxa"/>
              <w:bottom w:w="80" w:type="dxa"/>
              <w:end w:w="120" w:type="dxa"/>
            </w:tcMar>
          </w:tcPr>
          <w:p>
            <w:pPr>
              <w:spacing w:line="240" w:lineRule="auto"/>
              <w:jc w:val="center"/>
            </w:pPr>
            <w:r>
              <w:rPr>
                <w:rFonts w:ascii="Calibri" w:hAnsi="Calibri" w:eastAsia="Calibri"/>
                <w:sz w:val="17"/>
              </w:rPr>
              <w:t>Descriptive point summary of annual GBD posterior means</w:t>
            </w:r>
          </w:p>
        </w:tc>
      </w:tr>
      <w:tr>
        <w:trPr>
          <w:cantSplit/>
        </w:trPr>
        <w:tc>
          <w:tcPr>
            <w:tcW w:type="dxa" w:w="2847"/>
            <w:vAlign w:val="center"/>
            <w:tcMar>
              <w:top w:w="80" w:type="dxa"/>
              <w:start w:w="120" w:type="dxa"/>
              <w:bottom w:w="80" w:type="dxa"/>
              <w:end w:w="120" w:type="dxa"/>
            </w:tcMar>
          </w:tcPr>
          <w:p>
            <w:pPr>
              <w:spacing w:line="240" w:lineRule="auto"/>
              <w:jc w:val="left"/>
            </w:pPr>
            <w:r>
              <w:rPr>
                <w:rFonts w:ascii="Calibri" w:hAnsi="Calibri" w:eastAsia="Calibri"/>
                <w:sz w:val="17"/>
              </w:rPr>
              <w:t>Ratios and changes</w:t>
            </w:r>
          </w:p>
        </w:tc>
        <w:tc>
          <w:tcPr>
            <w:tcW w:type="dxa" w:w="2693"/>
            <w:vAlign w:val="center"/>
            <w:tcMar>
              <w:top w:w="80" w:type="dxa"/>
              <w:start w:w="120" w:type="dxa"/>
              <w:bottom w:w="80" w:type="dxa"/>
              <w:end w:w="120" w:type="dxa"/>
            </w:tcMar>
          </w:tcPr>
          <w:p>
            <w:pPr>
              <w:spacing w:line="240" w:lineRule="auto"/>
              <w:jc w:val="center"/>
            </w:pPr>
            <w:r>
              <w:rPr>
                <w:rFonts w:ascii="Calibri" w:hAnsi="Calibri" w:eastAsia="Calibri"/>
                <w:sz w:val="17"/>
              </w:rPr>
              <w:t>None</w:t>
            </w:r>
          </w:p>
        </w:tc>
        <w:tc>
          <w:tcPr>
            <w:tcW w:type="dxa" w:w="3820"/>
            <w:vAlign w:val="center"/>
            <w:tcMar>
              <w:top w:w="80" w:type="dxa"/>
              <w:start w:w="120" w:type="dxa"/>
              <w:bottom w:w="80" w:type="dxa"/>
              <w:end w:w="120" w:type="dxa"/>
            </w:tcMar>
          </w:tcPr>
          <w:p>
            <w:pPr>
              <w:spacing w:line="240" w:lineRule="auto"/>
              <w:jc w:val="center"/>
            </w:pPr>
            <w:r>
              <w:rPr>
                <w:rFonts w:ascii="Calibri" w:hAnsi="Calibri" w:eastAsia="Calibri"/>
                <w:sz w:val="17"/>
              </w:rPr>
              <w:t>Point estimate; interval dominance is conservative only</w:t>
            </w:r>
          </w:p>
        </w:tc>
      </w:tr>
      <w:tr>
        <w:trPr>
          <w:cantSplit/>
        </w:trPr>
        <w:tc>
          <w:tcPr>
            <w:tcW w:type="dxa" w:w="2847"/>
            <w:vAlign w:val="center"/>
            <w:tcMar>
              <w:top w:w="80" w:type="dxa"/>
              <w:start w:w="120" w:type="dxa"/>
              <w:bottom w:w="80" w:type="dxa"/>
              <w:end w:w="120" w:type="dxa"/>
            </w:tcMar>
          </w:tcPr>
          <w:p>
            <w:pPr>
              <w:spacing w:line="240" w:lineRule="auto"/>
              <w:jc w:val="left"/>
            </w:pPr>
            <w:r>
              <w:rPr>
                <w:rFonts w:ascii="Calibri" w:hAnsi="Calibri" w:eastAsia="Calibri"/>
                <w:sz w:val="17"/>
              </w:rPr>
              <w:t>Decomposition component</w:t>
            </w:r>
          </w:p>
        </w:tc>
        <w:tc>
          <w:tcPr>
            <w:tcW w:type="dxa" w:w="2693"/>
            <w:vAlign w:val="center"/>
            <w:tcMar>
              <w:top w:w="80" w:type="dxa"/>
              <w:start w:w="120" w:type="dxa"/>
              <w:bottom w:w="80" w:type="dxa"/>
              <w:end w:w="120" w:type="dxa"/>
            </w:tcMar>
          </w:tcPr>
          <w:p>
            <w:pPr>
              <w:spacing w:line="240" w:lineRule="auto"/>
              <w:jc w:val="center"/>
            </w:pPr>
            <w:r>
              <w:rPr>
                <w:rFonts w:ascii="Calibri" w:hAnsi="Calibri" w:eastAsia="Calibri"/>
                <w:sz w:val="17"/>
              </w:rPr>
              <w:t>None</w:t>
            </w:r>
          </w:p>
        </w:tc>
        <w:tc>
          <w:tcPr>
            <w:tcW w:type="dxa" w:w="3820"/>
            <w:vAlign w:val="center"/>
            <w:tcMar>
              <w:top w:w="80" w:type="dxa"/>
              <w:start w:w="120" w:type="dxa"/>
              <w:bottom w:w="80" w:type="dxa"/>
              <w:end w:w="120" w:type="dxa"/>
            </w:tcMar>
          </w:tcPr>
          <w:p>
            <w:pPr>
              <w:spacing w:line="240" w:lineRule="auto"/>
              <w:jc w:val="center"/>
            </w:pPr>
            <w:r>
              <w:rPr>
                <w:rFonts w:ascii="Calibri" w:hAnsi="Calibri" w:eastAsia="Calibri"/>
                <w:sz w:val="17"/>
              </w:rPr>
              <w:t>Deterministic attribution using posterior means</w:t>
            </w:r>
          </w:p>
        </w:tc>
      </w:tr>
      <w:tr>
        <w:trPr>
          <w:cantSplit/>
        </w:trPr>
        <w:tc>
          <w:tcPr>
            <w:tcW w:type="dxa" w:w="2847"/>
            <w:vAlign w:val="center"/>
            <w:tcMar>
              <w:top w:w="80" w:type="dxa"/>
              <w:start w:w="120" w:type="dxa"/>
              <w:bottom w:w="80" w:type="dxa"/>
              <w:end w:w="120" w:type="dxa"/>
            </w:tcMar>
          </w:tcPr>
          <w:p>
            <w:pPr>
              <w:spacing w:line="240" w:lineRule="auto"/>
              <w:jc w:val="left"/>
            </w:pPr>
            <w:r>
              <w:rPr>
                <w:rFonts w:ascii="Calibri" w:hAnsi="Calibri" w:eastAsia="Calibri"/>
                <w:sz w:val="17"/>
              </w:rPr>
              <w:t>Custom APC summary</w:t>
            </w:r>
          </w:p>
        </w:tc>
        <w:tc>
          <w:tcPr>
            <w:tcW w:type="dxa" w:w="2693"/>
            <w:vAlign w:val="center"/>
            <w:tcMar>
              <w:top w:w="80" w:type="dxa"/>
              <w:start w:w="120" w:type="dxa"/>
              <w:bottom w:w="80" w:type="dxa"/>
              <w:end w:w="120" w:type="dxa"/>
            </w:tcMar>
          </w:tcPr>
          <w:p>
            <w:pPr>
              <w:spacing w:line="240" w:lineRule="auto"/>
              <w:jc w:val="center"/>
            </w:pPr>
            <w:r>
              <w:rPr>
                <w:rFonts w:ascii="Calibri" w:hAnsi="Calibri" w:eastAsia="Calibri"/>
                <w:sz w:val="17"/>
              </w:rPr>
              <w:t>None</w:t>
            </w:r>
          </w:p>
        </w:tc>
        <w:tc>
          <w:tcPr>
            <w:tcW w:type="dxa" w:w="3820"/>
            <w:vAlign w:val="center"/>
            <w:tcMar>
              <w:top w:w="80" w:type="dxa"/>
              <w:start w:w="120" w:type="dxa"/>
              <w:bottom w:w="80" w:type="dxa"/>
              <w:end w:w="120" w:type="dxa"/>
            </w:tcMar>
          </w:tcPr>
          <w:p>
            <w:pPr>
              <w:spacing w:line="240" w:lineRule="auto"/>
              <w:jc w:val="center"/>
            </w:pPr>
            <w:r>
              <w:rPr>
                <w:rFonts w:ascii="Calibri" w:hAnsi="Calibri" w:eastAsia="Calibri"/>
                <w:sz w:val="17"/>
              </w:rPr>
              <w:t>Weighted descriptive rate-surface point estimate; not conventional NCI APC output</w:t>
            </w:r>
          </w:p>
        </w:tc>
      </w:tr>
      <w:tr>
        <w:trPr>
          <w:cantSplit/>
        </w:trPr>
        <w:tc>
          <w:tcPr>
            <w:tcW w:type="dxa" w:w="2847"/>
            <w:vAlign w:val="center"/>
            <w:tcMar>
              <w:top w:w="80" w:type="dxa"/>
              <w:start w:w="120" w:type="dxa"/>
              <w:bottom w:w="80" w:type="dxa"/>
              <w:end w:w="120" w:type="dxa"/>
            </w:tcMar>
          </w:tcPr>
          <w:p>
            <w:pPr>
              <w:spacing w:line="240" w:lineRule="auto"/>
              <w:jc w:val="left"/>
            </w:pPr>
            <w:r>
              <w:rPr>
                <w:rFonts w:ascii="Calibri" w:hAnsi="Calibri" w:eastAsia="Calibri"/>
                <w:sz w:val="17"/>
              </w:rPr>
              <w:t>AR(1) trend sensitivity</w:t>
            </w:r>
          </w:p>
        </w:tc>
        <w:tc>
          <w:tcPr>
            <w:tcW w:type="dxa" w:w="2693"/>
            <w:vAlign w:val="center"/>
            <w:tcMar>
              <w:top w:w="80" w:type="dxa"/>
              <w:start w:w="120" w:type="dxa"/>
              <w:bottom w:w="80" w:type="dxa"/>
              <w:end w:w="120" w:type="dxa"/>
            </w:tcMar>
          </w:tcPr>
          <w:p>
            <w:pPr>
              <w:spacing w:line="240" w:lineRule="auto"/>
              <w:jc w:val="center"/>
            </w:pPr>
            <w:r>
              <w:rPr>
                <w:rFonts w:ascii="Calibri" w:hAnsi="Calibri" w:eastAsia="Calibri"/>
                <w:sz w:val="17"/>
              </w:rPr>
              <w:t>None</w:t>
            </w:r>
          </w:p>
        </w:tc>
        <w:tc>
          <w:tcPr>
            <w:tcW w:type="dxa" w:w="3820"/>
            <w:vAlign w:val="center"/>
            <w:tcMar>
              <w:top w:w="80" w:type="dxa"/>
              <w:start w:w="120" w:type="dxa"/>
              <w:bottom w:w="80" w:type="dxa"/>
              <w:end w:w="120" w:type="dxa"/>
            </w:tcMar>
          </w:tcPr>
          <w:p>
            <w:pPr>
              <w:spacing w:line="240" w:lineRule="auto"/>
              <w:jc w:val="center"/>
            </w:pPr>
            <w:r>
              <w:rPr>
                <w:rFonts w:ascii="Calibri" w:hAnsi="Calibri" w:eastAsia="Calibri"/>
                <w:sz w:val="17"/>
              </w:rPr>
              <w:t>Residual-correlation robustness estimate; not GBD posterior uncertainty</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