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Sex-specific schizophrenia burden in China and the United States, 1990-2023</w:t>
      </w:r>
    </w:p>
    <w:p>
      <w:pPr>
        <w:pStyle w:val="Heading1"/>
        <w:rPr/>
      </w:pPr>
      <w:r>
        <w:rPr/>
        <w:t>Overview</w:t>
      </w:r>
    </w:p>
    <w:p>
      <w:pPr>
        <w:pStyle w:val="Normal"/>
        <w:rPr/>
      </w:pPr>
      <w:r>
        <w:rPr/>
        <w:t>Schizophrenia is associated with substantial lifelong disability, yet national trends are difficult to interpret from case counts alone because they also reflect population growth and ageing. We compared sex-specific schizophrenia burden in China and the United States, two populous countries with markedly different demographic trajectories.</w:t>
      </w:r>
    </w:p>
    <w:p>
      <w:pPr>
        <w:pStyle w:val="Normal"/>
        <w:rPr/>
      </w:pPr>
      <w:r>
        <w:rPr/>
        <w:t xml:space="preserve">We analyzed GBD 2023 estimates of incidence, prevalence, and disability-adjusted life-years (DALYs) from 1990 to 2023. We examined all-age quantities and age-standardized rates (ASRs), characterized nonlinear ASR trends with segmented log-linear regression selected by the Bayesian information criterion (BIC), and used Shapley replacement to separate changes in all-age burden into population-size, age-structure, and age-specific-rate components. Age-by-year China-US prevalence contrasts and the percentage and number of prevalent cases aged 65 years or older were used to characterize age-specific differences and the ageing of the prevalent population. A cumulative annual decomposition was retained, and an age-period-cohort (APC) analysis was applied to incidence as a secondary analysis. </w:t>
      </w:r>
    </w:p>
    <w:p>
      <w:pPr>
        <w:pStyle w:val="Normal"/>
        <w:keepLines/>
        <w:rPr/>
      </w:pPr>
      <w:r>
        <w:rPr/>
        <w:t>Absolute burden increased in every country-sex stratum. From 1990 to 2023, Chinese DALY ASRs rose slightly (female 175.3-177.6; male 207.2-209.1 per 100,000), whereas U.S. rates declined (female 269.5-247.9; male 281.2-270.2). Segmented AAPCs were practically stable in China and negative in the United States under the prespecified +/-0.05%/year band and AR(1) sensitivity. Chinese prevalence was lower through most of adulthood but higher at older ages. The share of prevalent cases aged 65 years or older nearly doubled in China (female 8.7%-17.2%; male 6.7%-14.5%), and decomposition attributed most of the count increase to population growth and ageing.</w:t>
      </w:r>
    </w:p>
    <w:p>
      <w:pPr>
        <w:pStyle w:val="Normal"/>
        <w:rPr/>
      </w:pPr>
      <w:r>
        <w:rPr/>
        <w:t>Rising numbers of incident cases, prevalent cases, and DALYs were not accompanied by worsening age-standardized burden in either country. The contrast between absolute and standardized measures arose largely from population growth and ageing, while the country difference in prevalence reversed across age groups.</w:t>
      </w:r>
    </w:p>
    <w:p>
      <w:pPr>
        <w:pStyle w:val="Heading1"/>
        <w:rPr/>
      </w:pPr>
      <w:r>
        <w:rPr/>
        <w:t>Context</w:t>
      </w:r>
    </w:p>
    <w:p>
      <w:pPr>
        <w:pStyle w:val="Normal"/>
        <w:rPr/>
      </w:pPr>
      <w:r>
        <w:rPr/>
        <w:t xml:space="preserve">Schizophrenia is a severe mental disorder associated with persistent functional impairment, premature mortality, family burden, and substantial health and social care needs [1-3]. In the GBD framework, schizophrenia DALYs are represented mainly by years lived with disability (YLDs) because no direct fatal component is assigned to the disorder; this convention does not imply that people with schizophrenia have no excess mortality [1,3]. </w:t>
      </w:r>
    </w:p>
    <w:p>
      <w:pPr>
        <w:pStyle w:val="Normal"/>
        <w:rPr/>
      </w:pPr>
      <w:r>
        <w:rPr/>
        <w:t>Earlier global GBD analyses found that incident and prevalent case counts and DALYs increased substantially while age-standardized schizophrenia rates changed much less [2,3]. Counts and standardized rates therefore answer different questions: absolute quantities reflect population size and age structure as well as age-specific rates, whereas ASRs remove differences in population age composition.</w:t>
      </w:r>
    </w:p>
    <w:p>
      <w:pPr>
        <w:pStyle w:val="Normal"/>
        <w:rPr/>
      </w:pPr>
      <w:r>
        <w:rPr/>
        <w:t>Recent GBD studies provide important context for this comparison. A 2026 analysis of GBD 2023 data from China reported the same 1990-2023 endpoints, sex strata, and decomposition into population growth, ageing, and age-specific-rate change [4]. Its Chinese endpoint estimates are identical to those used here because both studies draw from the same GBD release. Other studies based on GBD 2021 have examined schizophrenia trends alongside sex and age patterns, country comparisons, decomposition, joinpoint models, inequalities, and projections [5-7]. Against this background, our contribution is a release-matched, sex-specific comparison of China and the United States through 2023, using a common analytic framework for paired trend, decomposition, and age-specific summaries.</w:t>
      </w:r>
    </w:p>
    <w:p>
      <w:pPr>
        <w:pStyle w:val="Normal"/>
        <w:rPr/>
      </w:pPr>
      <w:r>
        <w:rPr/>
        <w:t>China and the United States were selected a priori because both are populous countries but have contrasting age structures and demographic trajectories. We expected all-age quantities to rise more consistently than ASRs, demographic contributions to differ between countries, and aggregate trends to mask some age-specific variation. We therefore quantified endpoints and nonlinear trends, compared country and sex trajectories, decomposed changes in all-age burden, and examined how aggregate patterns related to secondary APC summaries.</w:t>
      </w:r>
    </w:p>
    <w:p>
      <w:pPr>
        <w:pStyle w:val="Heading1"/>
        <w:rPr/>
      </w:pPr>
      <w:r>
        <w:rPr/>
        <w:t>Data and analysis</w:t>
      </w:r>
    </w:p>
    <w:p>
      <w:pPr>
        <w:pStyle w:val="Heading2"/>
        <w:rPr/>
      </w:pPr>
      <w:r>
        <w:rPr/>
        <w:t>Study design and data source</w:t>
      </w:r>
    </w:p>
    <w:p>
      <w:pPr>
        <w:pStyle w:val="Normal"/>
        <w:rPr/>
      </w:pPr>
      <w:r>
        <w:rPr/>
        <w:t>We conducted a comparative secondary analysis of GBD 2023 modeled health estimates [8]. The analytic population comprised females and males in China and the United States from 1990 through 2023. The data contained annual posterior means and 95% uncertainty intervals (UIs) for incidence, prevalence, and DALYs by age, sex, country, year, and metric. GBD schizophrenia estimates synthesize epidemiological inputs under reference case definitions, commonly ICD-10 F20 and corresponding DSM definitions, and use Bayesian disease modeling to generate internally consistent incidence and prevalence estimates by age, sex, location, and year [3,8]. Severity-specific prevalence is combined with population-derived disability weights to estimate YLDs [2,8]. We did not have access to country-specific microdata, source-level sample sizes, or posterior draws. Because the files contained only aggregated, non-identifiable estimates, institutional review board review and informed consent were not applicable.</w:t>
      </w:r>
    </w:p>
    <w:p>
      <w:pPr>
        <w:pStyle w:val="Heading2"/>
        <w:rPr/>
      </w:pPr>
      <w:r>
        <w:rPr/>
        <w:t>Outcomes and analytical exclusions</w:t>
      </w:r>
    </w:p>
    <w:p>
      <w:pPr>
        <w:pStyle w:val="Normal"/>
        <w:rPr/>
      </w:pPr>
      <w:r>
        <w:rPr/>
        <w:t>Primary outcomes were incidence, prevalence, and DALYs. Trend analyses used all-age numbers and ASRs per 100,000 from the GBD Results Tool; the GBD ASRs standardize age-specific rates to a common reference population [8]. For decomposition, we combined matching Number and Rate estimates with official population estimates across 20 mutually exclusive age groups from 0-4 through 95+ years. We excluded the GBD Percent metric because its denominator and age basis differed across outcomes. Probability of death was outside the scope of this nonfatal-burden analysis. The available risk-factor file covered only a limited branch of schizophrenia-attributable DALYs and was insufficient for a complete comparative risk analysis, so risk attribution was not pursued. YLDs were not a prespecified outcome and were not present in the downloaded data. Age-by-year country contrasts were expressed as the log2 ratio of the China to United States age-specific prevalence rates; undefined ratios were masked. The ageing analysis summed age-specific prevalent cases at ages 65 years or older and divided by the corresponding all-age prevalent count.</w:t>
      </w:r>
    </w:p>
    <w:p>
      <w:pPr>
        <w:pStyle w:val="Heading2"/>
        <w:spacing w:before="240" w:after="120"/>
        <w:rPr/>
      </w:pPr>
      <w:r>
        <w:rPr/>
        <w:t>Data quality and population denominators</w:t>
      </w:r>
    </w:p>
    <w:p>
      <w:pPr>
        <w:pStyle w:val="Normal"/>
        <w:rPr/>
      </w:pPr>
      <w:r>
        <w:rPr/>
        <w:t>We checked dimensional uniqueness, completeness across all 34 years, missingness, nonnegativity, uncertainty-bound ordering, and consistency of age groups. The IHME files contained 2,720 exact zero point estimates: incidence Number and Rate at ages 0-9 and 80+, and prevalence and DALY Number and Rate at ages 0-9, in both countries, both sexes, and every year. We retained these values as supplied.  Log-rate APC analyses were restricted to positive-valued ages 10-69. The all-age decomposition retained the full age partition, with an additional incidence sensitivity analysis restricted to ages 10-79. Age-specific quantities were reconstructed from official GBD 2023 population estimates as population × rate / 100,000.</w:t>
      </w:r>
    </w:p>
    <w:p>
      <w:pPr>
        <w:pStyle w:val="Heading2"/>
        <w:rPr/>
      </w:pPr>
      <w:r>
        <w:rPr/>
        <w:t>Trend and comparison analyses</w:t>
      </w:r>
    </w:p>
    <w:p>
      <w:pPr>
        <w:pStyle w:val="Normal"/>
        <w:rPr/>
      </w:pPr>
      <w:r>
        <w:rPr/>
        <w:t xml:space="preserve">We modeled log ASRs using an open Python implementation of piecewise linear regression based on the general joinpoint parameterization [9]. Candidate models allowed zero to two change points, with at least four annual observations in each segment, and the Bayesian information criterion determined the number and location of breakpoints. Segment annual percentage changes and overall average annual percentage changes (AAPCs) summarize fitted changes in the annual GBD posterior means. For interpretation, absolute annual changes below 0.05% were classified as practically stable; thresholds of 0.02% and 0.10% were examined in sensitivity analyses. Additional sensitivities varied the allowed number of breakpoints, minimum segment length, calendar window, scale, and log-UI-width weighting. We also refitted the candidate models using iterative Prais-Winsten feasible generalized least squares with an AR(1) error structure. </w:t>
      </w:r>
    </w:p>
    <w:p>
      <w:pPr>
        <w:pStyle w:val="Normal"/>
        <w:rPr/>
      </w:pPr>
      <w:r>
        <w:rPr/>
        <w:t>We calculated China-U.S. contrasts within each outcome and sex, and female-male contrasts within each outcome and country, as differences in AAPCs. Lag-1 residual autocorrelation was examined because annual GBD estimates may be serially correlated. GBD UIs are reported for the original estimates only; ratios, differences, changes, AAPCs, and decomposition components are point estimates.</w:t>
      </w:r>
    </w:p>
    <w:p>
      <w:pPr>
        <w:pStyle w:val="Heading2"/>
        <w:rPr/>
      </w:pPr>
      <w:r>
        <w:rPr/>
        <w:t>Demographic decomposition</w:t>
      </w:r>
    </w:p>
    <w:p>
      <w:pPr>
        <w:pStyle w:val="Normal"/>
        <w:rPr/>
      </w:pPr>
      <w:r>
        <w:rPr/>
        <w:t>For each outcome, country, and sex, we decomposed the change in reconstructed all-age quantities into contributions from population size, age structure, and age-specific rates [11]. Marginal contributions were averaged over all six possible factor-replacement orders, yielding a Shapley decomposition. We verified that the three components summed to the reconstructed total change within numerical tolerance and that reconstructed endpoints matched the reported all-age numbers. The primary comparison covered 1990-2023; analyses beginning in 2000 and 2010 and annual- and five-year-chain decomposition assessed sensitivity to the endpoints and replacement path. Annual cumulative curves show when each contribution accumulated. We also compared the original 20 age groups with four broader groups (0-19, 20-39, 40-59, and 60+ years). Because incidence was exactly zero at ages 0-9 and 80+ in the source data, an additional sensitivity decomposition was restricted to ages 10-79 and was reported separately from all-age burden.</w:t>
      </w:r>
    </w:p>
    <w:p>
      <w:pPr>
        <w:pStyle w:val="Heading2"/>
        <w:rPr/>
      </w:pPr>
      <w:r>
        <w:rPr/>
        <w:t>Secondary age-period-cohort analysis</w:t>
      </w:r>
    </w:p>
    <w:p>
      <w:pPr>
        <w:pStyle w:val="Normal"/>
        <w:rPr/>
      </w:pPr>
      <w:r>
        <w:rPr/>
        <w:t>For secondary incidence analysis, we used the published apc2() R code of Rosenberg et al., distributed through the National Cancer Institute's APC Web Tool [14,15]. GBD modeled incident counts and matching populations were summed into equal five-year age groups (10-14 to 65-69 years) and six five-year periods (1994-1998 to 2019-2023). The implementation returns its standard estimable functions: net drift, local drifts, longitudinal age rates, and period and cohort rate ratios, with default reference categories. We repeated the analysis in the equal-width 1990-2019 window. GBD counts are modeled posterior means rather than observed independent event counts; consequently, only point estimates were retained, not the implementation's confidence intervals or Wald tests.</w:t>
      </w:r>
    </w:p>
    <w:p>
      <w:pPr>
        <w:pStyle w:val="Heading2"/>
        <w:rPr/>
      </w:pPr>
      <w:r>
        <w:rPr/>
        <w:t>Reporting and reprehensibility</w:t>
      </w:r>
    </w:p>
    <w:p>
      <w:pPr>
        <w:pStyle w:val="Normal"/>
        <w:rPr/>
      </w:pPr>
      <w:r>
        <w:rPr/>
        <w:t>The analysis was performed in Python with deterministic settings. Tables and figures were generated directly from the study's machine-readable inputs and result files, and reporting followed the Guidelines for Accurate and Transparent Health Estimates Reporting (GATHER) [16]. The accompanying materials include analysis scripts, input data, machine-readable results, and figures.</w:t>
      </w:r>
    </w:p>
    <w:p>
      <w:pPr>
        <w:pStyle w:val="Heading1"/>
        <w:rPr/>
      </w:pPr>
      <w:r>
        <w:rPr/>
        <w:t>Results</w:t>
      </w:r>
    </w:p>
    <w:p>
      <w:pPr>
        <w:pStyle w:val="Heading2"/>
        <w:rPr/>
      </w:pPr>
      <w:r>
        <w:rPr/>
        <w:t>Data completeness and outcome selection</w:t>
      </w:r>
    </w:p>
    <w:p>
      <w:pPr>
        <w:pStyle w:val="Normal"/>
        <w:bidi w:val="0"/>
        <w:rPr/>
      </w:pPr>
      <w:r>
        <w:rPr/>
        <w:t>All 12 country-sex-outcomes contained 34 annual all-age quantities and 34 annual ASRs. Each decomposition dataset included 20 age groups spanning 0-4 through 95+ years. We found no negative values or invalid UI ordering. The files contained 2,720 zero Number/Rate cells,which are incidence at ages 0-9 and 80+, and prevalence and DALYs at ages 0-9, in every country-sex-year stratum. Population-rate reconstruction error was negligible (99th percentile absolute discrepancy, 9.06e-11%), and reconstructed decomposition endpoints matched reported all-age numbers within floating-point tolerance.</w:t>
      </w:r>
    </w:p>
    <w:p>
      <w:pPr>
        <w:pStyle w:val="Heading2"/>
        <w:rPr/>
      </w:pPr>
      <w:r>
        <w:rPr/>
        <w:t>Burden levels and temporal changes</w:t>
      </w:r>
    </w:p>
    <w:p>
      <w:pPr>
        <w:pStyle w:val="Normal"/>
        <w:rPr/>
      </w:pPr>
      <w:r>
        <w:rPr/>
        <w:t>All-age incidence, prevalence, and DALY quantities were higher in 2023 than in 1990 for both sexes in both countries. In China, AAPCs for the three outcomes remained within the ±0.05%/year practical-stability band; in the United States, all three AAPCs were negative. Male point-estimate rates were generally higher than female rates.</w:t>
      </w:r>
    </w:p>
    <w:p>
      <w:pPr>
        <w:pStyle w:val="Normal"/>
        <w:rPr/>
      </w:pPr>
      <w:r>
        <w:rPr>
          <w:b/>
        </w:rPr>
        <w:t>Table 1.</w:t>
      </w:r>
      <w:r>
        <w:rPr/>
        <w:t xml:space="preserve"> Endpoint burden and descriptive trends</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954"/>
        <w:gridCol w:w="874"/>
        <w:gridCol w:w="920"/>
        <w:gridCol w:w="1179"/>
        <w:gridCol w:w="1177"/>
        <w:gridCol w:w="1021"/>
        <w:gridCol w:w="1068"/>
        <w:gridCol w:w="1068"/>
        <w:gridCol w:w="1099"/>
      </w:tblGrid>
      <w:tr>
        <w:trPr>
          <w:tblHeader w:val="true"/>
        </w:trPr>
        <w:tc>
          <w:tcPr>
            <w:tcW w:w="954"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Location</w:t>
            </w:r>
          </w:p>
        </w:tc>
        <w:tc>
          <w:tcPr>
            <w:tcW w:w="874"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Sex</w:t>
            </w:r>
          </w:p>
        </w:tc>
        <w:tc>
          <w:tcPr>
            <w:tcW w:w="920"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Outcome</w:t>
            </w:r>
          </w:p>
        </w:tc>
        <w:tc>
          <w:tcPr>
            <w:tcW w:w="1179"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1990 quantity (95% UI)</w:t>
            </w:r>
          </w:p>
        </w:tc>
        <w:tc>
          <w:tcPr>
            <w:tcW w:w="1177"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2023 quantity (95% UI)</w:t>
            </w:r>
          </w:p>
        </w:tc>
        <w:tc>
          <w:tcPr>
            <w:tcW w:w="1021"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Quantity change, %</w:t>
            </w:r>
          </w:p>
        </w:tc>
        <w:tc>
          <w:tcPr>
            <w:tcW w:w="1068"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ASR 1990 (95% UI)</w:t>
            </w:r>
          </w:p>
        </w:tc>
        <w:tc>
          <w:tcPr>
            <w:tcW w:w="1068"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ASR 2023 (95% UI)</w:t>
            </w:r>
          </w:p>
        </w:tc>
        <w:tc>
          <w:tcPr>
            <w:tcW w:w="1099" w:type="dxa"/>
            <w:tcBorders/>
            <w:shd w:fill="FFFFFF" w:val="clear"/>
            <w:vAlign w:val="center"/>
          </w:tcPr>
          <w:p>
            <w:pPr>
              <w:pStyle w:val="Normal"/>
              <w:widowControl/>
              <w:suppressAutoHyphens w:val="true"/>
              <w:spacing w:before="0" w:after="120"/>
              <w:jc w:val="center"/>
              <w:rPr/>
            </w:pPr>
            <w:r>
              <w:rPr>
                <w:rFonts w:eastAsia="Calibri" w:cs=""/>
                <w:b/>
                <w:color w:val="1F4D78"/>
                <w:kern w:val="0"/>
                <w:sz w:val="13"/>
                <w:szCs w:val="22"/>
                <w:lang w:val="en-US" w:eastAsia="en-US" w:bidi="ar-SA"/>
              </w:rPr>
              <w:t>Descriptive AAPC, %/year</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China</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Female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Incidence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115,697 (97,975-138,931)</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132,520 (111,395-155,089)</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14.5</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18.35 (15.45-21.78)</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18.42 (15.40-21.88)</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0.012</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China</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Female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Prevalence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1,544,462 (1,278,400-1,844,258)</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2,469,230 (2,074,473-2,895,939)</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59.9</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276.90 (233.25-329.61)</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278.86 (234.44-331.62)</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0.024</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China</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Female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DALYs</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985,172 (724,062-1,242,487)</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1,551,859 (1,120,102-1,948,123)</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57.5</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175.27 (131.54-219.91)</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177.61 (129.65-223.14)</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0.048</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China</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Incidence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152,989 (129,743-182,808)</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174,592 (147,864-202,989)</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14.1</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22.78 (19.22-26.98)</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22.77 (19.21-26.93)</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-0.001</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China</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Prevalence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1,926,496 (1,592,841-2,282,654)</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2,925,661 (2,451,025-3,441,426)</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51.9</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322.43 (269.45-380.65)</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324.40 (272.30-383.47)</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0.015</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China</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DALYs</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1,249,021 (905,406-1,575,895)</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1,867,497 (1,364,871-2,322,508)</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49.5</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207.25 (151.97-258.34)</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209.14 (154.27-260.57)</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0.036</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United States</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Female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Incidence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31,876 (26,748-38,496)</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36,071 (30,645-42,094)</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13.2</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24.55 (20.89-29.32)</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23.04 (19.65-27.07)</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-0.210</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United States</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Female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Prevalence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625,836 (518,779-742,574)</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767,642 (646,811-896,627)</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22.7</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435.19 (361.33-517.16)</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403.27 (336.96-477.10)</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-0.230</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United States</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Female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DALYs</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386,308 (272,674-478,016)</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465,494 (334,682-564,154)</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20.5</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269.48 (190.04-335.42)</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247.86 (176.81-305.03)</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-0.249</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United States</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Incidence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35,897 (30,748-42,985)</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42,426 (36,456-49,242)</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18.2</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27.28 (23.47-32.00)</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26.42 (22.57-30.86)</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-0.076</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United States</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Prevalence</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608,106 (507,602-721,030)</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800,475 (674,409-934,021)</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31.6</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443.11 (370.70-523.98)</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428.80 (358.33-502.32)</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-0.079</w:t>
            </w:r>
          </w:p>
        </w:tc>
      </w:tr>
      <w:tr>
        <w:trPr>
          <w:cantSplit/>
        </w:trPr>
        <w:tc>
          <w:tcPr>
            <w:tcW w:w="954" w:type="dxa"/>
            <w:tcBorders/>
            <w:vAlign w:val="center"/>
          </w:tcPr>
          <w:p>
            <w:pPr>
              <w:pStyle w:val="Normal"/>
              <w:widowControl/>
              <w:suppressAutoHyphens w:val="true"/>
              <w:spacing w:lineRule="auto" w:line="240" w:before="0" w:after="120"/>
              <w:jc w:val="start"/>
              <w:rPr/>
            </w:pPr>
            <w:r>
              <w:rPr>
                <w:rFonts w:eastAsia="Calibri" w:cs=""/>
                <w:kern w:val="0"/>
                <w:sz w:val="13"/>
                <w:szCs w:val="22"/>
                <w:lang w:val="en-US" w:eastAsia="en-US" w:bidi="ar-SA"/>
              </w:rPr>
              <w:t>United States</w:t>
            </w:r>
          </w:p>
        </w:tc>
        <w:tc>
          <w:tcPr>
            <w:tcW w:w="874"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Male</w:t>
            </w:r>
          </w:p>
        </w:tc>
        <w:tc>
          <w:tcPr>
            <w:tcW w:w="920"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DALYs</w:t>
            </w:r>
          </w:p>
        </w:tc>
        <w:tc>
          <w:tcPr>
            <w:tcW w:w="117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386,160 (278,483-478,712)</w:t>
            </w:r>
          </w:p>
        </w:tc>
        <w:tc>
          <w:tcPr>
            <w:tcW w:w="1177"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499,087 (362,580-610,406)</w:t>
            </w:r>
          </w:p>
        </w:tc>
        <w:tc>
          <w:tcPr>
            <w:tcW w:w="1021"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29.2</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281.20 (202.44-346.56)</w:t>
            </w:r>
          </w:p>
        </w:tc>
        <w:tc>
          <w:tcPr>
            <w:tcW w:w="1068"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270.16 (194.75-334.97)</w:t>
            </w:r>
          </w:p>
        </w:tc>
        <w:tc>
          <w:tcPr>
            <w:tcW w:w="1099" w:type="dxa"/>
            <w:tcBorders/>
            <w:vAlign w:val="center"/>
          </w:tcPr>
          <w:p>
            <w:pPr>
              <w:pStyle w:val="Normal"/>
              <w:widowControl/>
              <w:suppressAutoHyphens w:val="true"/>
              <w:spacing w:lineRule="auto" w:line="240" w:before="0" w:after="120"/>
              <w:jc w:val="center"/>
              <w:rPr/>
            </w:pPr>
            <w:r>
              <w:rPr>
                <w:rFonts w:eastAsia="Calibri" w:cs=""/>
                <w:kern w:val="0"/>
                <w:sz w:val="13"/>
                <w:szCs w:val="22"/>
                <w:lang w:val="en-US" w:eastAsia="en-US" w:bidi="ar-SA"/>
              </w:rPr>
              <w:t>-0.109</w:t>
            </w:r>
          </w:p>
        </w:tc>
      </w:tr>
    </w:tbl>
    <w:p>
      <w:pPr>
        <w:pStyle w:val="Normal"/>
        <w:rPr/>
      </w:pPr>
      <w:r>
        <w:rPr/>
      </w:r>
    </w:p>
    <w:p>
      <w:pPr>
        <w:pStyle w:val="Normal"/>
        <w:rPr/>
      </w:pPr>
      <w:r>
        <w:rPr/>
        <w:t>Quantity denotes incident cases, prevalent cases, or DALYs; DALYs represent healthy life-years lost rather than numbers of people. The 95% UIs are those reported by GBD for the endpoint estimates. Percentage changes and AAPCs are point estimates without propagated posterior uncertainty.</w:t>
      </w:r>
    </w:p>
    <w:p>
      <w:pPr>
        <w:pStyle w:val="Normal"/>
        <w:jc w:val="center"/>
        <w:rPr/>
      </w:pPr>
      <w:r>
        <w:rPr/>
        <w:drawing>
          <wp:inline distT="0" distB="0" distL="0" distR="0">
            <wp:extent cx="5943600" cy="1941195"/>
            <wp:effectExtent l="0" t="0" r="0" b="0"/>
            <wp:docPr id="1" name="Picture 1" descr="Three panels showing incidence, prevalence, and DALY age-standardized rate trends by country and sex." title="Three panels showing incidence, prevalence, and DALY age-standardized rate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ree panels showing incidence, prevalence, and DALY age-standardized rate trends by country and sex." title="Three panels showing incidence, prevalence, and DALY age-standardized rate trend"/>
                    <pic:cNvPicPr>
                      <a:picLocks noChangeAspect="1" noChangeArrowheads="1"/>
                    </pic:cNvPicPr>
                  </pic:nvPicPr>
                  <pic:blipFill>
                    <a:blip r:embed="rId2"/>
                    <a:stretch>
                      <a:fillRect/>
                    </a:stretch>
                  </pic:blipFill>
                  <pic:spPr bwMode="auto">
                    <a:xfrm>
                      <a:off x="0" y="0"/>
                      <a:ext cx="5943600" cy="1941195"/>
                    </a:xfrm>
                    <a:prstGeom prst="rect">
                      <a:avLst/>
                    </a:prstGeom>
                    <a:noFill/>
                  </pic:spPr>
                </pic:pic>
              </a:graphicData>
            </a:graphic>
          </wp:inline>
        </w:drawing>
      </w:r>
    </w:p>
    <w:p>
      <w:pPr>
        <w:pStyle w:val="Normal"/>
        <w:spacing w:before="0" w:after="200"/>
        <w:jc w:val="start"/>
        <w:rPr/>
      </w:pPr>
      <w:r>
        <w:rPr>
          <w:b/>
        </w:rPr>
        <w:t xml:space="preserve">Figure 1. </w:t>
      </w:r>
      <w:r>
        <w:rPr/>
        <w:t>Sex-specific schizophrenia age-standardized rates in China and the United States, 1990-2023. Shading shows native 95% GBD uncertainty intervals.</w:t>
      </w:r>
    </w:p>
    <w:p>
      <w:pPr>
        <w:pStyle w:val="Heading2"/>
        <w:rPr/>
      </w:pPr>
      <w:r>
        <w:rPr/>
      </w:r>
    </w:p>
    <w:p>
      <w:pPr>
        <w:pStyle w:val="Heading2"/>
        <w:rPr/>
      </w:pPr>
      <w:r>
        <w:rPr/>
        <w:t>Segmented trends and descriptive comparisons</w:t>
      </w:r>
    </w:p>
    <w:p>
      <w:pPr>
        <w:pStyle w:val="Normal"/>
        <w:rPr/>
      </w:pPr>
      <w:r>
        <w:rPr/>
        <w:t>The BIC-selected segmented curves captured modest nonlinear features in the annual posterior means. Absolute lag-1 residual correlation was at least 0.5 in 8 of the 12 primary fits, indicating that an independent-error model was not adequate for every panel. Refitting with AR(1) feasible GLS left the practical trajectory classification unchanged in all 12 panels, retained the same number of breakpoints in 11, and changed AAPC by no more than 0.009 percentage points/year. Breakpoint years shifted in several Chinese panels, so breakpoint locations and slopes are reported descriptively. The fitted tra</w:t>
      </w:r>
      <w:r>
        <w:drawing>
          <wp:anchor distT="0" distB="0" distL="0" distR="0" simplePos="0" relativeHeight="9" behindDoc="0" locked="0" layoutInCell="0" allowOverlap="1">
            <wp:simplePos x="0" y="0"/>
            <wp:positionH relativeFrom="column">
              <wp:posOffset>42545</wp:posOffset>
            </wp:positionH>
            <wp:positionV relativeFrom="paragraph">
              <wp:posOffset>2304415</wp:posOffset>
            </wp:positionV>
            <wp:extent cx="5943600" cy="5448935"/>
            <wp:effectExtent l="0" t="0" r="0" b="0"/>
            <wp:wrapSquare wrapText="largest"/>
            <wp:docPr id="2"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3"/>
                    <pic:cNvPicPr>
                      <a:picLocks noChangeAspect="1" noChangeArrowheads="1"/>
                    </pic:cNvPicPr>
                  </pic:nvPicPr>
                  <pic:blipFill>
                    <a:blip r:embed="rId3"/>
                    <a:stretch>
                      <a:fillRect/>
                    </a:stretch>
                  </pic:blipFill>
                  <pic:spPr bwMode="auto">
                    <a:xfrm>
                      <a:off x="0" y="0"/>
                      <a:ext cx="5943600" cy="5448935"/>
                    </a:xfrm>
                    <a:prstGeom prst="rect">
                      <a:avLst/>
                    </a:prstGeom>
                    <a:noFill/>
                  </pic:spPr>
                </pic:pic>
              </a:graphicData>
            </a:graphic>
          </wp:anchor>
        </w:drawing>
      </w:r>
      <w:r>
        <w:rPr/>
        <w:t>jectories are shown in Figure S2.</w:t>
      </w:r>
    </w:p>
    <w:p>
      <w:pPr>
        <w:pStyle w:val="Normal"/>
        <w:rPr/>
      </w:pPr>
      <w:r>
        <w:rPr>
          <w:b/>
        </w:rPr>
        <w:t>Table 2.</w:t>
      </w:r>
      <w:r>
        <w:rPr/>
        <w:t xml:space="preserve"> China-United States annualized endpoint contrasts</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1535"/>
        <w:gridCol w:w="1680"/>
        <w:gridCol w:w="1786"/>
        <w:gridCol w:w="2071"/>
        <w:gridCol w:w="2288"/>
      </w:tblGrid>
      <w:tr>
        <w:trPr>
          <w:tblHeader w:val="true"/>
        </w:trPr>
        <w:tc>
          <w:tcPr>
            <w:tcW w:w="1535"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Sex</w:t>
            </w:r>
          </w:p>
        </w:tc>
        <w:tc>
          <w:tcPr>
            <w:tcW w:w="1680"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Outcome</w:t>
            </w:r>
          </w:p>
        </w:tc>
        <w:tc>
          <w:tcPr>
            <w:tcW w:w="1786"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China, %/year</w:t>
            </w:r>
          </w:p>
        </w:tc>
        <w:tc>
          <w:tcPr>
            <w:tcW w:w="2071"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United States, %/year</w:t>
            </w:r>
          </w:p>
        </w:tc>
        <w:tc>
          <w:tcPr>
            <w:tcW w:w="2288"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US-China, percentage points</w:t>
            </w:r>
          </w:p>
        </w:tc>
      </w:tr>
      <w:tr>
        <w:trPr>
          <w:cantSplit/>
        </w:trPr>
        <w:tc>
          <w:tcPr>
            <w:tcW w:w="153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Female</w:t>
            </w:r>
          </w:p>
        </w:tc>
        <w:tc>
          <w:tcPr>
            <w:tcW w:w="1680"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Incidence</w:t>
            </w:r>
          </w:p>
        </w:tc>
        <w:tc>
          <w:tcPr>
            <w:tcW w:w="178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0.013</w:t>
            </w:r>
          </w:p>
        </w:tc>
        <w:tc>
          <w:tcPr>
            <w:tcW w:w="2071"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-0.193</w:t>
            </w:r>
          </w:p>
        </w:tc>
        <w:tc>
          <w:tcPr>
            <w:tcW w:w="2288"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-0.206</w:t>
            </w:r>
          </w:p>
        </w:tc>
      </w:tr>
      <w:tr>
        <w:trPr>
          <w:cantSplit/>
        </w:trPr>
        <w:tc>
          <w:tcPr>
            <w:tcW w:w="153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Female</w:t>
            </w:r>
          </w:p>
        </w:tc>
        <w:tc>
          <w:tcPr>
            <w:tcW w:w="1680"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Prevalence</w:t>
            </w:r>
          </w:p>
        </w:tc>
        <w:tc>
          <w:tcPr>
            <w:tcW w:w="178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0.021</w:t>
            </w:r>
          </w:p>
        </w:tc>
        <w:tc>
          <w:tcPr>
            <w:tcW w:w="2071"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-0.231</w:t>
            </w:r>
          </w:p>
        </w:tc>
        <w:tc>
          <w:tcPr>
            <w:tcW w:w="2288"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-0.252</w:t>
            </w:r>
          </w:p>
        </w:tc>
      </w:tr>
      <w:tr>
        <w:trPr>
          <w:cantSplit/>
        </w:trPr>
        <w:tc>
          <w:tcPr>
            <w:tcW w:w="153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Female</w:t>
            </w:r>
          </w:p>
        </w:tc>
        <w:tc>
          <w:tcPr>
            <w:tcW w:w="1680"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DALYs</w:t>
            </w:r>
          </w:p>
        </w:tc>
        <w:tc>
          <w:tcPr>
            <w:tcW w:w="178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0.040</w:t>
            </w:r>
          </w:p>
        </w:tc>
        <w:tc>
          <w:tcPr>
            <w:tcW w:w="2071"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-0.253</w:t>
            </w:r>
          </w:p>
        </w:tc>
        <w:tc>
          <w:tcPr>
            <w:tcW w:w="2288"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-0.293</w:t>
            </w:r>
          </w:p>
        </w:tc>
      </w:tr>
      <w:tr>
        <w:trPr>
          <w:cantSplit/>
        </w:trPr>
        <w:tc>
          <w:tcPr>
            <w:tcW w:w="153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Male</w:t>
            </w:r>
          </w:p>
        </w:tc>
        <w:tc>
          <w:tcPr>
            <w:tcW w:w="1680"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Incidence</w:t>
            </w:r>
          </w:p>
        </w:tc>
        <w:tc>
          <w:tcPr>
            <w:tcW w:w="178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-0.001</w:t>
            </w:r>
          </w:p>
        </w:tc>
        <w:tc>
          <w:tcPr>
            <w:tcW w:w="2071"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-0.097</w:t>
            </w:r>
          </w:p>
        </w:tc>
        <w:tc>
          <w:tcPr>
            <w:tcW w:w="2288"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-0.095</w:t>
            </w:r>
          </w:p>
        </w:tc>
      </w:tr>
      <w:tr>
        <w:trPr>
          <w:cantSplit/>
        </w:trPr>
        <w:tc>
          <w:tcPr>
            <w:tcW w:w="153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Male</w:t>
            </w:r>
          </w:p>
        </w:tc>
        <w:tc>
          <w:tcPr>
            <w:tcW w:w="1680"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Prevalence</w:t>
            </w:r>
          </w:p>
        </w:tc>
        <w:tc>
          <w:tcPr>
            <w:tcW w:w="178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0.018</w:t>
            </w:r>
          </w:p>
        </w:tc>
        <w:tc>
          <w:tcPr>
            <w:tcW w:w="2071"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-0.099</w:t>
            </w:r>
          </w:p>
        </w:tc>
        <w:tc>
          <w:tcPr>
            <w:tcW w:w="2288"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-0.118</w:t>
            </w:r>
          </w:p>
        </w:tc>
      </w:tr>
      <w:tr>
        <w:trPr>
          <w:cantSplit/>
        </w:trPr>
        <w:tc>
          <w:tcPr>
            <w:tcW w:w="1535"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Male</w:t>
            </w:r>
          </w:p>
        </w:tc>
        <w:tc>
          <w:tcPr>
            <w:tcW w:w="1680"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DALYs</w:t>
            </w:r>
          </w:p>
        </w:tc>
        <w:tc>
          <w:tcPr>
            <w:tcW w:w="178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0.028</w:t>
            </w:r>
          </w:p>
        </w:tc>
        <w:tc>
          <w:tcPr>
            <w:tcW w:w="2071"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-0.121</w:t>
            </w:r>
          </w:p>
        </w:tc>
        <w:tc>
          <w:tcPr>
            <w:tcW w:w="2288"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-0.149</w:t>
            </w:r>
          </w:p>
        </w:tc>
      </w:tr>
    </w:tbl>
    <w:p>
      <w:pPr>
        <w:pStyle w:val="Normal"/>
        <w:rPr/>
      </w:pPr>
      <w:r>
        <w:rPr/>
      </w:r>
    </w:p>
    <w:p>
      <w:pPr>
        <w:pStyle w:val="Normal"/>
        <w:rPr/>
      </w:pPr>
      <w:r>
        <w:rPr/>
        <w:t>Annualized endpoint changes were calculated from the 1990 and 2023 ASRs and are reported as point estimates. The contrast is United States minus China. Confidence intervals and parallelism tests were not calculated; additional country and sex contrasts are provided in the supplement.</w:t>
      </w:r>
    </w:p>
    <w:p>
      <w:pPr>
        <w:pStyle w:val="Heading2"/>
        <w:rPr/>
      </w:pPr>
      <w:r>
        <w:rPr/>
        <w:t>Age-specific patterns</w:t>
      </w:r>
    </w:p>
    <w:p>
      <w:pPr>
        <w:pStyle w:val="Normal"/>
        <w:rPr/>
      </w:pPr>
      <w:r>
        <w:rPr/>
        <w:t>Age profiles varied by outcome and sex, with male point estimates generally higher than female estimates. Incidence peaked in early adulthood, while prevalence and DALY rates remained substantial through middle adulthood. Incidence values at ages 80+ were exact zeros in the source data.</w:t>
      </w:r>
    </w:p>
    <w:p>
      <w:pPr>
        <w:pStyle w:val="Normal"/>
        <w:keepNext w:val="true"/>
        <w:jc w:val="center"/>
        <w:rPr/>
      </w:pPr>
      <w:r>
        <w:rPr/>
        <w:drawing>
          <wp:inline distT="0" distB="0" distL="0" distR="0">
            <wp:extent cx="5760720" cy="5281295"/>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4"/>
                    <a:stretch>
                      <a:fillRect/>
                    </a:stretch>
                  </pic:blipFill>
                  <pic:spPr bwMode="auto">
                    <a:xfrm>
                      <a:off x="0" y="0"/>
                      <a:ext cx="5760720" cy="5281295"/>
                    </a:xfrm>
                    <a:prstGeom prst="rect">
                      <a:avLst/>
                    </a:prstGeom>
                    <a:noFill/>
                  </pic:spPr>
                </pic:pic>
              </a:graphicData>
            </a:graphic>
          </wp:inline>
        </w:drawing>
      </w:r>
    </w:p>
    <w:p>
      <w:pPr>
        <w:pStyle w:val="Normal"/>
        <w:spacing w:before="0" w:after="200"/>
        <w:jc w:val="start"/>
        <w:rPr/>
      </w:pPr>
      <w:r>
        <w:rPr/>
        <w:t>Figure 2. Age-specific incidence, prevalence, and DALY rates in 2023 by country and sex. Shading shows native 95% GBD uncertainty intervals.</w:t>
      </w:r>
    </w:p>
    <w:p>
      <w:pPr>
        <w:pStyle w:val="Normal"/>
        <w:keepNext w:val="true"/>
        <w:jc w:val="center"/>
        <w:rPr/>
      </w:pPr>
      <w:r>
        <w:rPr/>
        <w:drawing>
          <wp:inline distT="0" distB="0" distL="0" distR="0">
            <wp:extent cx="5760720" cy="298450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noChangeArrowheads="1"/>
                    </pic:cNvPicPr>
                  </pic:nvPicPr>
                  <pic:blipFill>
                    <a:blip r:embed="rId5"/>
                    <a:stretch>
                      <a:fillRect/>
                    </a:stretch>
                  </pic:blipFill>
                  <pic:spPr bwMode="auto">
                    <a:xfrm>
                      <a:off x="0" y="0"/>
                      <a:ext cx="5760720" cy="2984500"/>
                    </a:xfrm>
                    <a:prstGeom prst="rect">
                      <a:avLst/>
                    </a:prstGeom>
                    <a:noFill/>
                  </pic:spPr>
                </pic:pic>
              </a:graphicData>
            </a:graphic>
          </wp:inline>
        </w:drawing>
      </w:r>
    </w:p>
    <w:p>
      <w:pPr>
        <w:pStyle w:val="Caption"/>
        <w:rPr/>
      </w:pPr>
      <w:r>
        <w:rPr/>
        <w:t>Figure 3. Age-specific China-United States prevalence-rate ratios, 1990-2023. Blue indicates lower rates in China, white indicates equal rates, and red indicates higher rates in China. Cells with undefined ratios were masked. Ratios are derived from posterior means without propagated uncertainty.</w:t>
      </w:r>
    </w:p>
    <w:p>
      <w:pPr>
        <w:pStyle w:val="Normal"/>
        <w:rPr/>
      </w:pPr>
      <w:r>
        <w:rPr/>
        <w:t>Age-specific prevalence changed little within most age groups, but the country profiles differed. In 2023, prevalence peaked at ages 55-59 years among females in China and 40-44 years among males, compared with ages 35-39 years for both sexes in the United States. Chinese female prevalence was lower through ages 65-69 and higher from ages 70-74 onward; Chinese male prevalence was lower through ages 55-59 and higher from ages 60-64 onward.</w:t>
      </w:r>
    </w:p>
    <w:p>
      <w:pPr>
        <w:pStyle w:val="Normal"/>
        <w:rPr/>
      </w:pPr>
      <w:r>
        <w:rPr/>
        <w:t>The prevalent population shifted toward older ages in both countries. Among females, the share aged 65 years or older increased from 8.7% to 17.2% in China and from 10.1% to 14.2% in the United States. Among males, the corresponding increase was from 6.7% to 14.5% in China and from 6.8% to 10.7% in the United States. Chinese prevalent cases aged 65 years or older increased from approximately 134,000 to 425,000 among females and from 130,000 to 423,000 among males.</w:t>
      </w:r>
    </w:p>
    <w:p>
      <w:pPr>
        <w:pStyle w:val="Normal"/>
        <w:keepNext w:val="true"/>
        <w:jc w:val="center"/>
        <w:rPr/>
      </w:pPr>
      <w:r>
        <w:rPr/>
        <w:drawing>
          <wp:inline distT="0" distB="0" distL="0" distR="0">
            <wp:extent cx="5760720" cy="398462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r:embed="rId6"/>
                    <a:stretch>
                      <a:fillRect/>
                    </a:stretch>
                  </pic:blipFill>
                  <pic:spPr bwMode="auto">
                    <a:xfrm>
                      <a:off x="0" y="0"/>
                      <a:ext cx="5760720" cy="3984625"/>
                    </a:xfrm>
                    <a:prstGeom prst="rect">
                      <a:avLst/>
                    </a:prstGeom>
                    <a:noFill/>
                  </pic:spPr>
                </pic:pic>
              </a:graphicData>
            </a:graphic>
          </wp:inline>
        </w:drawing>
      </w:r>
    </w:p>
    <w:p>
      <w:pPr>
        <w:pStyle w:val="Normal"/>
        <w:rPr/>
      </w:pPr>
      <w:r>
        <w:rPr/>
        <w:t>Figure 4. Percentage and number of prevalent schizophrenia cases aged 65 years or older in China and the United States, 1990-2023. Values are derived from age-specific posterior mean counts without propagated uncertainty.</w:t>
      </w:r>
    </w:p>
    <w:p>
      <w:pPr>
        <w:pStyle w:val="Heading2"/>
        <w:rPr/>
      </w:pPr>
      <w:r>
        <w:rPr/>
        <w:t>Drivers of changing all-age quantities</w:t>
      </w:r>
    </w:p>
    <w:p>
      <w:pPr>
        <w:pStyle w:val="Normal"/>
        <w:rPr/>
      </w:pPr>
      <w:r>
        <w:rPr>
          <w:b/>
        </w:rPr>
        <w:t>Table 3.</w:t>
      </w:r>
      <w:r>
        <w:rPr/>
        <w:t xml:space="preserve"> Shapley decomposition of all-age changes, 1990-2023</w:t>
      </w:r>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1353"/>
        <w:gridCol w:w="1189"/>
        <w:gridCol w:w="1283"/>
        <w:gridCol w:w="1397"/>
        <w:gridCol w:w="1356"/>
        <w:gridCol w:w="1447"/>
        <w:gridCol w:w="1335"/>
      </w:tblGrid>
      <w:tr>
        <w:trPr>
          <w:tblHeader w:val="true"/>
        </w:trPr>
        <w:tc>
          <w:tcPr>
            <w:tcW w:w="1353"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Location</w:t>
            </w:r>
          </w:p>
        </w:tc>
        <w:tc>
          <w:tcPr>
            <w:tcW w:w="1189"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Sex</w:t>
            </w:r>
          </w:p>
        </w:tc>
        <w:tc>
          <w:tcPr>
            <w:tcW w:w="1283"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Outcome</w:t>
            </w:r>
          </w:p>
        </w:tc>
        <w:tc>
          <w:tcPr>
            <w:tcW w:w="1397"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Population size</w:t>
            </w:r>
          </w:p>
        </w:tc>
        <w:tc>
          <w:tcPr>
            <w:tcW w:w="1356"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Age structure</w:t>
            </w:r>
          </w:p>
        </w:tc>
        <w:tc>
          <w:tcPr>
            <w:tcW w:w="1447"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Age-specific rate</w:t>
            </w:r>
          </w:p>
        </w:tc>
        <w:tc>
          <w:tcPr>
            <w:tcW w:w="1335" w:type="dxa"/>
            <w:tcBorders/>
            <w:shd w:fill="FFFFFF"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Calibri" w:cs=""/>
                <w:b/>
                <w:color w:val="1F4D78"/>
                <w:kern w:val="0"/>
                <w:sz w:val="16"/>
                <w:szCs w:val="22"/>
                <w:lang w:val="en-US" w:eastAsia="en-US" w:bidi="ar-SA"/>
              </w:rPr>
              <w:t>Total change</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China</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Female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Incidence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24,854</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-8,744</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712</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16,823</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China</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Female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Prevalence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394,946</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511,754</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18,068</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924,768</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China</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Female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DALYs</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249,766</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297,673</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19,248</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566,687</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China</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Incidence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30,554</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-8,856</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-95</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21,603</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China</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Prevalence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446,098</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537,692</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15,376</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999,165</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China</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DALYs</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286,716</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317,336</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14,425</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618,476</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United States</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Female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Incidence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8,969</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-2,903</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-1,870</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4,195</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United States</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Female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Prevalence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183,048</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8,052</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-49,294</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141,806</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United States</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Female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DALYs</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112,027</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1,113</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-33,954</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79,186</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United States</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Incidence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11,463</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-3,817</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-1,117</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6,529</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United States</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Prevalence</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204,543</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9,379</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-21,553</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192,369</w:t>
            </w:r>
          </w:p>
        </w:tc>
      </w:tr>
      <w:tr>
        <w:trPr>
          <w:cantSplit/>
        </w:trPr>
        <w:tc>
          <w:tcPr>
            <w:tcW w:w="1353" w:type="dxa"/>
            <w:tcBorders/>
            <w:vAlign w:val="cente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Calibri" w:cs=""/>
                <w:kern w:val="0"/>
                <w:sz w:val="16"/>
                <w:szCs w:val="22"/>
                <w:lang w:val="en-US" w:eastAsia="en-US" w:bidi="ar-SA"/>
              </w:rPr>
              <w:t>United States</w:t>
            </w:r>
          </w:p>
        </w:tc>
        <w:tc>
          <w:tcPr>
            <w:tcW w:w="1189"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Male</w:t>
            </w:r>
          </w:p>
        </w:tc>
        <w:tc>
          <w:tcPr>
            <w:tcW w:w="1283"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DALYs</w:t>
            </w:r>
          </w:p>
        </w:tc>
        <w:tc>
          <w:tcPr>
            <w:tcW w:w="139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128,713</w:t>
            </w:r>
          </w:p>
        </w:tc>
        <w:tc>
          <w:tcPr>
            <w:tcW w:w="1356"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1,060</w:t>
            </w:r>
          </w:p>
        </w:tc>
        <w:tc>
          <w:tcPr>
            <w:tcW w:w="1447"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-16,847</w:t>
            </w:r>
          </w:p>
        </w:tc>
        <w:tc>
          <w:tcPr>
            <w:tcW w:w="1335" w:type="dxa"/>
            <w:tcBorders/>
            <w:vAlign w:val="center"/>
          </w:tcPr>
          <w:p>
            <w:pPr>
              <w:pStyle w:val="Normal"/>
              <w:widowControl/>
              <w:suppressAutoHyphens w:val="true"/>
              <w:spacing w:lineRule="auto" w:line="240" w:before="0" w:after="120"/>
              <w:jc w:val="center"/>
              <w:rPr>
                <w:rFonts w:eastAsia="ＭＳ 明朝" w:cs=""/>
                <w:kern w:val="0"/>
                <w:szCs w:val="22"/>
                <w:lang w:val="en-US" w:eastAsia="en-US" w:bidi="ar-SA"/>
              </w:rPr>
            </w:pPr>
            <w:r>
              <w:rPr>
                <w:rFonts w:eastAsia="Calibri" w:cs=""/>
                <w:kern w:val="0"/>
                <w:sz w:val="16"/>
                <w:szCs w:val="22"/>
                <w:lang w:val="en-US" w:eastAsia="en-US" w:bidi="ar-SA"/>
              </w:rPr>
              <w:t>112,927</w:t>
            </w:r>
          </w:p>
        </w:tc>
      </w:tr>
    </w:tbl>
    <w:p>
      <w:pPr>
        <w:pStyle w:val="Normal"/>
        <w:rPr/>
      </w:pPr>
      <w:r>
        <w:rPr/>
      </w:r>
    </w:p>
    <w:p>
      <w:pPr>
        <w:pStyle w:val="Normal"/>
        <w:rPr/>
      </w:pPr>
      <w:r>
        <w:rPr/>
        <w:t>Population-size change contributed positively in all 12 panels, whereas the age-structure and age-specific-rate components differed by country, sex, and outcome (Table 3). Negative values indicate components that offset part of the total increase; because the components are additive rather than compositional, their percentages can exceed 100%. Annual- and five-year-chain allocations differed from endpoint allocations by at most 7.9% of total change. Restricting incidence to positive-valued ages 10-79 preserved the sign of every component, although magnitudes changed. Collapsing the age groups produced material variation in at least one component in 3 of 12 panels. Results based on the original 20 age groups are therefore presented as primary, with the collapsed groups used as an aggregation sensitivity analysis.</w:t>
      </w:r>
    </w:p>
    <w:p>
      <w:pPr>
        <w:pStyle w:val="Normal"/>
        <w:keepNext w:val="true"/>
        <w:jc w:val="center"/>
        <w:rPr/>
      </w:pPr>
      <w:r>
        <w:rPr/>
        <w:drawing>
          <wp:inline distT="0" distB="0" distL="0" distR="0">
            <wp:extent cx="5760720" cy="480695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noChangeArrowheads="1"/>
                    </pic:cNvPicPr>
                  </pic:nvPicPr>
                  <pic:blipFill>
                    <a:blip r:embed="rId7"/>
                    <a:stretch>
                      <a:fillRect/>
                    </a:stretch>
                  </pic:blipFill>
                  <pic:spPr bwMode="auto">
                    <a:xfrm>
                      <a:off x="0" y="0"/>
                      <a:ext cx="5760720" cy="4806950"/>
                    </a:xfrm>
                    <a:prstGeom prst="rect">
                      <a:avLst/>
                    </a:prstGeom>
                    <a:noFill/>
                  </pic:spPr>
                </pic:pic>
              </a:graphicData>
            </a:graphic>
          </wp:inline>
        </w:drawing>
      </w:r>
    </w:p>
    <w:p>
      <w:pPr>
        <w:pStyle w:val="Normal"/>
        <w:spacing w:before="0" w:after="200"/>
        <w:jc w:val="start"/>
        <w:rPr/>
      </w:pPr>
      <w:r>
        <w:rPr/>
        <w:t>Figure 5. Shapley decomposition of changes in reconstructed all-age schizophrenia quantities, 1990-2023. Components were calculated from posterior mean rates.</w:t>
      </w:r>
    </w:p>
    <w:p>
      <w:pPr>
        <w:pStyle w:val="Normal"/>
        <w:rPr/>
      </w:pPr>
      <w:r>
        <w:rPr/>
        <w:t>In China, population ageing added about 504,000 female and 527,000 male prevalent cases by 2023; population growth added about 409,000 and 462,000. Rate change contributed about 12,000 female and 11,000 male cases. In the United States, population growth was the main positive component, while rate change offset about 51,000 female and 21,000 male cases. The cumulative annual trajectories are shown in Figure S3.</w:t>
      </w:r>
    </w:p>
    <w:p>
      <w:pPr>
        <w:pStyle w:val="Heading2"/>
        <w:rPr/>
      </w:pPr>
      <w:r>
        <w:rPr/>
        <w:t>Secondary age-period-cohort summaries</w:t>
      </w:r>
    </w:p>
    <w:p>
      <w:pPr>
        <w:pStyle w:val="Normal"/>
        <w:rPr/>
      </w:pPr>
      <w:r>
        <w:rPr/>
        <w:t>In the four incidence panels, APC net drift ranged from -0.078%/year for U.S. females to 0.037%/year for U.S. males. The China estimates were 0.006%/year for females and 0.001%/year for males. Under the prespecified +/-0.05%/year practical-stability band, both China panels and U.S. males were stable, whereas U.S. females decreased. These labels were unchanged in the 1990-2019 sensitivity window.</w:t>
      </w:r>
    </w:p>
    <w:p>
      <w:pPr>
        <w:pStyle w:val="Normal"/>
        <w:rPr/>
      </w:pPr>
      <w:r>
        <w:rPr/>
        <w:t>All four country-sex panels had APC local drifts on both sides of zero, showing age-specific temporal heterogeneity. Across panels, period rate ratios ranged from 0.979 to 1.011 and cohort rate ratios from 0.875 to 1.016. These are APC estimable functions normalized to their reference periods and cohorts; they do not establish causal period or birth-cohort effects.</w:t>
      </w:r>
    </w:p>
    <w:p>
      <w:pPr>
        <w:pStyle w:val="Normal"/>
        <w:rPr/>
      </w:pPr>
      <w:r>
        <w:rPr/>
        <w:drawing>
          <wp:anchor distT="0" distB="0" distL="0" distR="0" simplePos="0" relativeHeight="8" behindDoc="0" locked="0" layoutInCell="0" allowOverlap="1">
            <wp:simplePos x="0" y="0"/>
            <wp:positionH relativeFrom="column">
              <wp:posOffset>85725</wp:posOffset>
            </wp:positionH>
            <wp:positionV relativeFrom="paragraph">
              <wp:posOffset>201295</wp:posOffset>
            </wp:positionV>
            <wp:extent cx="5943600" cy="4491990"/>
            <wp:effectExtent l="0" t="0" r="0" b="0"/>
            <wp:wrapSquare wrapText="largest"/>
            <wp:docPr id="7"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1"/>
                    <pic:cNvPicPr>
                      <a:picLocks noChangeAspect="1" noChangeArrowheads="1"/>
                    </pic:cNvPicPr>
                  </pic:nvPicPr>
                  <pic:blipFill>
                    <a:blip r:embed="rId8"/>
                    <a:stretch>
                      <a:fillRect/>
                    </a:stretch>
                  </pic:blipFill>
                  <pic:spPr bwMode="auto">
                    <a:xfrm>
                      <a:off x="0" y="0"/>
                      <a:ext cx="5943600" cy="4491990"/>
                    </a:xfrm>
                    <a:prstGeom prst="rect">
                      <a:avLst/>
                    </a:prstGeom>
                    <a:noFill/>
                  </pic:spPr>
                </pic:pic>
              </a:graphicData>
            </a:graphic>
          </wp:anchor>
        </w:drawing>
      </w:r>
    </w:p>
    <w:p>
      <w:pPr>
        <w:pStyle w:val="Normal"/>
        <w:rPr/>
      </w:pPr>
      <w:r>
        <w:rPr/>
        <w:t>The practical-stability classification from APC net drift agreed with the segmented incidence AAPC in three of four country-sex strata. The exception was U.S. males: segmented AAPC decreased, while APC net drift was within the practical-stability band. The estimands differ in age coverage, standardization, calendar aggregation, and model form, so exact agreement is not expected.</w:t>
      </w: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764280"/>
            <wp:effectExtent l="0" t="0" r="0" b="0"/>
            <wp:wrapSquare wrapText="largest"/>
            <wp:docPr id="8"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2"/>
                    <pic:cNvPicPr>
                      <a:picLocks noChangeAspect="1" noChangeArrowheads="1"/>
                    </pic:cNvPicPr>
                  </pic:nvPicPr>
                  <pic:blipFill>
                    <a:blip r:embed="rId9"/>
                    <a:stretch>
                      <a:fillRect/>
                    </a:stretch>
                  </pic:blipFill>
                  <pic:spPr bwMode="auto">
                    <a:xfrm>
                      <a:off x="0" y="0"/>
                      <a:ext cx="5943600" cy="3764280"/>
                    </a:xfrm>
                    <a:prstGeom prst="rect">
                      <a:avLst/>
                    </a:prstGeom>
                    <a:noFill/>
                  </pic:spPr>
                </pic:pic>
              </a:graphicData>
            </a:graphic>
          </wp:anchor>
        </w:drawing>
      </w:r>
    </w:p>
    <w:p>
      <w:pPr>
        <w:pStyle w:val="Heading1"/>
        <w:rPr/>
      </w:pPr>
      <w:r>
        <w:rPr/>
        <w:t>Interpretation</w:t>
      </w:r>
    </w:p>
    <w:p>
      <w:pPr>
        <w:pStyle w:val="Normal"/>
        <w:rPr/>
      </w:pPr>
      <w:r>
        <w:rPr/>
        <w:t>The main finding was a divergence between absolute and age-standardized measures. From 1990 to 2023, estimated numbers of incident cases, people living with schizophrenia, and DALYs increased in both countries, while Chinese ASRs were essentially stable under the prespecified descriptive band and U.S. ASRs declined, most clearly among females. Population growth, shifts in age structure, and changes in age-specific rates contributed differently to these patterns.</w:t>
      </w:r>
    </w:p>
    <w:p>
      <w:pPr>
        <w:pStyle w:val="Normal"/>
        <w:rPr/>
      </w:pPr>
      <w:r>
        <w:rPr/>
        <w:t>The APC incidence analysis provides a complementary view of age-specific change. Local drifts had opposing signs in all four panels, indicating that an aggregate trajectory can obscure groups moving in different directions. In China-male incidence, both segmented AAPC and APC net drift were practically stable. In U.S.-male incidence, segmented AAPC decreased while APC net drift was practically stable. Differences in calendar window, age coverage, standardization, and model form can explain this mismatch; neither summary is a causal estimate.</w:t>
      </w:r>
    </w:p>
    <w:p>
      <w:pPr>
        <w:pStyle w:val="Normal"/>
        <w:rPr/>
      </w:pPr>
      <w:r>
        <w:rPr/>
        <w:t>The divergence between counts and standardized rates is consistent with findings from earlier GBD releases. Using GBD 2019, Solmi and colleagues reported global increases from 14.2 to 23.6 million prevalent cases, 0.941 to 1.3 million incident cases, and 9.1 to 15.1 million DALYs between 1990 and 2019, while age-standardized estimates changed comparatively little [3]. Song and colleagues, using GBD 2023, reported the same Chinese sex-specific endpoint changes observed here: incidence increased by 14.1% among males and 14.5% among females, prevalence by 51.9% and 59.9%, and DALYs by 49.5% and 57.5%, respectively [4]. The numerical agreement is expected because both analyses use the same release. A GBD 2021 analysis of China instead reported a both-sex ASPR increase from 374.60 to 388.99 per 100,000 through 2021 [5]. That estimate comes from an earlier release, combines sexes, and covers a different calendar period, so it is not directly interchangeable with the present sex-specific GBD 2023 series.</w:t>
      </w:r>
    </w:p>
    <w:p>
      <w:pPr>
        <w:pStyle w:val="Normal"/>
        <w:rPr/>
      </w:pPr>
      <w:r>
        <w:rPr/>
        <w:t>Applying the same decomposition to both countries and sexes helps clarify why similar increases in absolute burden can arise from different combinations of population growth, ageing, and age-specific rates. In China, age structure made a sizeable positive contribution to prevalence and DALYs, whereas U.S. age-specific-rate components were negative for several outcomes. The increasing share and number of prevalent cases at ages 65 years or older make this demographic contribution directly relevant to planning age-appropriate clinical and social services, although prevalent counts do not measure actual service use.</w:t>
      </w:r>
    </w:p>
    <w:p>
      <w:pPr>
        <w:pStyle w:val="Normal"/>
        <w:rPr/>
      </w:pPr>
      <w:r>
        <w:rPr/>
        <w:t>Incident and prevalent counts indicate potential service volume, whereas DALYs quantify healthy life lost. Age-standardized rates compare countries and years after adjustment for age composition but can conceal growth in the number of people living with schizophrenia.</w:t>
      </w:r>
    </w:p>
    <w:p>
      <w:pPr>
        <w:pStyle w:val="Heading1"/>
        <w:rPr/>
      </w:pPr>
      <w:r>
        <w:rPr/>
        <w:t>Conclusion</w:t>
      </w:r>
    </w:p>
    <w:p>
      <w:pPr>
        <w:pStyle w:val="Normal"/>
        <w:rPr/>
      </w:pPr>
      <w:r>
        <w:rPr/>
        <w:t>Between 1990 and 2023, estimated numbers of incident cases, prevalent cases, and DALYs increased in both China and the United States, but the age-standardized trajectories differed: Chinese slopes were practically stable under the prespecified descriptive rule, whereas U.S. slopes were negative. The China-U.S. prevalence contrast reversed at older ages, and the prevalent population shifted substantially toward ages 65 years or older, particularly in China. Decomposition showed that population growth, age structure, and age-specific rates contributed differently across outcomes and settings. Interpreting schizophrenia burden therefore requires attention to absolute burden, health loss, standardized rates, age structure, and sex together.</w:t>
      </w:r>
    </w:p>
    <w:p>
      <w:pPr>
        <w:pStyle w:val="Heading1"/>
        <w:rPr/>
      </w:pPr>
      <w:r>
        <w:rPr/>
        <w:t>Supplementary information</w:t>
      </w:r>
    </w:p>
    <w:p>
      <w:pPr>
        <w:pStyle w:val="ListBullet"/>
        <w:numPr>
          <w:ilvl w:val="0"/>
          <w:numId w:val="1"/>
        </w:numPr>
        <w:ind w:hanging="360" w:start="720"/>
        <w:rPr/>
      </w:pPr>
      <w:r>
        <w:rPr/>
        <w:t>Supplementary file 1: supplementary_material.docx, containing Tables S1-S15 and Figures S1-S4.</w:t>
      </w:r>
    </w:p>
    <w:p>
      <w:pPr>
        <w:pStyle w:val="ListBullet"/>
        <w:numPr>
          <w:ilvl w:val="0"/>
          <w:numId w:val="1"/>
        </w:numPr>
        <w:ind w:hanging="360" w:start="720"/>
        <w:rPr/>
      </w:pPr>
      <w:r>
        <w:rPr/>
        <w:t>Supplementary file 2: statistical_methods_appendix.docx, containing complete estimating equations, constraints, sensitivities, and the uncertainty taxonomy.</w:t>
      </w:r>
    </w:p>
    <w:p>
      <w:pPr>
        <w:pStyle w:val="ListBullet"/>
        <w:numPr>
          <w:ilvl w:val="0"/>
          <w:numId w:val="1"/>
        </w:numPr>
        <w:ind w:hanging="360" w:start="720"/>
        <w:rPr/>
      </w:pPr>
      <w:r>
        <w:rPr/>
        <w:t>Supplementary file 3: companion CSV files containing the machine-readable analysis results.</w:t>
      </w:r>
    </w:p>
    <w:p>
      <w:pPr>
        <w:pStyle w:val="Heading1"/>
        <w:rPr/>
      </w:pPr>
      <w:r>
        <w:rPr/>
        <w:t>References</w:t>
      </w:r>
    </w:p>
    <w:p>
      <w:pPr>
        <w:pStyle w:val="Normal"/>
        <w:spacing w:before="0" w:after="60"/>
        <w:ind w:hanging="288" w:start="288"/>
        <w:rPr/>
      </w:pPr>
      <w:r>
        <w:rPr>
          <w:sz w:val="18"/>
        </w:rPr>
        <w:t>1. GBD 2019 Mental Disorders Collaborators. Global, regional, and national burden of 12 mental disorders in 204 countries and territories, 1990-2019: a systematic analysis for the Global Burden of Disease Study 2019. Lancet Psychiatry. 2022;9(2):137-150. doi:10.1016/S2215-0366(21)00395-3.</w:t>
      </w:r>
    </w:p>
    <w:p>
      <w:pPr>
        <w:pStyle w:val="Normal"/>
        <w:spacing w:before="0" w:after="60"/>
        <w:ind w:hanging="288" w:start="288"/>
        <w:rPr/>
      </w:pPr>
      <w:r>
        <w:rPr>
          <w:sz w:val="18"/>
        </w:rPr>
        <w:t>2. Charlson FJ, Ferrari AJ, Santomauro DF, et al. Global epidemiology and burden of schizophrenia: findings from the Global Burden of Disease Study 2016. Schizophr Bull. 2018;44(6):1195-1203. doi:10.1093/schbul/sby058.</w:t>
      </w:r>
    </w:p>
    <w:p>
      <w:pPr>
        <w:pStyle w:val="Normal"/>
        <w:spacing w:before="0" w:after="60"/>
        <w:ind w:hanging="288" w:start="288"/>
        <w:rPr/>
      </w:pPr>
      <w:r>
        <w:rPr>
          <w:sz w:val="18"/>
        </w:rPr>
        <w:t>3. Solmi M, Seitidis G, Mavridis D, et al. Incidence, prevalence, and global burden of schizophrenia - data, with critical appraisal, from the Global Burden of Disease (GBD) 2019. Mol Psychiatry. 2023;28(12):5319-5327. doi:10.1038/s41380-023-02138-4.</w:t>
      </w:r>
    </w:p>
    <w:p>
      <w:pPr>
        <w:pStyle w:val="Normal"/>
        <w:spacing w:before="0" w:after="60"/>
        <w:ind w:hanging="288" w:start="288"/>
        <w:rPr/>
      </w:pPr>
      <w:r>
        <w:rPr>
          <w:sz w:val="18"/>
        </w:rPr>
        <w:t>4. Song H, Fang L, Li H. Long-term trends in the burden of schizophrenia in China, 1990-2052: an analysis of the Global Burden of Disease Study 2023. Psychol Res Behav Manag. 2026;19:574531. doi:10.2147/PRBM.S574531.</w:t>
      </w:r>
    </w:p>
    <w:p>
      <w:pPr>
        <w:pStyle w:val="Normal"/>
        <w:spacing w:before="0" w:after="60"/>
        <w:ind w:hanging="288" w:start="288"/>
        <w:rPr/>
      </w:pPr>
      <w:r>
        <w:rPr>
          <w:sz w:val="18"/>
        </w:rPr>
        <w:t>5. Huo J, Li R, Ren X, et al. Trends in incidence, prevalence, and disability-adjusted life years of schizophrenia in China from 1990 to 2021, with projections for 2022-2050. Front Psychiatry. 2025;16:1651350. doi:10.3389/fpsyt.2025.1651350.</w:t>
      </w:r>
    </w:p>
    <w:p>
      <w:pPr>
        <w:pStyle w:val="Normal"/>
        <w:spacing w:before="0" w:after="60"/>
        <w:ind w:hanging="288" w:start="288"/>
        <w:rPr/>
      </w:pPr>
      <w:r>
        <w:rPr>
          <w:sz w:val="18"/>
        </w:rPr>
        <w:t>6. Luo W, Gao J, Guo Z, et al. Trends and cross-country inequalities in schizophrenia from 1990 to 2021, with prediction to 2035: a systematic analysis of the Global Burden of Disease Study 2021. BMC Psychiatry. 2025;25:928. doi:10.1186/s12888-025-07273-6.</w:t>
      </w:r>
    </w:p>
    <w:p>
      <w:pPr>
        <w:pStyle w:val="Normal"/>
        <w:spacing w:before="0" w:after="60"/>
        <w:ind w:hanging="288" w:start="288"/>
        <w:rPr/>
      </w:pPr>
      <w:r>
        <w:rPr>
          <w:sz w:val="18"/>
        </w:rPr>
        <w:t>7. Zhou W, He J, Wu L, et al. Global, regional, and national burden of schizophrenia: epidemiological trends, decomposition, joinpoint analysis, and projections to 2036 based on GBD 2021. Front Psychiatry. 2026;17:1702808. doi:10.3389/fpsyt.2026.1702808.</w:t>
      </w:r>
    </w:p>
    <w:p>
      <w:pPr>
        <w:pStyle w:val="Normal"/>
        <w:spacing w:before="0" w:after="60"/>
        <w:ind w:hanging="288" w:start="288"/>
        <w:rPr/>
      </w:pPr>
      <w:r>
        <w:rPr>
          <w:sz w:val="18"/>
        </w:rPr>
        <w:t>8. Global Burden of Disease Collaborative Network. Global Burden of Disease Study 2023 (GBD 2023) Results. Seattle, United States: Institute for Health Metrics and Evaluation; 2024. https://vizhub.healthdata.org/gbd-results/. Accessed 1 September 2026.</w:t>
      </w:r>
    </w:p>
    <w:p>
      <w:pPr>
        <w:pStyle w:val="Normal"/>
        <w:spacing w:before="0" w:after="60"/>
        <w:ind w:hanging="288" w:start="288"/>
        <w:rPr/>
      </w:pPr>
      <w:r>
        <w:rPr>
          <w:sz w:val="18"/>
        </w:rPr>
        <w:t>9. Kim HJ, Fay MP, Feuer EJ, Midthune DN. Permutation tests for joinpoint regression with applications to cancer rates. Stat Med. 2000;19(3):335-351; correction 2001;20(4):655. doi:10.1002/(SICI)1097-0258(20000215)19:3&lt;335::AID-SIM336&gt;3.0.CO;2-Z.</w:t>
      </w:r>
    </w:p>
    <w:p>
      <w:pPr>
        <w:pStyle w:val="Normal"/>
        <w:spacing w:before="0" w:after="60"/>
        <w:ind w:hanging="288" w:start="288"/>
        <w:rPr/>
      </w:pPr>
      <w:r>
        <w:rPr>
          <w:sz w:val="18"/>
        </w:rPr>
        <w:t>10. National Cancer Institute. Joinpoint Regression Program, version 6.1.0. Surveillance Research Program. https://surveillance.cancer.gov/joinpoint/. Accessed 1 September 2026.</w:t>
      </w:r>
    </w:p>
    <w:p>
      <w:pPr>
        <w:pStyle w:val="Normal"/>
        <w:spacing w:before="0" w:after="60"/>
        <w:ind w:hanging="288" w:start="288"/>
        <w:rPr/>
      </w:pPr>
      <w:r>
        <w:rPr>
          <w:sz w:val="18"/>
        </w:rPr>
        <w:t>11. Das Gupta P. Standardization and decomposition of rates: a user's manual. Current Population Reports, Series P23-186. Washington, DC: US Bureau of the Census; 1993. https://www.census.gov/library/publications/1993/demo/p23-186.html. Accessed 4 September 2026.</w:t>
      </w:r>
    </w:p>
    <w:p>
      <w:pPr>
        <w:pStyle w:val="Normal"/>
        <w:spacing w:before="0" w:after="60"/>
        <w:ind w:hanging="288" w:start="288"/>
        <w:rPr/>
      </w:pPr>
      <w:r>
        <w:rPr>
          <w:sz w:val="18"/>
        </w:rPr>
        <w:t>12. Holford TR. The estimation of age, period and cohort effects for vital rates. Biometrics. 1983;39(2):311-324. doi:10.2307/2531004.</w:t>
      </w:r>
    </w:p>
    <w:p>
      <w:pPr>
        <w:pStyle w:val="Normal"/>
        <w:spacing w:before="0" w:after="60"/>
        <w:ind w:hanging="288" w:start="288"/>
        <w:rPr/>
      </w:pPr>
      <w:r>
        <w:rPr>
          <w:sz w:val="18"/>
        </w:rPr>
        <w:t>13. Clayton D, Schifflers E. Models for temporal variation in cancer rates. II: age-period-cohort models. Stat Med. 1987;6(4):469-481. doi:10.1002/sim.4780060406.</w:t>
      </w:r>
    </w:p>
    <w:p>
      <w:pPr>
        <w:pStyle w:val="Normal"/>
        <w:spacing w:before="0" w:after="60"/>
        <w:ind w:hanging="288" w:start="288"/>
        <w:rPr/>
      </w:pPr>
      <w:r>
        <w:rPr/>
        <w:t>14. Rosenberg PS, Check DP, Anderson WF. A web tool for age-period-cohort analysis of cancer incidence and mortality rates. Cancer Epidemiol Biomarkers Prev. 2014;23(11):2296-2302. doi:10.1158/1055-9965.EPI-14-0300.</w:t>
      </w:r>
    </w:p>
    <w:p>
      <w:pPr>
        <w:pStyle w:val="Normal"/>
        <w:spacing w:before="0" w:after="60"/>
        <w:ind w:hanging="288" w:start="288"/>
        <w:rPr/>
      </w:pPr>
      <w:r>
        <w:rPr/>
        <w:t>15. National Cancer Institute. Age Period Cohort Analysis Tool. https://analysistools.cancer.gov/apc/help.html. Accessed 11 September 2026.</w:t>
      </w:r>
    </w:p>
    <w:p>
      <w:pPr>
        <w:pStyle w:val="Normal"/>
        <w:spacing w:before="0" w:after="60"/>
        <w:ind w:hanging="288" w:start="288"/>
        <w:rPr/>
      </w:pPr>
      <w:r>
        <w:rPr>
          <w:sz w:val="18"/>
        </w:rPr>
        <w:t>16. Stevens GA, Alkema L, Black RE, et al. Guidelines for Accurate and Transparent Health Estimates Reporting: the GATHER statement. Lancet. 2016;388(10062):e19-e23. doi:10.1016/S0140-6736(16)30388-9.</w:t>
      </w:r>
    </w:p>
    <w:sectPr>
      <w:footerReference w:type="even" r:id="rId10"/>
      <w:footerReference w:type="default" r:id="rId11"/>
      <w:footerReference w:type="first" r:id="rId12"/>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宋体"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480" w:before="0" w:after="120"/>
      <w:jc w:val="start"/>
    </w:pPr>
    <w:rPr>
      <w:rFonts w:ascii="Calibri" w:hAnsi="Calibri" w:eastAsia="ＭＳ 明朝" w:cs="宋体"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宋体"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宋体"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宋体"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宋体"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宋体"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宋体"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宋体"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宋体"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宋体"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宋体"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宋体"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宋体"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宋体"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标题样式"/>
    <w:basedOn w:val="Normal"/>
    <w:next w:val="BodyTex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索引"/>
    <w:basedOn w:val="Normal"/>
    <w:pPr>
      <w:suppressLineNumbers/>
    </w:pPr>
    <w:rPr>
      <w:rFonts w:cs="Lucida Sans"/>
    </w:rPr>
  </w:style>
  <w:style w:type="paragraph" w:styleId="user">
    <w:name w:val="标题样式 (user)"/>
    <w:basedOn w:val="Normal"/>
    <w:next w:val="BodyText"/>
    <w:pPr>
      <w:keepNext w:val="true"/>
      <w:spacing w:before="240" w:after="120"/>
    </w:pPr>
    <w:rPr>
      <w:rFonts w:ascii="Liberation Sans" w:hAnsi="Liberation Sans" w:eastAsia="Microsoft YaHei" w:cs="Arial"/>
      <w:sz w:val="28"/>
      <w:szCs w:val="28"/>
    </w:rPr>
  </w:style>
  <w:style w:type="paragraph" w:styleId="user1">
    <w:name w:val="索引 (user)"/>
    <w:basedOn w:val="Normal"/>
    <w:pPr>
      <w:suppressLineNumbers/>
    </w:pPr>
    <w:rPr>
      <w:rFonts w:cs="Arial"/>
    </w:rPr>
  </w:style>
  <w:style w:type="paragraph" w:styleId="user2">
    <w:name w:val="页眉与页脚 (user)"/>
    <w:basedOn w:val="Normal"/>
    <w:pPr/>
    <w:rPr/>
  </w:style>
  <w:style w:type="paragraph" w:styleId="Style7">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宋体"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宋体"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81" w:before="0" w:after="160"/>
      <w:ind w:hanging="360" w:start="720"/>
      <w:contextualSpacing/>
    </w:pPr>
    <w:rPr>
      <w:rFonts w:ascii="Calibri" w:hAnsi="Calibri"/>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281" w:before="0" w:after="160"/>
      <w:ind w:hanging="360" w:start="720"/>
      <w:contextualSpacing/>
    </w:pPr>
    <w:rPr>
      <w:rFonts w:ascii="Calibri" w:hAnsi="Calibri"/>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宋体"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
    <w:pPr/>
    <w:rPr/>
  </w:style>
  <w:style w:type="paragraph" w:styleId="TOCHeading">
    <w:name w:val="TOC Heading"/>
    <w:basedOn w:val="Heading1"/>
    <w:next w:val="Normal"/>
    <w:uiPriority w:val="39"/>
    <w:semiHidden/>
    <w:unhideWhenUsed/>
    <w:qFormat/>
    <w:rsid w:val="00fc693f"/>
    <w:pPr>
      <w:outlineLvl w:val="9"/>
    </w:pPr>
    <w:rPr/>
  </w:style>
  <w:style w:type="numbering" w:styleId="user3" w:default="1">
    <w:name w:val="无列表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LibreOffice/26.8.1.1$Windows_X86_64 LibreOffice_project/bf6ef2662401c7d6dce671ab4deb26ee0af3a7c1</Application>
  <AppVersion>15.0000</AppVersion>
  <Pages>23</Pages>
  <Words>3860</Words>
  <Characters>24619</Characters>
  <CharactersWithSpaces>28151</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2026-10-15T21:15:23Z</dcterms:modified>
  <cp:revision>6</cp:revision>
  <dc:subject/>
  <dc:title>Sex-specific schizophrenia burden in China and the United States, 1990-2023</dc:title>
</cp:coreProperties>
</file>

<file path=docProps/custom.xml><?xml version="1.0" encoding="utf-8"?>
<Properties xmlns="http://schemas.openxmlformats.org/officeDocument/2006/custom-properties" xmlns:vt="http://schemas.openxmlformats.org/officeDocument/2006/docPropsVTypes"/>
</file>