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0393F" w14:textId="77777777" w:rsidR="00D4616F" w:rsidRDefault="00FC2B8D">
      <w:r>
        <w:t xml:space="preserve">Jacob Penrod </w:t>
      </w:r>
      <w:r w:rsidR="00411DE9">
        <w:t>Final Project – Result Milestone</w:t>
      </w:r>
      <w:r>
        <w:t xml:space="preserve"> </w:t>
      </w:r>
    </w:p>
    <w:p w14:paraId="2E81123C" w14:textId="77777777" w:rsidR="00411DE9" w:rsidRDefault="00411DE9"/>
    <w:p w14:paraId="28A5544D" w14:textId="210BFACD" w:rsidR="00194C2E" w:rsidRDefault="00411DE9">
      <w:r>
        <w:t xml:space="preserve">For the first part of my final project implementation of Hidden Markov Model in LibRec, I cleaned a dataset consisting of </w:t>
      </w:r>
      <w:r w:rsidR="00194C2E">
        <w:t xml:space="preserve">LastFM Playlists for users. </w:t>
      </w:r>
      <w:r w:rsidR="00390B34">
        <w:t xml:space="preserve">To have a place to develop my dataset and to have a point of comparison I decided to tune LibRec’s implementation of TimeSVD++. </w:t>
      </w:r>
      <w:r w:rsidR="00194C2E">
        <w:t>The dataset that I used for TimeSVD++ consisted of a [User Id], [Artist Id], [Rating], [Hour] to fit the LibRec text reader UIRT format.</w:t>
      </w:r>
      <w:bookmarkStart w:id="0" w:name="_GoBack"/>
      <w:bookmarkEnd w:id="0"/>
    </w:p>
    <w:p w14:paraId="699FD2E8" w14:textId="77777777" w:rsidR="00287CE2" w:rsidRDefault="00194C2E">
      <w:r>
        <w:t xml:space="preserve">A few notes on my dataset. </w:t>
      </w:r>
    </w:p>
    <w:p w14:paraId="336AEC51" w14:textId="1014C8E2" w:rsidR="00287CE2" w:rsidRDefault="00194C2E" w:rsidP="00287CE2">
      <w:pPr>
        <w:pStyle w:val="ListParagraph"/>
        <w:numPr>
          <w:ilvl w:val="0"/>
          <w:numId w:val="1"/>
        </w:numPr>
      </w:pPr>
      <w:r>
        <w:t xml:space="preserve">User ID and Artist ID are both just iterating keys based on the original data. </w:t>
      </w:r>
      <w:r w:rsidR="00B81BBA">
        <w:t xml:space="preserve">I loaded the full dataset into Microsoft SQL, 19 million rows and created foreign keys to tables of distinct users, artists and songs for easy reference and aggregations. </w:t>
      </w:r>
    </w:p>
    <w:p w14:paraId="27F8B7B1" w14:textId="77777777" w:rsidR="00287CE2" w:rsidRDefault="00194C2E" w:rsidP="00287CE2">
      <w:pPr>
        <w:pStyle w:val="ListParagraph"/>
        <w:numPr>
          <w:ilvl w:val="0"/>
          <w:numId w:val="1"/>
        </w:numPr>
      </w:pPr>
      <w:r>
        <w:t xml:space="preserve">Ratings are all 5, I am </w:t>
      </w:r>
      <w:r w:rsidR="00287CE2">
        <w:t xml:space="preserve">using an implicit rating, basically assuming </w:t>
      </w:r>
      <w:r>
        <w:t xml:space="preserve">if a person listened to a song they liked it, the original dataset does not contain user ratings. </w:t>
      </w:r>
    </w:p>
    <w:p w14:paraId="0BABDA18" w14:textId="73816B17" w:rsidR="00411DE9" w:rsidRDefault="00287CE2" w:rsidP="00287CE2">
      <w:pPr>
        <w:pStyle w:val="ListParagraph"/>
        <w:numPr>
          <w:ilvl w:val="0"/>
          <w:numId w:val="1"/>
        </w:numPr>
      </w:pPr>
      <w:r>
        <w:t>Hours are the average hour that they listened to that artist. If I liste</w:t>
      </w:r>
      <w:r w:rsidR="00B81BBA">
        <w:t>ned</w:t>
      </w:r>
      <w:r>
        <w:t xml:space="preserve"> to Metallica at 1 3 5 it would a</w:t>
      </w:r>
      <w:r w:rsidR="00640ED7">
        <w:t>verage out to a (9/3) 3</w:t>
      </w:r>
      <w:r>
        <w:t xml:space="preserve"> for that user.</w:t>
      </w:r>
    </w:p>
    <w:p w14:paraId="5ADA878F" w14:textId="5F0BBFBD" w:rsidR="00287CE2" w:rsidRDefault="00287CE2" w:rsidP="00287CE2">
      <w:r>
        <w:t>I will play with different aggregations, such as Min and Max</w:t>
      </w:r>
      <w:r w:rsidR="00640ED7">
        <w:t xml:space="preserve"> or Median</w:t>
      </w:r>
      <w:r>
        <w:t xml:space="preserve"> for the Hour column to see if that gets better results in my final paper. </w:t>
      </w:r>
    </w:p>
    <w:p w14:paraId="6B3BBFC0" w14:textId="77777777" w:rsidR="006611B7" w:rsidRDefault="006611B7" w:rsidP="006611B7"/>
    <w:p w14:paraId="36C629BB" w14:textId="77777777" w:rsidR="006611B7" w:rsidRDefault="006611B7" w:rsidP="006611B7">
      <w:r>
        <w:t>Presumably I could do better by going out to genre, but I don’t have that information in my dataset.</w:t>
      </w:r>
    </w:p>
    <w:p w14:paraId="0C8F65AC" w14:textId="77777777" w:rsidR="00287CE2" w:rsidRDefault="00287CE2" w:rsidP="00287CE2"/>
    <w:p w14:paraId="743C4076" w14:textId="4922EB48" w:rsidR="00287CE2" w:rsidRDefault="00287CE2" w:rsidP="00287CE2">
      <w:r>
        <w:t xml:space="preserve">I started with songs and the hour they were listened to, but I would always get loss that was too big for TimeSVD++ and then it would not converge. </w:t>
      </w:r>
      <w:r w:rsidR="00E652E1">
        <w:t>I needed to use artists instead, and I was able to get results after that.</w:t>
      </w:r>
      <w:r w:rsidR="00FC2B8D">
        <w:t xml:space="preserve"> </w:t>
      </w:r>
    </w:p>
    <w:p w14:paraId="60C79D6F" w14:textId="77777777" w:rsidR="00640ED7" w:rsidRDefault="00640ED7" w:rsidP="00287CE2"/>
    <w:p w14:paraId="571EA809" w14:textId="469AAF41" w:rsidR="00640ED7" w:rsidRDefault="00640ED7" w:rsidP="00287CE2">
      <w:r>
        <w:t xml:space="preserve">I trimmed my dataset down to users who had </w:t>
      </w:r>
      <w:r w:rsidR="007B28FA">
        <w:t>12 distinct hours</w:t>
      </w:r>
      <w:r w:rsidR="001E3A29">
        <w:t xml:space="preserve"> of listening to artists</w:t>
      </w:r>
      <w:r w:rsidR="007B28FA">
        <w:t>. There are 501 us</w:t>
      </w:r>
      <w:r w:rsidR="00BF4E7E">
        <w:t xml:space="preserve">ers and 3057 distinct artists and 35,650 total records, still </w:t>
      </w:r>
      <w:r w:rsidR="00D10953">
        <w:t>sparse</w:t>
      </w:r>
      <w:r w:rsidR="00B81BBA">
        <w:t xml:space="preserve"> but workable. </w:t>
      </w:r>
    </w:p>
    <w:p w14:paraId="64EF9B1E" w14:textId="77777777" w:rsidR="00640ED7" w:rsidRDefault="00640ED7" w:rsidP="00287CE2"/>
    <w:p w14:paraId="01449CB9" w14:textId="77777777" w:rsidR="00287CE2" w:rsidRDefault="00287CE2" w:rsidP="00287CE2">
      <w:r>
        <w:t xml:space="preserve">For TimeSVD++ in LibRec I had to make changes to the base algorithms to use the difference in hours as opposed to number of days ( the default implementation ). </w:t>
      </w:r>
    </w:p>
    <w:p w14:paraId="403D0C78" w14:textId="77777777" w:rsidR="00287CE2" w:rsidRDefault="00287CE2" w:rsidP="00287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01143855" w14:textId="77777777" w:rsidR="00287CE2" w:rsidRPr="00287CE2" w:rsidRDefault="00287CE2" w:rsidP="00287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287CE2"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int </w:t>
      </w:r>
      <w:r w:rsidRPr="00287CE2">
        <w:rPr>
          <w:rFonts w:ascii="Menlo" w:hAnsi="Menlo" w:cs="Menlo"/>
          <w:color w:val="000000"/>
          <w:sz w:val="18"/>
          <w:szCs w:val="18"/>
        </w:rPr>
        <w:t>hours(</w:t>
      </w:r>
      <w:r w:rsidRPr="00287CE2"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 w:rsidRPr="00287CE2">
        <w:rPr>
          <w:rFonts w:ascii="Menlo" w:hAnsi="Menlo" w:cs="Menlo"/>
          <w:color w:val="000000"/>
          <w:sz w:val="18"/>
          <w:szCs w:val="18"/>
        </w:rPr>
        <w:t xml:space="preserve">t1, </w:t>
      </w:r>
      <w:r w:rsidRPr="00287CE2"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 w:rsidRPr="00287CE2">
        <w:rPr>
          <w:rFonts w:ascii="Menlo" w:hAnsi="Menlo" w:cs="Menlo"/>
          <w:color w:val="000000"/>
          <w:sz w:val="18"/>
          <w:szCs w:val="18"/>
        </w:rPr>
        <w:t>t2) {</w:t>
      </w:r>
      <w:r w:rsidRPr="00287CE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87CE2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287CE2">
        <w:rPr>
          <w:rFonts w:ascii="Menlo" w:hAnsi="Menlo" w:cs="Menlo"/>
          <w:i/>
          <w:iCs/>
          <w:color w:val="000000"/>
          <w:sz w:val="18"/>
          <w:szCs w:val="18"/>
        </w:rPr>
        <w:t>hours</w:t>
      </w:r>
      <w:r w:rsidRPr="00287CE2">
        <w:rPr>
          <w:rFonts w:ascii="Menlo" w:hAnsi="Menlo" w:cs="Menlo"/>
          <w:color w:val="000000"/>
          <w:sz w:val="18"/>
          <w:szCs w:val="18"/>
        </w:rPr>
        <w:t>(Math.</w:t>
      </w:r>
      <w:r w:rsidRPr="00287CE2">
        <w:rPr>
          <w:rFonts w:ascii="Menlo" w:hAnsi="Menlo" w:cs="Menlo"/>
          <w:i/>
          <w:iCs/>
          <w:color w:val="000000"/>
          <w:sz w:val="18"/>
          <w:szCs w:val="18"/>
        </w:rPr>
        <w:t>abs</w:t>
      </w:r>
      <w:r w:rsidRPr="00287CE2">
        <w:rPr>
          <w:rFonts w:ascii="Menlo" w:hAnsi="Menlo" w:cs="Menlo"/>
          <w:color w:val="000000"/>
          <w:sz w:val="18"/>
          <w:szCs w:val="18"/>
        </w:rPr>
        <w:t>(t1 - t2));</w:t>
      </w:r>
      <w:r w:rsidRPr="00287CE2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AC49685" w14:textId="14854BA9" w:rsidR="00667500" w:rsidRDefault="00667500" w:rsidP="00667500">
      <w:r>
        <w:br/>
        <w:t>My metrics are all with ranking set to true a</w:t>
      </w:r>
      <w:r w:rsidR="004A56FF">
        <w:t>nd with my Top-N being set to 5</w:t>
      </w:r>
      <w:r>
        <w:t xml:space="preserve">. </w:t>
      </w:r>
    </w:p>
    <w:p w14:paraId="3D3B1433" w14:textId="77777777" w:rsidR="00667500" w:rsidRDefault="00667500" w:rsidP="00667500"/>
    <w:p w14:paraId="74450504" w14:textId="6E6C383D" w:rsidR="006611B7" w:rsidRDefault="006611B7" w:rsidP="00667500">
      <w:r>
        <w:t>I worked with trying other bins other than 6, but no other values seemed to converge.</w:t>
      </w:r>
    </w:p>
    <w:p w14:paraId="46F6414C" w14:textId="77777777" w:rsidR="00B81BBA" w:rsidRDefault="00B81BBA" w:rsidP="00287CE2"/>
    <w:p w14:paraId="096C26FD" w14:textId="5440FCCC" w:rsidR="003418F3" w:rsidRDefault="00B81BBA" w:rsidP="00287CE2">
      <w:r>
        <w:t>My results metrics are AUC, Precision and Recall.</w:t>
      </w:r>
      <w:r w:rsidR="00D456D7">
        <w:t xml:space="preserve"> By emphasizing artists in the model and deemphasizing users I </w:t>
      </w:r>
      <w:r w:rsidR="006974BE">
        <w:t>observed</w:t>
      </w:r>
      <w:r w:rsidR="00D456D7">
        <w:t xml:space="preserve"> better results. If I go much outside the range in the chart below, I will get no precision, recall and AUC. Even increasing the User Regularization by .001 will remove all predictive power.</w:t>
      </w:r>
      <w:r w:rsidR="00B61429">
        <w:t xml:space="preserve"> Item Regularization of .02 and a User regularization of .001 gives the best results.</w:t>
      </w:r>
    </w:p>
    <w:p w14:paraId="78FC4502" w14:textId="77777777" w:rsidR="00B61429" w:rsidRDefault="00B61429" w:rsidP="00287CE2"/>
    <w:p w14:paraId="25911092" w14:textId="77777777" w:rsidR="002D1589" w:rsidRDefault="002D1589" w:rsidP="00287CE2"/>
    <w:p w14:paraId="6AB2D353" w14:textId="77777777" w:rsidR="00D456D7" w:rsidRDefault="00D456D7" w:rsidP="00287CE2"/>
    <w:p w14:paraId="49356AA9" w14:textId="77777777" w:rsidR="002D1589" w:rsidRDefault="002D1589" w:rsidP="00287CE2"/>
    <w:p w14:paraId="2149A306" w14:textId="77777777" w:rsidR="002D1589" w:rsidRDefault="002D1589" w:rsidP="00287CE2"/>
    <w:p w14:paraId="20FFD78D" w14:textId="46362867" w:rsidR="002D1589" w:rsidRDefault="002D1589" w:rsidP="00287C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1725"/>
        <w:gridCol w:w="1475"/>
        <w:gridCol w:w="1475"/>
        <w:gridCol w:w="1475"/>
      </w:tblGrid>
      <w:tr w:rsidR="00510A47" w14:paraId="24CCB50A" w14:textId="77777777" w:rsidTr="002D1589">
        <w:trPr>
          <w:trHeight w:val="620"/>
        </w:trPr>
        <w:tc>
          <w:tcPr>
            <w:tcW w:w="1725" w:type="dxa"/>
          </w:tcPr>
          <w:p w14:paraId="63620754" w14:textId="36B9B56D" w:rsidR="00510A47" w:rsidRDefault="00510A47" w:rsidP="00287CE2">
            <w:r>
              <w:t xml:space="preserve">Item </w:t>
            </w:r>
            <w:r w:rsidR="00D456D7">
              <w:t>Regularization</w:t>
            </w:r>
          </w:p>
        </w:tc>
        <w:tc>
          <w:tcPr>
            <w:tcW w:w="1725" w:type="dxa"/>
          </w:tcPr>
          <w:p w14:paraId="42C01D13" w14:textId="718EA218" w:rsidR="00510A47" w:rsidRDefault="00510A47" w:rsidP="00287CE2">
            <w:r>
              <w:t>User Regula</w:t>
            </w:r>
            <w:r w:rsidR="00D456D7">
              <w:t>riza</w:t>
            </w:r>
            <w:r>
              <w:t>tion</w:t>
            </w:r>
          </w:p>
        </w:tc>
        <w:tc>
          <w:tcPr>
            <w:tcW w:w="1475" w:type="dxa"/>
          </w:tcPr>
          <w:p w14:paraId="5F282988" w14:textId="121F78A6" w:rsidR="00510A47" w:rsidRDefault="00510A47" w:rsidP="00287CE2">
            <w:r>
              <w:t>Precision</w:t>
            </w:r>
          </w:p>
        </w:tc>
        <w:tc>
          <w:tcPr>
            <w:tcW w:w="1475" w:type="dxa"/>
          </w:tcPr>
          <w:p w14:paraId="22CE3920" w14:textId="1FA1F4EC" w:rsidR="00510A47" w:rsidRDefault="00510A47" w:rsidP="00287CE2">
            <w:r>
              <w:t>Recall</w:t>
            </w:r>
          </w:p>
        </w:tc>
        <w:tc>
          <w:tcPr>
            <w:tcW w:w="1475" w:type="dxa"/>
          </w:tcPr>
          <w:p w14:paraId="5C72379F" w14:textId="233DBDDE" w:rsidR="00510A47" w:rsidRDefault="00510A47" w:rsidP="00287CE2">
            <w:r>
              <w:t>AUC</w:t>
            </w:r>
          </w:p>
        </w:tc>
      </w:tr>
      <w:tr w:rsidR="00510A47" w14:paraId="2C4338ED" w14:textId="77777777" w:rsidTr="002D1589">
        <w:trPr>
          <w:trHeight w:val="323"/>
        </w:trPr>
        <w:tc>
          <w:tcPr>
            <w:tcW w:w="1725" w:type="dxa"/>
          </w:tcPr>
          <w:p w14:paraId="5C4A1826" w14:textId="04CCEC6E" w:rsidR="00510A47" w:rsidRDefault="00510A47" w:rsidP="00287CE2">
            <w:r>
              <w:t>.001</w:t>
            </w:r>
          </w:p>
        </w:tc>
        <w:tc>
          <w:tcPr>
            <w:tcW w:w="1725" w:type="dxa"/>
          </w:tcPr>
          <w:p w14:paraId="218D49A4" w14:textId="4496E7C4" w:rsidR="00510A47" w:rsidRDefault="00510A47" w:rsidP="00287CE2">
            <w:r>
              <w:t>.001</w:t>
            </w:r>
          </w:p>
        </w:tc>
        <w:tc>
          <w:tcPr>
            <w:tcW w:w="1475" w:type="dxa"/>
          </w:tcPr>
          <w:p w14:paraId="444ED844" w14:textId="3E317686" w:rsidR="00510A47" w:rsidRDefault="00510A47" w:rsidP="00287CE2">
            <w:r>
              <w:t>0.0071</w:t>
            </w:r>
          </w:p>
        </w:tc>
        <w:tc>
          <w:tcPr>
            <w:tcW w:w="1475" w:type="dxa"/>
          </w:tcPr>
          <w:p w14:paraId="1FCB91AE" w14:textId="456B46A5" w:rsidR="00510A47" w:rsidRDefault="00510A47" w:rsidP="00287CE2">
            <w:r w:rsidRPr="00667500">
              <w:t>0.0039</w:t>
            </w:r>
          </w:p>
        </w:tc>
        <w:tc>
          <w:tcPr>
            <w:tcW w:w="1475" w:type="dxa"/>
          </w:tcPr>
          <w:p w14:paraId="5FA0860B" w14:textId="47BF895E" w:rsidR="00510A47" w:rsidRDefault="002D1589" w:rsidP="00287CE2">
            <w:r>
              <w:t>0.5177</w:t>
            </w:r>
          </w:p>
        </w:tc>
      </w:tr>
      <w:tr w:rsidR="00510A47" w14:paraId="5B5364E9" w14:textId="77777777" w:rsidTr="002D1589">
        <w:tc>
          <w:tcPr>
            <w:tcW w:w="1725" w:type="dxa"/>
          </w:tcPr>
          <w:p w14:paraId="27C359C5" w14:textId="2B4657BA" w:rsidR="00510A47" w:rsidRDefault="00510A47" w:rsidP="00287CE2">
            <w:r>
              <w:t>.0</w:t>
            </w:r>
            <w:r w:rsidR="002D1589">
              <w:t>0</w:t>
            </w:r>
            <w:r w:rsidR="00D456D7">
              <w:t>1</w:t>
            </w:r>
          </w:p>
        </w:tc>
        <w:tc>
          <w:tcPr>
            <w:tcW w:w="1725" w:type="dxa"/>
          </w:tcPr>
          <w:p w14:paraId="0C57B4B5" w14:textId="54CA9DB7" w:rsidR="00510A47" w:rsidRDefault="00510A47" w:rsidP="00287CE2">
            <w:r>
              <w:t>.00</w:t>
            </w:r>
            <w:r w:rsidR="00D456D7">
              <w:t>2</w:t>
            </w:r>
          </w:p>
        </w:tc>
        <w:tc>
          <w:tcPr>
            <w:tcW w:w="1475" w:type="dxa"/>
          </w:tcPr>
          <w:p w14:paraId="2193A218" w14:textId="74716F9B" w:rsidR="00510A47" w:rsidRDefault="00510A47" w:rsidP="00287CE2">
            <w:r>
              <w:t>0</w:t>
            </w:r>
          </w:p>
        </w:tc>
        <w:tc>
          <w:tcPr>
            <w:tcW w:w="1475" w:type="dxa"/>
          </w:tcPr>
          <w:p w14:paraId="37BE4271" w14:textId="3ED39215" w:rsidR="00510A47" w:rsidRPr="00667500" w:rsidRDefault="00510A47" w:rsidP="00287CE2">
            <w:r>
              <w:t>0</w:t>
            </w:r>
          </w:p>
        </w:tc>
        <w:tc>
          <w:tcPr>
            <w:tcW w:w="1475" w:type="dxa"/>
          </w:tcPr>
          <w:p w14:paraId="1907CD15" w14:textId="5598045F" w:rsidR="00510A47" w:rsidRPr="00667500" w:rsidRDefault="00510A47" w:rsidP="00287CE2">
            <w:r>
              <w:t>.5</w:t>
            </w:r>
          </w:p>
        </w:tc>
      </w:tr>
      <w:tr w:rsidR="002D1589" w14:paraId="578BB44F" w14:textId="77777777" w:rsidTr="002D1589">
        <w:trPr>
          <w:trHeight w:val="305"/>
        </w:trPr>
        <w:tc>
          <w:tcPr>
            <w:tcW w:w="1725" w:type="dxa"/>
          </w:tcPr>
          <w:p w14:paraId="5245B904" w14:textId="28409676" w:rsidR="002D1589" w:rsidRDefault="002D1589" w:rsidP="00287CE2">
            <w:r>
              <w:t>.002</w:t>
            </w:r>
          </w:p>
        </w:tc>
        <w:tc>
          <w:tcPr>
            <w:tcW w:w="1725" w:type="dxa"/>
          </w:tcPr>
          <w:p w14:paraId="57D7A9CA" w14:textId="1B357E61" w:rsidR="002D1589" w:rsidRDefault="002D1589" w:rsidP="00287CE2">
            <w:r>
              <w:t>.001</w:t>
            </w:r>
          </w:p>
        </w:tc>
        <w:tc>
          <w:tcPr>
            <w:tcW w:w="1475" w:type="dxa"/>
          </w:tcPr>
          <w:p w14:paraId="07999456" w14:textId="6E3E1D9C" w:rsidR="002D1589" w:rsidRDefault="002D1589" w:rsidP="00287CE2">
            <w:r>
              <w:t>0.0071</w:t>
            </w:r>
          </w:p>
        </w:tc>
        <w:tc>
          <w:tcPr>
            <w:tcW w:w="1475" w:type="dxa"/>
          </w:tcPr>
          <w:p w14:paraId="29DC5493" w14:textId="6002E9B9" w:rsidR="002D1589" w:rsidRDefault="002D1589" w:rsidP="00287CE2">
            <w:r w:rsidRPr="00667500">
              <w:t>0.0039</w:t>
            </w:r>
          </w:p>
        </w:tc>
        <w:tc>
          <w:tcPr>
            <w:tcW w:w="1475" w:type="dxa"/>
          </w:tcPr>
          <w:p w14:paraId="04A56120" w14:textId="0D79977F" w:rsidR="002D1589" w:rsidRDefault="002D1589" w:rsidP="00287CE2">
            <w:r w:rsidRPr="00667500">
              <w:t>0.5177</w:t>
            </w:r>
          </w:p>
        </w:tc>
      </w:tr>
      <w:tr w:rsidR="002D1589" w14:paraId="44A2E887" w14:textId="77777777" w:rsidTr="002D1589">
        <w:trPr>
          <w:trHeight w:val="260"/>
        </w:trPr>
        <w:tc>
          <w:tcPr>
            <w:tcW w:w="1725" w:type="dxa"/>
          </w:tcPr>
          <w:p w14:paraId="6FACD3E5" w14:textId="15052092" w:rsidR="002D1589" w:rsidRDefault="002D1589" w:rsidP="00287CE2">
            <w:r>
              <w:t>.005</w:t>
            </w:r>
          </w:p>
        </w:tc>
        <w:tc>
          <w:tcPr>
            <w:tcW w:w="1725" w:type="dxa"/>
          </w:tcPr>
          <w:p w14:paraId="5449F22C" w14:textId="434FFFD2" w:rsidR="002D1589" w:rsidRDefault="002D1589" w:rsidP="00287CE2">
            <w:r>
              <w:t>.001</w:t>
            </w:r>
          </w:p>
        </w:tc>
        <w:tc>
          <w:tcPr>
            <w:tcW w:w="1475" w:type="dxa"/>
          </w:tcPr>
          <w:p w14:paraId="33DC7719" w14:textId="6F160037" w:rsidR="002D1589" w:rsidRDefault="002D1589" w:rsidP="00287CE2">
            <w:r>
              <w:t>0.0071</w:t>
            </w:r>
          </w:p>
        </w:tc>
        <w:tc>
          <w:tcPr>
            <w:tcW w:w="1475" w:type="dxa"/>
          </w:tcPr>
          <w:p w14:paraId="2BD1D040" w14:textId="3A133185" w:rsidR="002D1589" w:rsidRPr="00667500" w:rsidRDefault="002D1589" w:rsidP="00287CE2">
            <w:r w:rsidRPr="00667500">
              <w:t>0.0039</w:t>
            </w:r>
          </w:p>
        </w:tc>
        <w:tc>
          <w:tcPr>
            <w:tcW w:w="1475" w:type="dxa"/>
          </w:tcPr>
          <w:p w14:paraId="2B2EFCBF" w14:textId="0C149A8C" w:rsidR="002D1589" w:rsidRPr="00667500" w:rsidRDefault="002D1589" w:rsidP="00287CE2">
            <w:r w:rsidRPr="00667500">
              <w:t>0.5177</w:t>
            </w:r>
          </w:p>
        </w:tc>
      </w:tr>
      <w:tr w:rsidR="002D1589" w14:paraId="41808AF5" w14:textId="77777777" w:rsidTr="002D1589">
        <w:trPr>
          <w:trHeight w:val="260"/>
        </w:trPr>
        <w:tc>
          <w:tcPr>
            <w:tcW w:w="1725" w:type="dxa"/>
          </w:tcPr>
          <w:p w14:paraId="7BFD0F9E" w14:textId="1A08FC41" w:rsidR="002D1589" w:rsidRDefault="002D1589" w:rsidP="00287CE2">
            <w:r>
              <w:t>.009</w:t>
            </w:r>
          </w:p>
        </w:tc>
        <w:tc>
          <w:tcPr>
            <w:tcW w:w="1725" w:type="dxa"/>
          </w:tcPr>
          <w:p w14:paraId="364D0AB9" w14:textId="20911BED" w:rsidR="002D1589" w:rsidRDefault="002D1589" w:rsidP="00287CE2">
            <w:r>
              <w:t>.001</w:t>
            </w:r>
          </w:p>
        </w:tc>
        <w:tc>
          <w:tcPr>
            <w:tcW w:w="1475" w:type="dxa"/>
          </w:tcPr>
          <w:p w14:paraId="44A12B75" w14:textId="79E91AA7" w:rsidR="002D1589" w:rsidRDefault="002D1589" w:rsidP="00287CE2">
            <w:r>
              <w:t>0.0071</w:t>
            </w:r>
          </w:p>
        </w:tc>
        <w:tc>
          <w:tcPr>
            <w:tcW w:w="1475" w:type="dxa"/>
          </w:tcPr>
          <w:p w14:paraId="760CEF95" w14:textId="7EB06469" w:rsidR="002D1589" w:rsidRPr="00667500" w:rsidRDefault="002D1589" w:rsidP="00287CE2">
            <w:r w:rsidRPr="00667500">
              <w:t>0.0039</w:t>
            </w:r>
          </w:p>
        </w:tc>
        <w:tc>
          <w:tcPr>
            <w:tcW w:w="1475" w:type="dxa"/>
          </w:tcPr>
          <w:p w14:paraId="69501D4A" w14:textId="5B8157DD" w:rsidR="002D1589" w:rsidRPr="00667500" w:rsidRDefault="002D1589" w:rsidP="00287CE2">
            <w:r w:rsidRPr="00667500">
              <w:t>0.5177</w:t>
            </w:r>
          </w:p>
        </w:tc>
      </w:tr>
      <w:tr w:rsidR="002D1589" w14:paraId="0D425FE4" w14:textId="77777777" w:rsidTr="002D1589">
        <w:trPr>
          <w:trHeight w:val="332"/>
        </w:trPr>
        <w:tc>
          <w:tcPr>
            <w:tcW w:w="1725" w:type="dxa"/>
          </w:tcPr>
          <w:p w14:paraId="48832C49" w14:textId="466554CA" w:rsidR="002D1589" w:rsidRDefault="002D1589" w:rsidP="00287CE2">
            <w:r>
              <w:t>.01</w:t>
            </w:r>
          </w:p>
        </w:tc>
        <w:tc>
          <w:tcPr>
            <w:tcW w:w="1725" w:type="dxa"/>
          </w:tcPr>
          <w:p w14:paraId="6B46B62C" w14:textId="3872B49B" w:rsidR="002D1589" w:rsidRDefault="002D1589" w:rsidP="00287CE2">
            <w:r>
              <w:t>.001</w:t>
            </w:r>
          </w:p>
        </w:tc>
        <w:tc>
          <w:tcPr>
            <w:tcW w:w="1475" w:type="dxa"/>
          </w:tcPr>
          <w:p w14:paraId="12C7A508" w14:textId="03F801A5" w:rsidR="002D1589" w:rsidRDefault="002D1589" w:rsidP="00287CE2">
            <w:r>
              <w:t>0.0071</w:t>
            </w:r>
          </w:p>
        </w:tc>
        <w:tc>
          <w:tcPr>
            <w:tcW w:w="1475" w:type="dxa"/>
          </w:tcPr>
          <w:p w14:paraId="1012DEE1" w14:textId="5C63C745" w:rsidR="002D1589" w:rsidRPr="00667500" w:rsidRDefault="002D1589" w:rsidP="00287CE2">
            <w:r w:rsidRPr="00667500">
              <w:t>0.0039</w:t>
            </w:r>
          </w:p>
        </w:tc>
        <w:tc>
          <w:tcPr>
            <w:tcW w:w="1475" w:type="dxa"/>
          </w:tcPr>
          <w:p w14:paraId="3EFD0F57" w14:textId="07A18BEA" w:rsidR="002D1589" w:rsidRPr="00667500" w:rsidRDefault="002D1589" w:rsidP="00287CE2">
            <w:r w:rsidRPr="00667500">
              <w:t>0.5177</w:t>
            </w:r>
          </w:p>
        </w:tc>
      </w:tr>
      <w:tr w:rsidR="002D1589" w14:paraId="6BD68E47" w14:textId="77777777" w:rsidTr="002D1589">
        <w:trPr>
          <w:trHeight w:val="260"/>
        </w:trPr>
        <w:tc>
          <w:tcPr>
            <w:tcW w:w="1725" w:type="dxa"/>
          </w:tcPr>
          <w:p w14:paraId="41AF644A" w14:textId="211D3790" w:rsidR="002D1589" w:rsidRDefault="002D1589" w:rsidP="00287CE2">
            <w:r>
              <w:t>.02</w:t>
            </w:r>
          </w:p>
        </w:tc>
        <w:tc>
          <w:tcPr>
            <w:tcW w:w="1725" w:type="dxa"/>
          </w:tcPr>
          <w:p w14:paraId="00A73B0F" w14:textId="2C656F12" w:rsidR="002D1589" w:rsidRDefault="002D1589" w:rsidP="00287CE2">
            <w:r>
              <w:t>.001</w:t>
            </w:r>
          </w:p>
        </w:tc>
        <w:tc>
          <w:tcPr>
            <w:tcW w:w="1475" w:type="dxa"/>
          </w:tcPr>
          <w:p w14:paraId="2A916F90" w14:textId="326CA0BD" w:rsidR="002D1589" w:rsidRDefault="002D1589" w:rsidP="00287CE2">
            <w:r w:rsidRPr="002D1589">
              <w:t>0.014</w:t>
            </w:r>
            <w:r>
              <w:t>3</w:t>
            </w:r>
          </w:p>
        </w:tc>
        <w:tc>
          <w:tcPr>
            <w:tcW w:w="1475" w:type="dxa"/>
          </w:tcPr>
          <w:p w14:paraId="2871BB3C" w14:textId="509B0658" w:rsidR="002D1589" w:rsidRPr="00667500" w:rsidRDefault="002D1589" w:rsidP="00287CE2">
            <w:r>
              <w:t>0.0397</w:t>
            </w:r>
          </w:p>
        </w:tc>
        <w:tc>
          <w:tcPr>
            <w:tcW w:w="1475" w:type="dxa"/>
          </w:tcPr>
          <w:p w14:paraId="2E28BC8F" w14:textId="754588E4" w:rsidR="002D1589" w:rsidRPr="00667500" w:rsidRDefault="002D1589" w:rsidP="00287CE2">
            <w:r>
              <w:t>0.5355</w:t>
            </w:r>
          </w:p>
        </w:tc>
      </w:tr>
      <w:tr w:rsidR="002D1589" w14:paraId="6F418355" w14:textId="77777777" w:rsidTr="002D1589">
        <w:trPr>
          <w:trHeight w:val="260"/>
        </w:trPr>
        <w:tc>
          <w:tcPr>
            <w:tcW w:w="1725" w:type="dxa"/>
          </w:tcPr>
          <w:p w14:paraId="4DBB62E7" w14:textId="3F584027" w:rsidR="002D1589" w:rsidRDefault="002D1589" w:rsidP="00287CE2">
            <w:r>
              <w:t>.03</w:t>
            </w:r>
          </w:p>
        </w:tc>
        <w:tc>
          <w:tcPr>
            <w:tcW w:w="1725" w:type="dxa"/>
          </w:tcPr>
          <w:p w14:paraId="28CE1E32" w14:textId="37A1DDC7" w:rsidR="002D1589" w:rsidRDefault="002D1589" w:rsidP="00287CE2">
            <w:r>
              <w:t>.001</w:t>
            </w:r>
          </w:p>
        </w:tc>
        <w:tc>
          <w:tcPr>
            <w:tcW w:w="1475" w:type="dxa"/>
          </w:tcPr>
          <w:p w14:paraId="06693BAF" w14:textId="0691EEE5" w:rsidR="002D1589" w:rsidRPr="002D1589" w:rsidRDefault="002D1589" w:rsidP="00287CE2">
            <w:r w:rsidRPr="002D1589">
              <w:t>0.0071</w:t>
            </w:r>
          </w:p>
        </w:tc>
        <w:tc>
          <w:tcPr>
            <w:tcW w:w="1475" w:type="dxa"/>
          </w:tcPr>
          <w:p w14:paraId="0E23620C" w14:textId="75ED712E" w:rsidR="002D1589" w:rsidRDefault="002D1589" w:rsidP="00287CE2">
            <w:r w:rsidRPr="002D1589">
              <w:t>0.0357</w:t>
            </w:r>
          </w:p>
        </w:tc>
        <w:tc>
          <w:tcPr>
            <w:tcW w:w="1475" w:type="dxa"/>
          </w:tcPr>
          <w:p w14:paraId="7E75260C" w14:textId="419F8D9C" w:rsidR="002D1589" w:rsidRDefault="002D1589" w:rsidP="00287CE2">
            <w:r w:rsidRPr="002D1589">
              <w:t>0.5178</w:t>
            </w:r>
          </w:p>
        </w:tc>
      </w:tr>
      <w:tr w:rsidR="00AC2245" w14:paraId="2A079646" w14:textId="77777777" w:rsidTr="00AC2245">
        <w:trPr>
          <w:trHeight w:val="242"/>
        </w:trPr>
        <w:tc>
          <w:tcPr>
            <w:tcW w:w="1725" w:type="dxa"/>
          </w:tcPr>
          <w:p w14:paraId="4917DAB0" w14:textId="001CD5DF" w:rsidR="00AC2245" w:rsidRDefault="00AC2245" w:rsidP="00287CE2">
            <w:r>
              <w:t>.04</w:t>
            </w:r>
          </w:p>
        </w:tc>
        <w:tc>
          <w:tcPr>
            <w:tcW w:w="1725" w:type="dxa"/>
          </w:tcPr>
          <w:p w14:paraId="332D68C8" w14:textId="39F3645B" w:rsidR="00AC2245" w:rsidRDefault="00AC2245" w:rsidP="00287CE2">
            <w:r>
              <w:t>.001</w:t>
            </w:r>
          </w:p>
        </w:tc>
        <w:tc>
          <w:tcPr>
            <w:tcW w:w="1475" w:type="dxa"/>
          </w:tcPr>
          <w:p w14:paraId="70198823" w14:textId="2C1BBC25" w:rsidR="00AC2245" w:rsidRPr="002D1589" w:rsidRDefault="00AC2245" w:rsidP="00287CE2">
            <w:r w:rsidRPr="00AC2245">
              <w:t>0.0071</w:t>
            </w:r>
          </w:p>
        </w:tc>
        <w:tc>
          <w:tcPr>
            <w:tcW w:w="1475" w:type="dxa"/>
          </w:tcPr>
          <w:p w14:paraId="1E888B7F" w14:textId="67153ED7" w:rsidR="00AC2245" w:rsidRPr="002D1589" w:rsidRDefault="00AC2245" w:rsidP="00287CE2">
            <w:r w:rsidRPr="00AC2245">
              <w:t>0.0357</w:t>
            </w:r>
          </w:p>
        </w:tc>
        <w:tc>
          <w:tcPr>
            <w:tcW w:w="1475" w:type="dxa"/>
          </w:tcPr>
          <w:p w14:paraId="775C4673" w14:textId="7090E908" w:rsidR="00AC2245" w:rsidRPr="002D1589" w:rsidRDefault="00AC2245" w:rsidP="00287CE2">
            <w:r w:rsidRPr="00AC2245">
              <w:t>0.5178</w:t>
            </w:r>
          </w:p>
        </w:tc>
      </w:tr>
    </w:tbl>
    <w:p w14:paraId="7033E8D5" w14:textId="62C70DE0" w:rsidR="00B81BBA" w:rsidRDefault="00B81BBA" w:rsidP="00287CE2"/>
    <w:p w14:paraId="3C9C4637" w14:textId="77777777" w:rsidR="00B81BBA" w:rsidRDefault="00B81BBA" w:rsidP="00287CE2"/>
    <w:p w14:paraId="40F479BE" w14:textId="4A62BD83" w:rsidR="00B81BBA" w:rsidRDefault="002D1589" w:rsidP="00287CE2">
      <w:r>
        <w:tab/>
      </w:r>
    </w:p>
    <w:sectPr w:rsidR="00B81BBA" w:rsidSect="00836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192C8B"/>
    <w:multiLevelType w:val="hybridMultilevel"/>
    <w:tmpl w:val="076AD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DE9"/>
    <w:rsid w:val="00194C2E"/>
    <w:rsid w:val="001E3A29"/>
    <w:rsid w:val="00287CE2"/>
    <w:rsid w:val="002D1589"/>
    <w:rsid w:val="003418F3"/>
    <w:rsid w:val="00390B34"/>
    <w:rsid w:val="00411DE9"/>
    <w:rsid w:val="004A56FF"/>
    <w:rsid w:val="00510A47"/>
    <w:rsid w:val="005B1E34"/>
    <w:rsid w:val="00640ED7"/>
    <w:rsid w:val="006611B7"/>
    <w:rsid w:val="00667500"/>
    <w:rsid w:val="006974BE"/>
    <w:rsid w:val="007B28FA"/>
    <w:rsid w:val="00836CEB"/>
    <w:rsid w:val="00AC2245"/>
    <w:rsid w:val="00AE2049"/>
    <w:rsid w:val="00B61429"/>
    <w:rsid w:val="00B81BBA"/>
    <w:rsid w:val="00BF4E7E"/>
    <w:rsid w:val="00D10953"/>
    <w:rsid w:val="00D313FF"/>
    <w:rsid w:val="00D456D7"/>
    <w:rsid w:val="00E652E1"/>
    <w:rsid w:val="00FC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0C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C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7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7CE2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418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428</Words>
  <Characters>2443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Penrod, Jacob</dc:creator>
  <cp:keywords/>
  <dc:description/>
  <cp:lastModifiedBy>Penrod, Jacob</cp:lastModifiedBy>
  <cp:revision>14</cp:revision>
  <dcterms:created xsi:type="dcterms:W3CDTF">2017-03-02T23:54:00Z</dcterms:created>
  <dcterms:modified xsi:type="dcterms:W3CDTF">2017-03-03T01:15:00Z</dcterms:modified>
</cp:coreProperties>
</file>