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527" w:rsidRDefault="003F02D5">
      <w:r>
        <w:rPr>
          <w:rFonts w:ascii="Times New Roman" w:hAnsi="Times New Roman" w:cs="Times New Roman"/>
          <w:sz w:val="24"/>
          <w:szCs w:val="24"/>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3" o:spid="_x0000_s1026" type="#_x0000_t53" style="position:absolute;margin-left:17.85pt;margin-top:1.1pt;width:507.65pt;height:75.75pt;z-index:25165824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FuvwAIAAOQFAAAOAAAAZHJzL2Uyb0RvYy54bWysVE1v2zAMvQ/YfxB0X/3RxFmDOkXQosOA&#10;oi3aDj0rslR7kEVNUmJnv36UbCfBVuwwLAeFFMlH8Znk5VXfKrIT1jWgS5qdpZQIzaFq9FtJv73c&#10;fvpMifNMV0yBFiXdC0evVh8/XHZmKXKoQVXCEgTRbtmZktbem2WSOF6LlrkzMEKjUYJtmUfVviWV&#10;ZR2ityrJ07RIOrCVscCFc3h7MxjpKuJLKbh/kNIJT1RJ8W0+njaem3Amq0u2fLPM1A0fn8H+4RUt&#10;azQmPUDdMM/I1jZ/QLUNt+BA+jMObQJSNlzEGrCaLP2tmueaGRFrQXKcOdDk/h8sv989WtJUJZ1R&#10;olmLn+gGOk2ems0GNDkPBHXGLdHv2TzaUXMohmp7advwj3WQPpK6P5Aqek84Xhaz2SKbzynhaLso&#10;8jSfB9DkGG2s818EtCQIJbUxdWST7e6cj7RW4+NY9T2jRLYKv9KOKZIVRbEYv+KJT37qUyzOz2Mh&#10;mHNERGnKGuA13DZKxV5QOlw4UE0V7qISmlFcK0swY0l9n40FnHghYIhMAlcDO1HyeyUChNJPQiLN&#10;yEceK4sNfsRknAvts8FUs0oMqeYp/qZk0ysidxEwIEt85AF7BJg8B5AJeyB99A+hIs7HITj928OG&#10;4ENEzAzaH4LbRoN9D0BhVWPmwX8iaaAmsOT7TY8uQdxAtcd+tDAMqjP8tsGmuGPOPzKL3xxnGLeN&#10;f8BDKuhKCqNESQ3253v3wR8HBq2UdDjpJXU/tswKStRXjaN0kc1mYTVEZTZf5KjYU8vm1KK37TVg&#10;F2AX4uuiGPy9mkRpoX3FpbQOWdHENMfcJeXeTsq1HzYQrjUu1uvohuvAMH+nnw0P4IHg0KEv/Suz&#10;ZpwMjzN1D9NWGJt5IPfoGyI1rLceZOOD8cjrqOAqiT00rr2wq0716HVczqtfAAAA//8DAFBLAwQU&#10;AAYACAAAACEACFmSvdsAAAAGAQAADwAAAGRycy9kb3ducmV2LnhtbEyPMU/DMBCFdyT+g3VIbNQJ&#10;KIBCnKpCqlQGBgpLtmt8JBH22cROm/573C5lOb3TO733XbWcrRF7GsPgWEG+yEAQt04P3Cn4+lzf&#10;PYMIEVmjcUwKjhRgWV9fVVhqd+AP2m9jJ1IIhxIV9DH6UsrQ9mQxLJwnTt63Gy3GtI6d1CMeUrg1&#10;8j7LHqXFgVNDj55ee2p/tpNVEM1sfxtdbN74uBryyTdP/r1R6vZmXr2AiDTHyzGc8BM61Ilp5ybW&#10;QRgF6ZF4nicvy4sHELukirwAWVfyP379BwAA//8DAFBLAQItABQABgAIAAAAIQC2gziS/gAAAOEB&#10;AAATAAAAAAAAAAAAAAAAAAAAAABbQ29udGVudF9UeXBlc10ueG1sUEsBAi0AFAAGAAgAAAAhADj9&#10;If/WAAAAlAEAAAsAAAAAAAAAAAAAAAAALwEAAF9yZWxzLy5yZWxzUEsBAi0AFAAGAAgAAAAhADaM&#10;W6/AAgAA5AUAAA4AAAAAAAAAAAAAAAAALgIAAGRycy9lMm9Eb2MueG1sUEsBAi0AFAAGAAgAAAAh&#10;AAhZkr3bAAAABgEAAA8AAAAAAAAAAAAAAAAAGgUAAGRycy9kb3ducmV2LnhtbFBLBQYAAAAABAAE&#10;APMAAAAiBgAAAAA=&#10;" adj="3528,3600" filled="f" strokecolor="black [3213]" strokeweight="1pt">
            <v:stroke joinstyle="miter"/>
            <v:textbox>
              <w:txbxContent>
                <w:p w:rsidR="00FC5527" w:rsidRDefault="003F02D5" w:rsidP="00FC5527">
                  <w:pPr>
                    <w:pStyle w:val="NormalWeb"/>
                    <w:spacing w:before="0" w:beforeAutospacing="0" w:after="0" w:afterAutospacing="0"/>
                    <w:jc w:val="center"/>
                    <w:rPr>
                      <w:rFonts w:asciiTheme="minorHAnsi" w:hAnsi="Calibri" w:cstheme="minorBidi"/>
                      <w:color w:val="000000" w:themeColor="text1"/>
                      <w:kern w:val="24"/>
                      <w:sz w:val="44"/>
                      <w:szCs w:val="64"/>
                    </w:rPr>
                  </w:pPr>
                  <w:r>
                    <w:rPr>
                      <w:rFonts w:asciiTheme="minorHAnsi" w:hAnsi="Calibri" w:cstheme="minorBidi"/>
                      <w:color w:val="000000" w:themeColor="text1"/>
                      <w:kern w:val="24"/>
                      <w:sz w:val="44"/>
                      <w:szCs w:val="64"/>
                    </w:rPr>
                    <w:t>DIVISION</w:t>
                  </w:r>
                </w:p>
                <w:p w:rsidR="00FC5527" w:rsidRDefault="00FC5527" w:rsidP="00FC5527">
                  <w:pPr>
                    <w:pStyle w:val="NormalWeb"/>
                    <w:spacing w:before="0" w:beforeAutospacing="0" w:after="0" w:afterAutospacing="0"/>
                    <w:jc w:val="center"/>
                    <w:rPr>
                      <w:sz w:val="16"/>
                    </w:rPr>
                  </w:pPr>
                  <w:r>
                    <w:rPr>
                      <w:rFonts w:asciiTheme="minorHAnsi" w:hAnsi="Calibri" w:cstheme="minorBidi"/>
                      <w:color w:val="000000" w:themeColor="text1"/>
                      <w:kern w:val="24"/>
                      <w:sz w:val="44"/>
                      <w:szCs w:val="64"/>
                    </w:rPr>
                    <w:t>TEMPLATES AND GUIDES</w:t>
                  </w:r>
                  <w:r>
                    <w:rPr>
                      <w:rFonts w:asciiTheme="minorHAnsi" w:hAnsi="Calibri" w:cstheme="minorBidi"/>
                      <w:color w:val="FFFFFF" w:themeColor="light1"/>
                      <w:kern w:val="24"/>
                      <w:sz w:val="44"/>
                      <w:szCs w:val="64"/>
                    </w:rPr>
                    <w:t>FG</w:t>
                  </w:r>
                </w:p>
              </w:txbxContent>
            </v:textbox>
            <w10:wrap anchorx="margin"/>
          </v:shape>
        </w:pict>
      </w:r>
    </w:p>
    <w:p w:rsidR="00FC5527" w:rsidRDefault="00FC5527"/>
    <w:p w:rsidR="00FC5527" w:rsidRDefault="00FC5527"/>
    <w:p w:rsidR="00F91478" w:rsidRDefault="00F91478">
      <w:bookmarkStart w:id="0" w:name="_GoBack"/>
      <w:bookmarkEnd w:id="0"/>
    </w:p>
    <w:p w:rsidR="00FC5527" w:rsidRDefault="00FC5527"/>
    <w:p w:rsidR="00FC5527" w:rsidRDefault="00FC5527">
      <w:r>
        <w:t xml:space="preserve">SLA's are critical to network monitoring, infrastructure testing in support of services, and can additionally be used to automated network reconfigurations.  Their value cannot be underestimated but Network Administrators must realize that as with most network management tools, the very act of testing systems affects the environment under test.  Care should be taken to limit the intrusiveness of network monitoring; SLA's being only one of these. </w:t>
      </w:r>
    </w:p>
    <w:p w:rsidR="00FC5527" w:rsidRDefault="00FC5527">
      <w:r>
        <w:t>Orion NTA is capable of tracking SLA's that have been configured on network devices (given that they are SNMP manageable).  This is the preferred method to institute SLA's.  This as opposed to instantiating them on the SNMP manager itself; which would be less desirable because typically the SNMP manager station is outside of the typical traffic flow path (in its entirety), so results are less accurate than an SLA configured in-line on a device directly on the path.</w:t>
      </w:r>
    </w:p>
    <w:p w:rsidR="00FC5527" w:rsidRDefault="00DF3ADC">
      <w:r>
        <w:t>1.  The SLA in question should already be configured and scheduled on the network device in question.</w:t>
      </w:r>
      <w:r w:rsidR="00D95B53">
        <w:t>\</w:t>
      </w:r>
    </w:p>
    <w:p w:rsidR="00D95B53" w:rsidRPr="00D95B53" w:rsidRDefault="00D95B53">
      <w:pPr>
        <w:rPr>
          <w:b/>
        </w:rPr>
      </w:pPr>
      <w:r>
        <w:tab/>
      </w:r>
      <w:r>
        <w:tab/>
      </w:r>
      <w:r>
        <w:tab/>
      </w:r>
      <w:r>
        <w:rPr>
          <w:b/>
        </w:rPr>
        <w:t>(THIS IS AN EXAMPLE SLA ONLY - IT WILL NOT MATCH STUDENT SLA'S)</w:t>
      </w:r>
    </w:p>
    <w:p w:rsidR="00DF3ADC" w:rsidRDefault="00DF3ADC" w:rsidP="00DF3ADC">
      <w:pPr>
        <w:jc w:val="center"/>
      </w:pPr>
      <w:r>
        <w:rPr>
          <w:noProof/>
        </w:rPr>
        <w:drawing>
          <wp:inline distT="0" distB="0" distL="0" distR="0">
            <wp:extent cx="3777615" cy="7702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3777615" cy="770255"/>
                    </a:xfrm>
                    <a:prstGeom prst="rect">
                      <a:avLst/>
                    </a:prstGeom>
                    <a:noFill/>
                    <a:ln w="9525">
                      <a:noFill/>
                      <a:miter lim="800000"/>
                      <a:headEnd/>
                      <a:tailEnd/>
                    </a:ln>
                  </pic:spPr>
                </pic:pic>
              </a:graphicData>
            </a:graphic>
          </wp:inline>
        </w:drawing>
      </w:r>
    </w:p>
    <w:p w:rsidR="00DF3ADC" w:rsidRDefault="00DF3ADC" w:rsidP="00DF3ADC">
      <w:pPr>
        <w:jc w:val="center"/>
      </w:pPr>
      <w:r>
        <w:rPr>
          <w:noProof/>
        </w:rPr>
        <w:drawing>
          <wp:inline distT="0" distB="0" distL="0" distR="0">
            <wp:extent cx="3849288" cy="122722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3869272" cy="1233592"/>
                    </a:xfrm>
                    <a:prstGeom prst="rect">
                      <a:avLst/>
                    </a:prstGeom>
                    <a:noFill/>
                    <a:ln w="9525">
                      <a:noFill/>
                      <a:miter lim="800000"/>
                      <a:headEnd/>
                      <a:tailEnd/>
                    </a:ln>
                  </pic:spPr>
                </pic:pic>
              </a:graphicData>
            </a:graphic>
          </wp:inline>
        </w:drawing>
      </w:r>
    </w:p>
    <w:p w:rsidR="00DF3ADC" w:rsidRDefault="00DF3ADC" w:rsidP="00DF3ADC">
      <w:r>
        <w:t>2.  Access your Orion server and Navigate to the "</w:t>
      </w:r>
      <w:proofErr w:type="spellStart"/>
      <w:r>
        <w:t>Voip</w:t>
      </w:r>
      <w:proofErr w:type="spellEnd"/>
      <w:r>
        <w:t xml:space="preserve"> &amp; Network Quality" Tab.</w:t>
      </w:r>
    </w:p>
    <w:p w:rsidR="00DF3ADC" w:rsidRDefault="00DF3ADC" w:rsidP="00DF3ADC">
      <w:r>
        <w:rPr>
          <w:noProof/>
        </w:rPr>
        <w:drawing>
          <wp:inline distT="0" distB="0" distL="0" distR="0">
            <wp:extent cx="6858000" cy="2245288"/>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6858000" cy="2245288"/>
                    </a:xfrm>
                    <a:prstGeom prst="rect">
                      <a:avLst/>
                    </a:prstGeom>
                    <a:noFill/>
                    <a:ln w="9525">
                      <a:noFill/>
                      <a:miter lim="800000"/>
                      <a:headEnd/>
                      <a:tailEnd/>
                    </a:ln>
                  </pic:spPr>
                </pic:pic>
              </a:graphicData>
            </a:graphic>
          </wp:inline>
        </w:drawing>
      </w:r>
    </w:p>
    <w:p w:rsidR="00DF3ADC" w:rsidRDefault="00DF3ADC" w:rsidP="00DF3ADC"/>
    <w:p w:rsidR="00D95B53" w:rsidRDefault="00D95B53" w:rsidP="00DF3ADC">
      <w:r>
        <w:t>3.  You may have to re-poll your student router in order for Orion to realize the SLA capabilities already configured there; to do so:  Click "VoIP &amp; Quality Settings" at the top right.</w:t>
      </w:r>
    </w:p>
    <w:p w:rsidR="00D95B53" w:rsidRDefault="003F02D5" w:rsidP="00DF3ADC">
      <w:r>
        <w:rPr>
          <w:noProof/>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040" type="#_x0000_t12" style="position:absolute;margin-left:452pt;margin-top:27.15pt;width:27.8pt;height:23.35pt;z-index:251670528" fillcolor="yellow"/>
        </w:pict>
      </w:r>
      <w:r w:rsidR="00D95B53">
        <w:rPr>
          <w:noProof/>
        </w:rPr>
        <w:drawing>
          <wp:inline distT="0" distB="0" distL="0" distR="0">
            <wp:extent cx="6884670" cy="22796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6884670" cy="2279650"/>
                    </a:xfrm>
                    <a:prstGeom prst="rect">
                      <a:avLst/>
                    </a:prstGeom>
                    <a:noFill/>
                    <a:ln w="9525">
                      <a:noFill/>
                      <a:miter lim="800000"/>
                      <a:headEnd/>
                      <a:tailEnd/>
                    </a:ln>
                  </pic:spPr>
                </pic:pic>
              </a:graphicData>
            </a:graphic>
          </wp:inline>
        </w:drawing>
      </w:r>
    </w:p>
    <w:p w:rsidR="00D95B53" w:rsidRDefault="00D95B53" w:rsidP="00DF3ADC">
      <w:r>
        <w:t>4.  Select "Automatically Discover IP SLA capable nodes.</w:t>
      </w:r>
    </w:p>
    <w:p w:rsidR="00D95B53" w:rsidRDefault="003F02D5" w:rsidP="00DF3ADC">
      <w:r>
        <w:rPr>
          <w:noProof/>
        </w:rPr>
        <w:pict>
          <v:shape id="_x0000_s1041" type="#_x0000_t12" style="position:absolute;margin-left:48.7pt;margin-top:211.95pt;width:27.8pt;height:23.35pt;z-index:251671552" fillcolor="yellow"/>
        </w:pict>
      </w:r>
      <w:r w:rsidR="00D95B53">
        <w:rPr>
          <w:noProof/>
        </w:rPr>
        <w:drawing>
          <wp:inline distT="0" distB="0" distL="0" distR="0">
            <wp:extent cx="6858000" cy="3278337"/>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6858000" cy="3278337"/>
                    </a:xfrm>
                    <a:prstGeom prst="rect">
                      <a:avLst/>
                    </a:prstGeom>
                    <a:noFill/>
                    <a:ln w="9525">
                      <a:noFill/>
                      <a:miter lim="800000"/>
                      <a:headEnd/>
                      <a:tailEnd/>
                    </a:ln>
                  </pic:spPr>
                </pic:pic>
              </a:graphicData>
            </a:graphic>
          </wp:inline>
        </w:drawing>
      </w:r>
    </w:p>
    <w:p w:rsidR="00D95B53" w:rsidRDefault="00D95B53" w:rsidP="00DF3ADC">
      <w:r>
        <w:t>5. Select "START IP SLA DISCOVERY"</w:t>
      </w:r>
    </w:p>
    <w:p w:rsidR="00D95B53" w:rsidRDefault="003F02D5" w:rsidP="00D95B53">
      <w:pPr>
        <w:jc w:val="center"/>
      </w:pPr>
      <w:r>
        <w:rPr>
          <w:noProof/>
        </w:rPr>
        <w:pict>
          <v:shape id="_x0000_s1042" type="#_x0000_t12" style="position:absolute;left:0;text-align:left;margin-left:337.75pt;margin-top:101.65pt;width:27.8pt;height:23.35pt;z-index:251672576" fillcolor="yellow"/>
        </w:pict>
      </w:r>
      <w:r w:rsidR="00D95B53">
        <w:rPr>
          <w:noProof/>
        </w:rPr>
        <w:drawing>
          <wp:inline distT="0" distB="0" distL="0" distR="0">
            <wp:extent cx="5974878" cy="1691691"/>
            <wp:effectExtent l="19050" t="0" r="6822"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975770" cy="1691944"/>
                    </a:xfrm>
                    <a:prstGeom prst="rect">
                      <a:avLst/>
                    </a:prstGeom>
                    <a:noFill/>
                    <a:ln w="9525">
                      <a:noFill/>
                      <a:miter lim="800000"/>
                      <a:headEnd/>
                      <a:tailEnd/>
                    </a:ln>
                  </pic:spPr>
                </pic:pic>
              </a:graphicData>
            </a:graphic>
          </wp:inline>
        </w:drawing>
      </w:r>
    </w:p>
    <w:p w:rsidR="00D95B53" w:rsidRDefault="00D95B53" w:rsidP="00DF3ADC">
      <w:r>
        <w:lastRenderedPageBreak/>
        <w:t>6.  A pop-up window similar to the following will appear:</w:t>
      </w:r>
    </w:p>
    <w:p w:rsidR="00D95B53" w:rsidRDefault="00D95B53" w:rsidP="00D95B53">
      <w:pPr>
        <w:jc w:val="center"/>
      </w:pPr>
      <w:r>
        <w:rPr>
          <w:noProof/>
        </w:rPr>
        <w:drawing>
          <wp:inline distT="0" distB="0" distL="0" distR="0">
            <wp:extent cx="2614764" cy="97142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2615725" cy="971786"/>
                    </a:xfrm>
                    <a:prstGeom prst="rect">
                      <a:avLst/>
                    </a:prstGeom>
                    <a:noFill/>
                    <a:ln w="9525">
                      <a:noFill/>
                      <a:miter lim="800000"/>
                      <a:headEnd/>
                      <a:tailEnd/>
                    </a:ln>
                  </pic:spPr>
                </pic:pic>
              </a:graphicData>
            </a:graphic>
          </wp:inline>
        </w:drawing>
      </w:r>
    </w:p>
    <w:p w:rsidR="00D95B53" w:rsidRDefault="00D95B53" w:rsidP="00D95B53">
      <w:r>
        <w:t>7.  Exit the wizard.</w:t>
      </w:r>
    </w:p>
    <w:p w:rsidR="00DF3ADC" w:rsidRDefault="00D95B53" w:rsidP="00DF3ADC">
      <w:r>
        <w:t>8</w:t>
      </w:r>
      <w:r w:rsidR="00DF3ADC">
        <w:t>.  Click "Manage Operations" in the "All IP SLA Operations box.</w:t>
      </w:r>
    </w:p>
    <w:p w:rsidR="00DF3ADC" w:rsidRDefault="003F02D5" w:rsidP="00DF3ADC">
      <w:r>
        <w:rPr>
          <w:noProof/>
        </w:rPr>
        <w:pict>
          <v:shape id="_x0000_s1027" type="#_x0000_t12" style="position:absolute;margin-left:183.8pt;margin-top:53.5pt;width:27.8pt;height:23.35pt;z-index:251659264" fillcolor="yellow"/>
        </w:pict>
      </w:r>
      <w:r w:rsidR="00DF3ADC" w:rsidRPr="00DF3ADC">
        <w:rPr>
          <w:noProof/>
        </w:rPr>
        <w:drawing>
          <wp:inline distT="0" distB="0" distL="0" distR="0">
            <wp:extent cx="6858000" cy="2245288"/>
            <wp:effectExtent l="1905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6858000" cy="2245288"/>
                    </a:xfrm>
                    <a:prstGeom prst="rect">
                      <a:avLst/>
                    </a:prstGeom>
                    <a:noFill/>
                    <a:ln w="9525">
                      <a:noFill/>
                      <a:miter lim="800000"/>
                      <a:headEnd/>
                      <a:tailEnd/>
                    </a:ln>
                  </pic:spPr>
                </pic:pic>
              </a:graphicData>
            </a:graphic>
          </wp:inline>
        </w:drawing>
      </w:r>
    </w:p>
    <w:p w:rsidR="00DF3ADC" w:rsidRDefault="00DF3ADC" w:rsidP="00DF3ADC"/>
    <w:p w:rsidR="00DF3ADC" w:rsidRDefault="00D95B53" w:rsidP="00DF3ADC">
      <w:r>
        <w:t>9</w:t>
      </w:r>
      <w:r w:rsidR="00DF3ADC">
        <w:t xml:space="preserve">.  </w:t>
      </w:r>
      <w:r w:rsidR="00A0459E">
        <w:t>Click "Add New IP SLA Operation"</w:t>
      </w:r>
    </w:p>
    <w:p w:rsidR="00A0459E" w:rsidRDefault="003F02D5" w:rsidP="00DF3ADC">
      <w:r>
        <w:rPr>
          <w:noProof/>
        </w:rPr>
        <w:pict>
          <v:shape id="_x0000_s1028" type="#_x0000_t12" style="position:absolute;margin-left:92.2pt;margin-top:56.3pt;width:27.8pt;height:23.35pt;z-index:251660288" fillcolor="yellow"/>
        </w:pict>
      </w:r>
      <w:r w:rsidR="00A0459E">
        <w:rPr>
          <w:noProof/>
        </w:rPr>
        <w:drawing>
          <wp:inline distT="0" distB="0" distL="0" distR="0">
            <wp:extent cx="6858000" cy="136024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6858000" cy="1360246"/>
                    </a:xfrm>
                    <a:prstGeom prst="rect">
                      <a:avLst/>
                    </a:prstGeom>
                    <a:noFill/>
                    <a:ln w="9525">
                      <a:noFill/>
                      <a:miter lim="800000"/>
                      <a:headEnd/>
                      <a:tailEnd/>
                    </a:ln>
                  </pic:spPr>
                </pic:pic>
              </a:graphicData>
            </a:graphic>
          </wp:inline>
        </w:drawing>
      </w:r>
    </w:p>
    <w:p w:rsidR="00A0459E" w:rsidRDefault="00D95B53" w:rsidP="00DF3ADC">
      <w:r>
        <w:t>10</w:t>
      </w:r>
      <w:r w:rsidR="00A0459E">
        <w:t>.  You should now be at the "IP SLA Operations Wizard", Under "I would like to:" select the radial button for "Monitor existing operations" and click "NEXT."</w:t>
      </w:r>
    </w:p>
    <w:p w:rsidR="00A0459E" w:rsidRDefault="003F02D5" w:rsidP="00D95B53">
      <w:pPr>
        <w:jc w:val="center"/>
      </w:pPr>
      <w:r>
        <w:rPr>
          <w:noProof/>
        </w:rPr>
        <w:pict>
          <v:shape id="_x0000_s1030" type="#_x0000_t12" style="position:absolute;left:0;text-align:left;margin-left:421.25pt;margin-top:114.25pt;width:27.8pt;height:23.35pt;z-index:251662336" fillcolor="yellow"/>
        </w:pict>
      </w:r>
      <w:r>
        <w:rPr>
          <w:noProof/>
        </w:rPr>
        <w:pict>
          <v:shape id="_x0000_s1029" type="#_x0000_t12" style="position:absolute;left:0;text-align:left;margin-left:50.65pt;margin-top:114.25pt;width:19.05pt;height:17.6pt;z-index:251661312" fillcolor="yellow"/>
        </w:pict>
      </w:r>
      <w:r w:rsidR="00A0459E">
        <w:rPr>
          <w:noProof/>
        </w:rPr>
        <w:drawing>
          <wp:inline distT="0" distB="0" distL="0" distR="0">
            <wp:extent cx="5406887" cy="1940229"/>
            <wp:effectExtent l="19050" t="0" r="3313"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5409729" cy="1941249"/>
                    </a:xfrm>
                    <a:prstGeom prst="rect">
                      <a:avLst/>
                    </a:prstGeom>
                    <a:noFill/>
                    <a:ln w="9525">
                      <a:noFill/>
                      <a:miter lim="800000"/>
                      <a:headEnd/>
                      <a:tailEnd/>
                    </a:ln>
                  </pic:spPr>
                </pic:pic>
              </a:graphicData>
            </a:graphic>
          </wp:inline>
        </w:drawing>
      </w:r>
    </w:p>
    <w:p w:rsidR="00A0459E" w:rsidRDefault="00A0459E" w:rsidP="00DF3ADC"/>
    <w:p w:rsidR="00A0459E" w:rsidRDefault="00D95B53" w:rsidP="00DF3ADC">
      <w:r>
        <w:t>11</w:t>
      </w:r>
      <w:r w:rsidR="0048420B">
        <w:t>.  Under the IP SLA Operations Wizard, and the question "How would you like to add existing operations?"  Select "Automatically discover existing operations" and then click NEXT.</w:t>
      </w:r>
    </w:p>
    <w:p w:rsidR="0048420B" w:rsidRDefault="003F02D5" w:rsidP="00DF3ADC">
      <w:r>
        <w:rPr>
          <w:noProof/>
        </w:rPr>
        <w:pict>
          <v:shape id="_x0000_s1032" type="#_x0000_t12" style="position:absolute;margin-left:30.3pt;margin-top:169.95pt;width:27.8pt;height:23.35pt;z-index:251663360" fillcolor="yellow"/>
        </w:pict>
      </w:r>
      <w:r w:rsidR="0048420B">
        <w:rPr>
          <w:noProof/>
        </w:rPr>
        <w:drawing>
          <wp:inline distT="0" distB="0" distL="0" distR="0">
            <wp:extent cx="6858000" cy="305207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6858000" cy="3052070"/>
                    </a:xfrm>
                    <a:prstGeom prst="rect">
                      <a:avLst/>
                    </a:prstGeom>
                    <a:noFill/>
                    <a:ln w="9525">
                      <a:noFill/>
                      <a:miter lim="800000"/>
                      <a:headEnd/>
                      <a:tailEnd/>
                    </a:ln>
                  </pic:spPr>
                </pic:pic>
              </a:graphicData>
            </a:graphic>
          </wp:inline>
        </w:drawing>
      </w:r>
    </w:p>
    <w:p w:rsidR="00A0459E" w:rsidRDefault="00A0459E" w:rsidP="00DF3ADC"/>
    <w:p w:rsidR="0048420B" w:rsidRDefault="00D95B53" w:rsidP="00DF3ADC">
      <w:r>
        <w:t>12</w:t>
      </w:r>
      <w:r w:rsidR="0048420B">
        <w:t>.    Expand the "+" symbol to view different SNMP monitored devices.  Click the blue "all" hyperlink, and then click "NEXT"</w:t>
      </w:r>
    </w:p>
    <w:p w:rsidR="0048420B" w:rsidRDefault="0048420B" w:rsidP="00DF3ADC"/>
    <w:p w:rsidR="0048420B" w:rsidRDefault="003F02D5" w:rsidP="00DF3ADC">
      <w:r>
        <w:rPr>
          <w:noProof/>
        </w:rPr>
        <w:pict>
          <v:shape id="_x0000_s1034" type="#_x0000_t12" style="position:absolute;margin-left:503.35pt;margin-top:172.1pt;width:27.8pt;height:23.35pt;z-index:251665408" fillcolor="yellow"/>
        </w:pict>
      </w:r>
      <w:r>
        <w:rPr>
          <w:noProof/>
        </w:rPr>
        <w:pict>
          <v:shape id="_x0000_s1033" type="#_x0000_t12" style="position:absolute;margin-left:73.3pt;margin-top:148.7pt;width:19.6pt;height:15.75pt;z-index:251664384" fillcolor="yellow"/>
        </w:pict>
      </w:r>
      <w:r w:rsidR="0048420B">
        <w:rPr>
          <w:noProof/>
        </w:rPr>
        <w:drawing>
          <wp:inline distT="0" distB="0" distL="0" distR="0">
            <wp:extent cx="6858000" cy="228303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cstate="print"/>
                    <a:srcRect/>
                    <a:stretch>
                      <a:fillRect/>
                    </a:stretch>
                  </pic:blipFill>
                  <pic:spPr bwMode="auto">
                    <a:xfrm>
                      <a:off x="0" y="0"/>
                      <a:ext cx="6858000" cy="2283035"/>
                    </a:xfrm>
                    <a:prstGeom prst="rect">
                      <a:avLst/>
                    </a:prstGeom>
                    <a:noFill/>
                    <a:ln w="9525">
                      <a:noFill/>
                      <a:miter lim="800000"/>
                      <a:headEnd/>
                      <a:tailEnd/>
                    </a:ln>
                  </pic:spPr>
                </pic:pic>
              </a:graphicData>
            </a:graphic>
          </wp:inline>
        </w:drawing>
      </w:r>
    </w:p>
    <w:p w:rsidR="00A0459E" w:rsidRDefault="00A0459E" w:rsidP="00DF3ADC"/>
    <w:p w:rsidR="00D95B53" w:rsidRDefault="00D95B53" w:rsidP="00DF3ADC"/>
    <w:p w:rsidR="00D95B53" w:rsidRDefault="00D95B53" w:rsidP="00DF3ADC"/>
    <w:p w:rsidR="00D95B53" w:rsidRDefault="00D95B53" w:rsidP="00DF3ADC"/>
    <w:p w:rsidR="00D95B53" w:rsidRDefault="00D95B53" w:rsidP="00DF3ADC"/>
    <w:p w:rsidR="0048420B" w:rsidRDefault="00D95B53" w:rsidP="00DF3ADC">
      <w:r>
        <w:lastRenderedPageBreak/>
        <w:t>13</w:t>
      </w:r>
      <w:r w:rsidR="0048420B">
        <w:t>.  A window will appear:</w:t>
      </w:r>
    </w:p>
    <w:p w:rsidR="0048420B" w:rsidRDefault="0048420B" w:rsidP="0048420B">
      <w:pPr>
        <w:jc w:val="center"/>
      </w:pPr>
      <w:r>
        <w:rPr>
          <w:noProof/>
        </w:rPr>
        <w:drawing>
          <wp:inline distT="0" distB="0" distL="0" distR="0">
            <wp:extent cx="3157287" cy="1137362"/>
            <wp:effectExtent l="19050" t="0" r="5013"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cstate="print"/>
                    <a:srcRect/>
                    <a:stretch>
                      <a:fillRect/>
                    </a:stretch>
                  </pic:blipFill>
                  <pic:spPr bwMode="auto">
                    <a:xfrm>
                      <a:off x="0" y="0"/>
                      <a:ext cx="3159369" cy="1138112"/>
                    </a:xfrm>
                    <a:prstGeom prst="rect">
                      <a:avLst/>
                    </a:prstGeom>
                    <a:noFill/>
                    <a:ln w="9525">
                      <a:noFill/>
                      <a:miter lim="800000"/>
                      <a:headEnd/>
                      <a:tailEnd/>
                    </a:ln>
                  </pic:spPr>
                </pic:pic>
              </a:graphicData>
            </a:graphic>
          </wp:inline>
        </w:drawing>
      </w:r>
    </w:p>
    <w:p w:rsidR="0048420B" w:rsidRDefault="003F02D5" w:rsidP="00DF3ADC">
      <w:r>
        <w:rPr>
          <w:noProof/>
        </w:rPr>
        <w:pict>
          <v:shape id="_x0000_s1035" type="#_x0000_t12" style="position:absolute;margin-left:6.3pt;margin-top:140.2pt;width:19.6pt;height:15.75pt;z-index:251666432" fillcolor="yellow"/>
        </w:pict>
      </w:r>
      <w:r w:rsidR="00D95B53">
        <w:t>14</w:t>
      </w:r>
      <w:r w:rsidR="0048420B">
        <w:t>.  Under the "Choose Operations to Monitor" Select the device and operation you wish to have Orion monitor.  Then click "MONITOR OPERATIONS"</w:t>
      </w:r>
    </w:p>
    <w:p w:rsidR="0048420B" w:rsidRDefault="003F02D5" w:rsidP="00DF3ADC">
      <w:r>
        <w:rPr>
          <w:noProof/>
        </w:rPr>
        <w:pict>
          <v:shape id="_x0000_s1036" type="#_x0000_t12" style="position:absolute;margin-left:499.55pt;margin-top:185.8pt;width:19.6pt;height:15.75pt;z-index:251667456" fillcolor="yellow"/>
        </w:pict>
      </w:r>
      <w:r w:rsidR="0048420B">
        <w:br/>
      </w:r>
      <w:r w:rsidR="0048420B">
        <w:rPr>
          <w:noProof/>
        </w:rPr>
        <w:drawing>
          <wp:inline distT="0" distB="0" distL="0" distR="0">
            <wp:extent cx="6858000" cy="251549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srcRect/>
                    <a:stretch>
                      <a:fillRect/>
                    </a:stretch>
                  </pic:blipFill>
                  <pic:spPr bwMode="auto">
                    <a:xfrm>
                      <a:off x="0" y="0"/>
                      <a:ext cx="6858000" cy="2515493"/>
                    </a:xfrm>
                    <a:prstGeom prst="rect">
                      <a:avLst/>
                    </a:prstGeom>
                    <a:noFill/>
                    <a:ln w="9525">
                      <a:noFill/>
                      <a:miter lim="800000"/>
                      <a:headEnd/>
                      <a:tailEnd/>
                    </a:ln>
                  </pic:spPr>
                </pic:pic>
              </a:graphicData>
            </a:graphic>
          </wp:inline>
        </w:drawing>
      </w:r>
    </w:p>
    <w:p w:rsidR="00A0459E" w:rsidRDefault="0048420B" w:rsidP="00DF3ADC">
      <w:r>
        <w:t>1</w:t>
      </w:r>
      <w:r w:rsidR="00D95B53">
        <w:t>5</w:t>
      </w:r>
      <w:r w:rsidR="00A0459E">
        <w:t xml:space="preserve">.  </w:t>
      </w:r>
      <w:r>
        <w:t xml:space="preserve">A summary will be shown of operations that will be monitored.  </w:t>
      </w:r>
      <w:r w:rsidR="00A0459E">
        <w:t xml:space="preserve">You can now return to the "VOIP &amp; NETWORK QUALITY" tab </w:t>
      </w:r>
      <w:r>
        <w:t xml:space="preserve">directly or by selecting "GO TO VNQM HOME" </w:t>
      </w:r>
      <w:r w:rsidR="00A0459E">
        <w:t>and select the "+" symbols to expand and view the state of the monitored SLA operation.</w:t>
      </w:r>
    </w:p>
    <w:p w:rsidR="001615A9" w:rsidRDefault="003F02D5" w:rsidP="001615A9">
      <w:pPr>
        <w:jc w:val="center"/>
      </w:pPr>
      <w:r>
        <w:rPr>
          <w:noProof/>
        </w:rPr>
        <w:pict>
          <v:shape id="_x0000_s1037" type="#_x0000_t12" style="position:absolute;left:0;text-align:left;margin-left:400.35pt;margin-top:173.4pt;width:19.6pt;height:15.75pt;z-index:251668480" fillcolor="yellow"/>
        </w:pict>
      </w:r>
      <w:r w:rsidR="001615A9">
        <w:rPr>
          <w:noProof/>
        </w:rPr>
        <w:drawing>
          <wp:inline distT="0" distB="0" distL="0" distR="0">
            <wp:extent cx="3782929" cy="2540553"/>
            <wp:effectExtent l="19050" t="0" r="8021"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cstate="print"/>
                    <a:srcRect/>
                    <a:stretch>
                      <a:fillRect/>
                    </a:stretch>
                  </pic:blipFill>
                  <pic:spPr bwMode="auto">
                    <a:xfrm>
                      <a:off x="0" y="0"/>
                      <a:ext cx="3785005" cy="2541948"/>
                    </a:xfrm>
                    <a:prstGeom prst="rect">
                      <a:avLst/>
                    </a:prstGeom>
                    <a:noFill/>
                    <a:ln w="9525">
                      <a:noFill/>
                      <a:miter lim="800000"/>
                      <a:headEnd/>
                      <a:tailEnd/>
                    </a:ln>
                  </pic:spPr>
                </pic:pic>
              </a:graphicData>
            </a:graphic>
          </wp:inline>
        </w:drawing>
      </w:r>
    </w:p>
    <w:p w:rsidR="00A0459E" w:rsidRDefault="003F02D5" w:rsidP="001615A9">
      <w:pPr>
        <w:jc w:val="center"/>
      </w:pPr>
      <w:r>
        <w:rPr>
          <w:noProof/>
        </w:rPr>
        <w:lastRenderedPageBreak/>
        <w:pict>
          <v:shape id="_x0000_s1038" type="#_x0000_t12" style="position:absolute;left:0;text-align:left;margin-left:102.3pt;margin-top:83.25pt;width:19.6pt;height:15.75pt;z-index:251669504" fillcolor="yellow"/>
        </w:pict>
      </w:r>
      <w:r w:rsidR="00A0459E">
        <w:rPr>
          <w:noProof/>
        </w:rPr>
        <w:drawing>
          <wp:inline distT="0" distB="0" distL="0" distR="0">
            <wp:extent cx="5807242" cy="1886068"/>
            <wp:effectExtent l="19050" t="0" r="3008"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809790" cy="1886896"/>
                    </a:xfrm>
                    <a:prstGeom prst="rect">
                      <a:avLst/>
                    </a:prstGeom>
                    <a:noFill/>
                    <a:ln w="9525">
                      <a:noFill/>
                      <a:miter lim="800000"/>
                      <a:headEnd/>
                      <a:tailEnd/>
                    </a:ln>
                  </pic:spPr>
                </pic:pic>
              </a:graphicData>
            </a:graphic>
          </wp:inline>
        </w:drawing>
      </w:r>
    </w:p>
    <w:sectPr w:rsidR="00A0459E" w:rsidSect="00FC552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FC5527"/>
    <w:rsid w:val="001615A9"/>
    <w:rsid w:val="001B0D97"/>
    <w:rsid w:val="0023501B"/>
    <w:rsid w:val="00236427"/>
    <w:rsid w:val="003F02D5"/>
    <w:rsid w:val="0048420B"/>
    <w:rsid w:val="00A0459E"/>
    <w:rsid w:val="00D95B53"/>
    <w:rsid w:val="00DF3ADC"/>
    <w:rsid w:val="00F91478"/>
    <w:rsid w:val="00FC55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C18F9381-3F87-431E-8ACF-F1234E996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4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5527"/>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F3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A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Administrator</cp:lastModifiedBy>
  <cp:revision>4</cp:revision>
  <dcterms:created xsi:type="dcterms:W3CDTF">2017-03-13T15:57:00Z</dcterms:created>
  <dcterms:modified xsi:type="dcterms:W3CDTF">2020-01-08T13:21:00Z</dcterms:modified>
</cp:coreProperties>
</file>