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Calibri" w:hAnsi="Calibri"/>
        </w:rPr>
      </w:pPr>
      <w:r>
        <w:rPr>
          <w:rFonts w:cs="Times New Roman"/>
          <w:color w:val="000000" w:themeColor="text1"/>
        </w:rPr>
        <w:t>Each year, over 6,000 SAS programmers, analysts, developers, and their supporting administrators and managers gather at SAS Global Forum to present, discuss, and debate leading practices as well as to network, socialize, and relax with like-minded professionals.</w:t>
      </w:r>
    </w:p>
    <w:p>
      <w:pPr>
        <w:pStyle w:val="Normal"/>
        <w:spacing w:lineRule="auto" w:line="240" w:before="0" w:after="0"/>
        <w:rPr>
          <w:rFonts w:ascii="Calibri" w:hAnsi="Calibri" w:cs="Times New Roman"/>
          <w:color w:val="000000" w:themeColor="text1"/>
        </w:rPr>
      </w:pPr>
      <w:r>
        <w:rPr>
          <w:rFonts w:cs="Times New Roman"/>
          <w:color w:val="000000" w:themeColor="text1"/>
        </w:rPr>
      </w:r>
    </w:p>
    <w:p>
      <w:pPr>
        <w:pStyle w:val="Normal"/>
        <w:spacing w:lineRule="auto" w:line="240" w:before="0" w:after="0"/>
        <w:rPr>
          <w:rFonts w:ascii="Calibri" w:hAnsi="Calibri"/>
        </w:rPr>
      </w:pPr>
      <w:r>
        <w:rPr>
          <w:rFonts w:cs="Times New Roman"/>
          <w:color w:val="000000" w:themeColor="text1"/>
        </w:rPr>
        <w:t>The success of this annual gathering is, first and foremost, dependent on the content of the breakout, e-poster, panel, hands on workshop, quick tip, and table talk sessions. Where else can you find content that encompasses all SAS technology and across all industries?!</w:t>
      </w:r>
      <w:bookmarkStart w:id="0" w:name="_Hlk500579160"/>
      <w:bookmarkEnd w:id="0"/>
    </w:p>
    <w:p>
      <w:pPr>
        <w:pStyle w:val="Normal"/>
        <w:spacing w:lineRule="auto" w:line="240" w:before="0" w:after="0"/>
        <w:rPr>
          <w:rFonts w:ascii="Calibri" w:hAnsi="Calibri" w:cs="Times New Roman"/>
          <w:color w:val="000000" w:themeColor="text1"/>
        </w:rPr>
      </w:pPr>
      <w:r>
        <w:rPr>
          <w:rFonts w:cs="Times New Roman"/>
          <w:color w:val="000000" w:themeColor="text1"/>
        </w:rPr>
      </w:r>
    </w:p>
    <w:p>
      <w:pPr>
        <w:pStyle w:val="Normal"/>
        <w:spacing w:lineRule="auto" w:line="240" w:before="0" w:after="0"/>
        <w:rPr>
          <w:rFonts w:ascii="Calibri" w:hAnsi="Calibri"/>
        </w:rPr>
      </w:pPr>
      <w:r>
        <w:rPr>
          <w:rFonts w:cs="Times New Roman"/>
          <w:color w:val="000000" w:themeColor="text1"/>
        </w:rPr>
        <w:t>There are two equally important aspects of content; securing dynamic presenters of hot topics; and ensuring a logical, cohesive, and smooth delivery during the conference. The Content Advisory Team (CAT) is responsible for the former, and the Content Delivery Team (CDT) handles the latter.</w:t>
      </w:r>
    </w:p>
    <w:p>
      <w:pPr>
        <w:pStyle w:val="Normal"/>
        <w:spacing w:lineRule="auto" w:line="240" w:before="0" w:after="0"/>
        <w:rPr>
          <w:rFonts w:ascii="Calibri" w:hAnsi="Calibri" w:cs="Times New Roman"/>
          <w:color w:val="000000" w:themeColor="text1"/>
        </w:rPr>
      </w:pPr>
      <w:r>
        <w:rPr>
          <w:rFonts w:cs="Times New Roman"/>
          <w:color w:val="000000" w:themeColor="text1"/>
        </w:rPr>
      </w:r>
    </w:p>
    <w:p>
      <w:pPr>
        <w:pStyle w:val="Normal"/>
        <w:spacing w:lineRule="auto" w:line="240" w:before="0" w:after="0"/>
        <w:rPr>
          <w:rFonts w:ascii="Calibri" w:hAnsi="Calibri"/>
        </w:rPr>
      </w:pPr>
      <w:r>
        <w:rPr>
          <w:rFonts w:cs="Times New Roman"/>
          <w:color w:val="000000" w:themeColor="text1"/>
        </w:rPr>
        <w:t>As a CAT member, you will lead “content selection” for SAS Global Forum 2022 by:</w:t>
      </w:r>
    </w:p>
    <w:p>
      <w:pPr>
        <w:pStyle w:val="ListParagraph"/>
        <w:numPr>
          <w:ilvl w:val="0"/>
          <w:numId w:val="1"/>
        </w:numPr>
        <w:spacing w:lineRule="auto" w:line="240" w:before="0" w:after="0"/>
        <w:contextualSpacing/>
        <w:rPr>
          <w:rFonts w:ascii="Calibri" w:hAnsi="Calibri"/>
        </w:rPr>
      </w:pPr>
      <w:r>
        <w:rPr>
          <w:rFonts w:cs="Times New Roman"/>
          <w:color w:val="000000" w:themeColor="text1"/>
        </w:rPr>
        <w:t>Focusing content on hot topics in your areas of expertise</w:t>
      </w:r>
    </w:p>
    <w:p>
      <w:pPr>
        <w:pStyle w:val="ListParagraph"/>
        <w:numPr>
          <w:ilvl w:val="0"/>
          <w:numId w:val="1"/>
        </w:numPr>
        <w:spacing w:lineRule="auto" w:line="240" w:before="0" w:after="0"/>
        <w:contextualSpacing/>
        <w:rPr>
          <w:rFonts w:ascii="Calibri" w:hAnsi="Calibri"/>
        </w:rPr>
      </w:pPr>
      <w:r>
        <w:rPr>
          <w:rFonts w:cs="Times New Roman"/>
          <w:color w:val="000000" w:themeColor="text1"/>
        </w:rPr>
        <w:t>Identifying and inviting dynamic presenters to deliver content on the hot topics as well as the best format</w:t>
      </w:r>
    </w:p>
    <w:p>
      <w:pPr>
        <w:pStyle w:val="ListParagraph"/>
        <w:numPr>
          <w:ilvl w:val="0"/>
          <w:numId w:val="1"/>
        </w:numPr>
        <w:spacing w:lineRule="auto" w:line="240" w:before="0" w:after="0"/>
        <w:contextualSpacing/>
        <w:rPr>
          <w:rFonts w:ascii="Calibri" w:hAnsi="Calibri"/>
        </w:rPr>
      </w:pPr>
      <w:r>
        <w:rPr>
          <w:rFonts w:cs="Times New Roman"/>
          <w:color w:val="000000" w:themeColor="text1"/>
        </w:rPr>
        <w:t>Leading the review and rating of the contributed content and recommending the ‘top shelf’ papers</w:t>
      </w:r>
    </w:p>
    <w:p>
      <w:pPr>
        <w:pStyle w:val="ListParagraph"/>
        <w:numPr>
          <w:ilvl w:val="0"/>
          <w:numId w:val="1"/>
        </w:numPr>
        <w:spacing w:lineRule="auto" w:line="240" w:before="0" w:after="0"/>
        <w:contextualSpacing/>
        <w:rPr>
          <w:rFonts w:ascii="Calibri" w:hAnsi="Calibri"/>
        </w:rPr>
      </w:pPr>
      <w:r>
        <w:rPr>
          <w:rFonts w:cs="Times New Roman"/>
          <w:color w:val="000000" w:themeColor="text1"/>
        </w:rPr>
        <w:t>Organizing the content into a cohesive sequence of sessions for a singularly rewarding attendee experience</w:t>
      </w:r>
    </w:p>
    <w:p>
      <w:pPr>
        <w:pStyle w:val="ListParagraph"/>
        <w:numPr>
          <w:ilvl w:val="0"/>
          <w:numId w:val="1"/>
        </w:numPr>
        <w:spacing w:lineRule="auto" w:line="240" w:before="0" w:after="0"/>
        <w:contextualSpacing/>
        <w:rPr>
          <w:rFonts w:ascii="Calibri" w:hAnsi="Calibri"/>
        </w:rPr>
      </w:pPr>
      <w:r>
        <w:rPr>
          <w:rFonts w:cs="Times New Roman"/>
          <w:color w:val="000000" w:themeColor="text1"/>
        </w:rPr>
        <w:t>Helping to create the best conference experience by creating sample agendas, etc.</w:t>
      </w:r>
    </w:p>
    <w:p>
      <w:pPr>
        <w:pStyle w:val="Normal"/>
        <w:spacing w:lineRule="auto" w:line="240" w:before="0" w:after="0"/>
        <w:rPr>
          <w:rFonts w:ascii="Calibri" w:hAnsi="Calibri" w:cs="Times New Roman"/>
          <w:color w:val="000000" w:themeColor="text1"/>
        </w:rPr>
      </w:pPr>
      <w:r>
        <w:rPr>
          <w:rFonts w:cs="Times New Roman"/>
          <w:color w:val="000000" w:themeColor="text1"/>
        </w:rPr>
      </w:r>
    </w:p>
    <w:p>
      <w:pPr>
        <w:pStyle w:val="Normal"/>
        <w:spacing w:lineRule="auto" w:line="240" w:before="0" w:after="0"/>
        <w:rPr>
          <w:rFonts w:ascii="Calibri" w:hAnsi="Calibri"/>
        </w:rPr>
      </w:pPr>
      <w:r>
        <w:rPr>
          <w:rFonts w:cs="Times New Roman"/>
          <w:b/>
          <w:i/>
          <w:color w:val="000000" w:themeColor="text1"/>
        </w:rPr>
        <w:t>Note:  In this role you are expected to network with people to assist in identifying speakers and content reviewers.  This means you will be contacting individuals and discussing the content and the forum. Please, be sure you are comfortable contacting and discussing content with others. In addition, you will be expected to assist the CDT team in the spring of 2022 or even a little bit at the forum, but most of your volunteer time will take place between July 2021 and January, 2022.</w:t>
      </w:r>
    </w:p>
    <w:p>
      <w:pPr>
        <w:pStyle w:val="Normal"/>
        <w:spacing w:lineRule="auto" w:line="240" w:before="0" w:after="0"/>
        <w:rPr>
          <w:rFonts w:ascii="Calibri" w:hAnsi="Calibri" w:cs="Times New Roman"/>
          <w:color w:val="000000" w:themeColor="text1"/>
        </w:rPr>
      </w:pPr>
      <w:r>
        <w:rPr>
          <w:rFonts w:cs="Times New Roman"/>
          <w:color w:val="000000" w:themeColor="text1"/>
        </w:rPr>
      </w:r>
    </w:p>
    <w:p>
      <w:pPr>
        <w:pStyle w:val="Normal"/>
        <w:spacing w:lineRule="auto" w:line="240" w:before="0" w:after="0"/>
        <w:rPr>
          <w:rFonts w:ascii="Calibri" w:hAnsi="Calibri"/>
        </w:rPr>
      </w:pPr>
      <w:r>
        <w:rPr>
          <w:rFonts w:cs="Times New Roman"/>
          <w:color w:val="000000" w:themeColor="text1"/>
        </w:rPr>
        <w:t xml:space="preserve">Please read </w:t>
      </w:r>
      <w:r>
        <w:fldChar w:fldCharType="begin"/>
      </w:r>
      <w:r>
        <w:rPr>
          <w:rStyle w:val="InternetLink"/>
          <w:rFonts w:cs="Times New Roman"/>
          <w:color w:val="000000"/>
        </w:rPr>
        <w:instrText> HYPERLINK "https://github.com/sgug/Engagement-Opportunities/blob/main/SAS-Global-Forum-2022/Role-Descriptions/CONTENT-ADVISORY-TEAM.md" \l "content-advisory-team"</w:instrText>
      </w:r>
      <w:r>
        <w:rPr>
          <w:rStyle w:val="InternetLink"/>
          <w:rFonts w:cs="Times New Roman"/>
          <w:color w:val="000000"/>
        </w:rPr>
        <w:fldChar w:fldCharType="separate"/>
      </w:r>
      <w:r>
        <w:rPr>
          <w:rStyle w:val="InternetLink"/>
          <w:rFonts w:cs="Times New Roman"/>
          <w:color w:val="000000" w:themeColor="text1"/>
        </w:rPr>
        <w:t>this document</w:t>
      </w:r>
      <w:r>
        <w:rPr>
          <w:rStyle w:val="InternetLink"/>
          <w:rFonts w:cs="Times New Roman"/>
          <w:color w:val="000000"/>
        </w:rPr>
        <w:fldChar w:fldCharType="end"/>
      </w:r>
      <w:r>
        <w:rPr>
          <w:rFonts w:cs="Times New Roman"/>
          <w:color w:val="000000" w:themeColor="text1"/>
        </w:rPr>
        <w:t xml:space="preserve"> that describes in great details your role and responsibilities to make SAS Global Forum a successful event for everyone. This document will also answer your specific questions regarding your commitment, role, and responsibilities as a CAT member.</w:t>
      </w:r>
    </w:p>
    <w:p>
      <w:pPr>
        <w:pStyle w:val="Normal"/>
        <w:spacing w:lineRule="auto" w:line="240" w:before="0" w:after="0"/>
        <w:rPr>
          <w:rFonts w:ascii="Calibri" w:hAnsi="Calibri" w:cs="Times New Roman"/>
          <w:color w:val="000000" w:themeColor="text1"/>
        </w:rPr>
      </w:pPr>
      <w:r>
        <w:rPr>
          <w:rFonts w:cs="Times New Roman"/>
          <w:color w:val="000000" w:themeColor="text1"/>
        </w:rPr>
      </w:r>
    </w:p>
    <w:p>
      <w:pPr>
        <w:pStyle w:val="Normal"/>
        <w:spacing w:lineRule="auto" w:line="240" w:before="0" w:after="0"/>
        <w:rPr>
          <w:rFonts w:ascii="Calibri" w:hAnsi="Calibri"/>
        </w:rPr>
      </w:pPr>
      <w:r>
        <w:rPr>
          <w:rFonts w:cs="Times New Roman"/>
          <w:color w:val="000000" w:themeColor="text1"/>
        </w:rPr>
        <w:t>If you wish to be considered as a member of the SAS Global Forum 2022’s CAT, complete this application and return it to me (cjb.blake@gmail.com)</w:t>
      </w:r>
      <w:r>
        <w:rPr>
          <w:rFonts w:cs="Times New Roman"/>
        </w:rPr>
        <w:t xml:space="preserve"> wi</w:t>
      </w:r>
      <w:r>
        <w:rPr>
          <w:rFonts w:cs="Times New Roman"/>
          <w:color w:val="000000" w:themeColor="text1"/>
        </w:rPr>
        <w:t>th a copy of your resume or CV by</w:t>
      </w:r>
      <w:r>
        <w:rPr>
          <w:rFonts w:cs="Times New Roman"/>
          <w:b/>
          <w:color w:val="000000" w:themeColor="text1"/>
        </w:rPr>
        <w:t xml:space="preserve"> </w:t>
      </w:r>
      <w:r>
        <w:rPr>
          <w:rFonts w:eastAsia="Calibri" w:cs="Times New Roman"/>
          <w:b/>
          <w:color w:val="000000" w:themeColor="text1"/>
          <w:kern w:val="0"/>
          <w:sz w:val="22"/>
          <w:szCs w:val="22"/>
          <w:lang w:val="en-US" w:eastAsia="en-US" w:bidi="ar-SA"/>
        </w:rPr>
        <w:t>April</w:t>
      </w:r>
      <w:r>
        <w:rPr>
          <w:rFonts w:cs="Times New Roman"/>
          <w:b/>
          <w:color w:val="000000" w:themeColor="text1"/>
        </w:rPr>
        <w:t xml:space="preserve"> </w:t>
      </w:r>
      <w:r>
        <w:rPr>
          <w:rFonts w:eastAsia="Calibri" w:cs="Times New Roman"/>
          <w:b/>
          <w:color w:val="000000" w:themeColor="text1"/>
          <w:kern w:val="0"/>
          <w:sz w:val="22"/>
          <w:szCs w:val="22"/>
          <w:lang w:val="en-US" w:eastAsia="en-US" w:bidi="ar-SA"/>
        </w:rPr>
        <w:t>18</w:t>
      </w:r>
      <w:r>
        <w:rPr>
          <w:rFonts w:cs="Times New Roman"/>
          <w:b/>
          <w:color w:val="000000" w:themeColor="text1"/>
        </w:rPr>
        <w:t xml:space="preserve">, 2021. </w:t>
      </w:r>
      <w:r>
        <w:rPr>
          <w:rFonts w:cs="Times New Roman"/>
          <w:color w:val="000000" w:themeColor="text1"/>
        </w:rPr>
        <w:t>After I receive your application and resume/CV I will send you a confirmation e-mail stating I received it.</w:t>
      </w:r>
      <w:bookmarkStart w:id="1" w:name="_Hlk500579466"/>
      <w:bookmarkStart w:id="2" w:name="_Hlk500579323"/>
      <w:bookmarkEnd w:id="1"/>
      <w:bookmarkEnd w:id="2"/>
    </w:p>
    <w:p>
      <w:pPr>
        <w:pStyle w:val="Normal"/>
        <w:spacing w:lineRule="auto" w:line="240" w:before="0" w:after="0"/>
        <w:rPr>
          <w:rFonts w:ascii="Calibri" w:hAnsi="Calibri" w:cs="Times New Roman"/>
          <w:color w:val="000000" w:themeColor="text1"/>
        </w:rPr>
      </w:pPr>
      <w:r>
        <w:rPr>
          <w:rFonts w:cs="Times New Roman"/>
          <w:color w:val="000000" w:themeColor="text1"/>
        </w:rPr>
      </w:r>
    </w:p>
    <w:p>
      <w:pPr>
        <w:pStyle w:val="Normal"/>
        <w:spacing w:lineRule="auto" w:line="240" w:before="0" w:after="0"/>
        <w:rPr>
          <w:rFonts w:ascii="Calibri" w:hAnsi="Calibri"/>
        </w:rPr>
      </w:pPr>
      <w:r>
        <w:rPr>
          <w:rFonts w:cs="Times New Roman"/>
          <w:color w:val="000000" w:themeColor="text1"/>
        </w:rPr>
        <w:t xml:space="preserve">Applications will be reviewed during February and all applicants will be informed of a decision by </w:t>
      </w:r>
      <w:r>
        <w:rPr>
          <w:rFonts w:eastAsia="Calibri" w:cs="Times New Roman"/>
          <w:color w:val="000000" w:themeColor="text1"/>
          <w:kern w:val="0"/>
          <w:sz w:val="22"/>
          <w:szCs w:val="22"/>
          <w:lang w:val="en-US" w:eastAsia="en-US" w:bidi="ar-SA"/>
        </w:rPr>
        <w:t>May</w:t>
      </w:r>
      <w:r>
        <w:rPr>
          <w:rFonts w:cs="Times New Roman"/>
          <w:color w:val="000000" w:themeColor="text1"/>
        </w:rPr>
        <w:t xml:space="preserve"> 1, 2021 </w:t>
      </w:r>
      <w:r>
        <w:rPr>
          <w:rFonts w:cs="Times New Roman"/>
          <w:iCs/>
          <w:color w:val="000000" w:themeColor="text1"/>
        </w:rPr>
        <w:t>Please note that the SGUGEB is responsible for reviewing the Conference Chair's recommendations for CAT members.</w:t>
      </w:r>
      <w:bookmarkStart w:id="3" w:name="_Hlk500579405"/>
      <w:bookmarkEnd w:id="3"/>
    </w:p>
    <w:p>
      <w:pPr>
        <w:pStyle w:val="Normal"/>
        <w:spacing w:lineRule="auto" w:line="240" w:before="0" w:after="0"/>
        <w:rPr>
          <w:rFonts w:ascii="Calibri" w:hAnsi="Calibri" w:cs="Times New Roman"/>
          <w:iCs/>
          <w:color w:val="000000" w:themeColor="text1"/>
        </w:rPr>
      </w:pPr>
      <w:r>
        <w:rPr>
          <w:rFonts w:cs="Times New Roman"/>
          <w:iCs/>
          <w:color w:val="000000" w:themeColor="text1"/>
        </w:rPr>
      </w:r>
    </w:p>
    <w:p>
      <w:pPr>
        <w:pStyle w:val="Normal"/>
        <w:spacing w:lineRule="auto" w:line="240" w:before="0" w:after="0"/>
        <w:rPr>
          <w:rFonts w:ascii="Calibri" w:hAnsi="Calibri"/>
        </w:rPr>
      </w:pPr>
      <w:r>
        <w:rPr>
          <w:rFonts w:cs="Times New Roman"/>
          <w:color w:val="000000" w:themeColor="text1"/>
        </w:rPr>
        <w:t>I look forward to receiving your application. If you have any questions, do not hesitate to contact me.</w:t>
      </w:r>
    </w:p>
    <w:p>
      <w:pPr>
        <w:pStyle w:val="Normal"/>
        <w:spacing w:lineRule="auto" w:line="240" w:before="0" w:after="0"/>
        <w:rPr>
          <w:rFonts w:ascii="Calibri" w:hAnsi="Calibri" w:cs="Times New Roman"/>
          <w:color w:val="000000" w:themeColor="text1"/>
        </w:rPr>
      </w:pPr>
      <w:r>
        <w:rPr>
          <w:rFonts w:cs="Times New Roman"/>
          <w:color w:val="000000" w:themeColor="text1"/>
        </w:rPr>
      </w:r>
    </w:p>
    <w:p>
      <w:pPr>
        <w:pStyle w:val="Normal"/>
        <w:spacing w:lineRule="auto" w:line="240" w:before="0" w:after="0"/>
        <w:rPr>
          <w:rFonts w:ascii="Calibri" w:hAnsi="Calibri"/>
        </w:rPr>
      </w:pPr>
      <w:r>
        <w:rPr>
          <w:rFonts w:cs="Times New Roman"/>
          <w:color w:val="000000" w:themeColor="text1"/>
        </w:rPr>
        <w:t>Sincerely,</w:t>
      </w:r>
    </w:p>
    <w:p>
      <w:pPr>
        <w:pStyle w:val="Normal"/>
        <w:spacing w:lineRule="auto" w:line="240" w:before="0" w:after="0"/>
        <w:rPr>
          <w:rFonts w:ascii="Calibri" w:hAnsi="Calibri" w:cs="Times New Roman"/>
          <w:color w:val="000000" w:themeColor="text1"/>
        </w:rPr>
      </w:pPr>
      <w:r>
        <w:rPr>
          <w:rFonts w:cs="Times New Roman"/>
          <w:color w:val="000000" w:themeColor="text1"/>
        </w:rPr>
      </w:r>
    </w:p>
    <w:p>
      <w:pPr>
        <w:pStyle w:val="Normal"/>
        <w:spacing w:lineRule="auto" w:line="240" w:before="0" w:after="0"/>
        <w:rPr>
          <w:rFonts w:ascii="Calibri" w:hAnsi="Calibri"/>
        </w:rPr>
      </w:pPr>
      <w:r>
        <w:rPr>
          <w:rFonts w:eastAsia="Calibri" w:cs="Times New Roman"/>
          <w:color w:val="000000" w:themeColor="text1"/>
          <w:kern w:val="0"/>
          <w:sz w:val="22"/>
          <w:szCs w:val="22"/>
          <w:lang w:val="en-US" w:eastAsia="en-US" w:bidi="ar-SA"/>
        </w:rPr>
        <w:t>Chris Blake</w:t>
      </w:r>
    </w:p>
    <w:p>
      <w:pPr>
        <w:pStyle w:val="Normal"/>
        <w:spacing w:lineRule="auto" w:line="240" w:before="0" w:after="0"/>
        <w:rPr>
          <w:rFonts w:ascii="Calibri" w:hAnsi="Calibri"/>
        </w:rPr>
      </w:pPr>
      <w:r>
        <w:rPr>
          <w:rFonts w:cs="Times New Roman"/>
          <w:color w:val="000000" w:themeColor="text1"/>
        </w:rPr>
        <w:t>SAS GLOBAL FORUM 202</w:t>
      </w:r>
      <w:r>
        <w:rPr>
          <w:rFonts w:eastAsia="Calibri" w:cs="Times New Roman"/>
          <w:color w:val="000000" w:themeColor="text1"/>
          <w:kern w:val="0"/>
          <w:sz w:val="22"/>
          <w:szCs w:val="22"/>
          <w:lang w:val="en-US" w:eastAsia="en-US" w:bidi="ar-SA"/>
        </w:rPr>
        <w:t>2</w:t>
      </w:r>
      <w:r>
        <w:rPr>
          <w:rFonts w:cs="Times New Roman"/>
          <w:color w:val="000000" w:themeColor="text1"/>
        </w:rPr>
        <w:t xml:space="preserve"> Conference Chair</w:t>
      </w:r>
    </w:p>
    <w:p>
      <w:pPr>
        <w:pStyle w:val="Normal"/>
        <w:spacing w:lineRule="auto" w:line="240" w:before="0" w:after="0"/>
        <w:rPr>
          <w:rFonts w:ascii="Calibri" w:hAnsi="Calibri"/>
        </w:rPr>
      </w:pPr>
      <w:r>
        <w:rPr>
          <w:rFonts w:eastAsia="Calibri" w:cs="Times New Roman" w:eastAsiaTheme="minorHAnsi"/>
          <w:color w:val="auto"/>
          <w:kern w:val="0"/>
          <w:sz w:val="22"/>
          <w:szCs w:val="22"/>
          <w:lang w:val="en-US" w:eastAsia="en-US" w:bidi="ar-SA"/>
        </w:rPr>
        <w:t>cjb.blake</w:t>
      </w:r>
      <w:r>
        <w:rPr>
          <w:rFonts w:cs="Times New Roman"/>
        </w:rPr>
        <w:t>@gmail.com</w:t>
      </w:r>
    </w:p>
    <w:p>
      <w:pPr>
        <w:pStyle w:val="Normal"/>
        <w:spacing w:lineRule="auto" w:line="240" w:before="0" w:after="0"/>
        <w:rPr>
          <w:rFonts w:ascii="Calibri" w:hAnsi="Calibri"/>
        </w:rPr>
      </w:pPr>
      <w:r>
        <w:rPr>
          <w:rFonts w:cs="Times New Roman"/>
          <w:color w:val="000000" w:themeColor="text1"/>
        </w:rPr>
        <w:t xml:space="preserve">Please provide </w:t>
      </w:r>
      <w:r>
        <w:rPr>
          <w:rFonts w:cs="Times New Roman"/>
          <w:color w:val="000000" w:themeColor="text1"/>
          <w:u w:val="single"/>
        </w:rPr>
        <w:t>all requested information</w:t>
      </w:r>
      <w:r>
        <w:rPr>
          <w:rFonts w:cs="Times New Roman"/>
          <w:color w:val="000000" w:themeColor="text1"/>
        </w:rPr>
        <w:t xml:space="preserve"> in the following four tables.</w:t>
      </w:r>
    </w:p>
    <w:p>
      <w:pPr>
        <w:pStyle w:val="Normal"/>
        <w:spacing w:lineRule="auto" w:line="240" w:before="0" w:after="0"/>
        <w:rPr>
          <w:rFonts w:ascii="Calibri" w:hAnsi="Calibri" w:cs="Times New Roman"/>
          <w:color w:val="000000" w:themeColor="text1"/>
        </w:rPr>
      </w:pPr>
      <w:r>
        <w:rPr>
          <w:rFonts w:cs="Times New Roman"/>
          <w:color w:val="000000" w:themeColor="text1"/>
        </w:rPr>
      </w:r>
    </w:p>
    <w:p>
      <w:pPr>
        <w:pStyle w:val="Normal"/>
        <w:spacing w:lineRule="auto" w:line="240" w:before="0" w:after="0"/>
        <w:jc w:val="center"/>
        <w:rPr>
          <w:rFonts w:ascii="Calibri" w:hAnsi="Calibri"/>
        </w:rPr>
      </w:pPr>
      <w:r>
        <w:rPr>
          <w:rFonts w:cs="Times New Roman"/>
          <w:b/>
          <w:color w:val="000000" w:themeColor="text1"/>
        </w:rPr>
        <w:t>Table 1: Applicant contact information, conferencing experience, and expertise</w:t>
      </w:r>
    </w:p>
    <w:tbl>
      <w:tblPr>
        <w:tblStyle w:val="TableGrid"/>
        <w:tblW w:w="935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255"/>
        <w:gridCol w:w="3969"/>
        <w:gridCol w:w="2125"/>
      </w:tblGrid>
      <w:tr>
        <w:trPr/>
        <w:tc>
          <w:tcPr>
            <w:tcW w:w="3255" w:type="dxa"/>
            <w:tcBorders/>
          </w:tcPr>
          <w:p>
            <w:pPr>
              <w:pStyle w:val="Normal"/>
              <w:widowControl w:val="false"/>
              <w:suppressAutoHyphens w:val="true"/>
              <w:spacing w:lineRule="auto" w:line="240" w:before="0" w:after="0"/>
              <w:jc w:val="left"/>
              <w:rPr>
                <w:rFonts w:ascii="Calibri" w:hAnsi="Calibri" w:cs="Times New Roman"/>
                <w:color w:val="000000"/>
              </w:rPr>
            </w:pPr>
            <w:r>
              <w:rPr>
                <w:rFonts w:eastAsia="Calibri" w:cs="Times New Roman"/>
                <w:color w:val="000000" w:themeColor="text1"/>
                <w:kern w:val="0"/>
                <w:sz w:val="22"/>
                <w:szCs w:val="22"/>
                <w:lang w:val="en-US" w:eastAsia="en-US" w:bidi="ar-SA"/>
              </w:rPr>
              <w:t>Full Name</w:t>
            </w:r>
          </w:p>
        </w:tc>
        <w:tc>
          <w:tcPr>
            <w:tcW w:w="6094" w:type="dxa"/>
            <w:gridSpan w:val="2"/>
            <w:tcBorders/>
          </w:tcPr>
          <w:p>
            <w:pPr>
              <w:pStyle w:val="Normal"/>
              <w:widowControl w:val="false"/>
              <w:suppressAutoHyphens w:val="true"/>
              <w:spacing w:lineRule="auto" w:line="240" w:before="0" w:after="0"/>
              <w:jc w:val="left"/>
              <w:rPr>
                <w:rFonts w:ascii="Calibri" w:hAnsi="Calibri" w:cs="Times New Roman"/>
                <w:color w:val="000000" w:themeColor="text1"/>
              </w:rPr>
            </w:pPr>
            <w:r>
              <w:rPr>
                <w:rFonts w:cs="Times New Roman"/>
                <w:color w:val="000000" w:themeColor="text1"/>
              </w:rPr>
            </w:r>
          </w:p>
        </w:tc>
      </w:tr>
      <w:tr>
        <w:trPr/>
        <w:tc>
          <w:tcPr>
            <w:tcW w:w="3255" w:type="dxa"/>
            <w:tcBorders/>
          </w:tcPr>
          <w:p>
            <w:pPr>
              <w:pStyle w:val="Normal"/>
              <w:widowControl w:val="false"/>
              <w:suppressAutoHyphens w:val="true"/>
              <w:spacing w:lineRule="auto" w:line="240" w:before="0" w:after="0"/>
              <w:jc w:val="left"/>
              <w:rPr>
                <w:rFonts w:ascii="Calibri" w:hAnsi="Calibri" w:cs="Times New Roman"/>
                <w:color w:val="000000"/>
              </w:rPr>
            </w:pPr>
            <w:r>
              <w:rPr>
                <w:rFonts w:eastAsia="Calibri" w:cs="Times New Roman"/>
                <w:color w:val="000000" w:themeColor="text1"/>
                <w:kern w:val="0"/>
                <w:sz w:val="22"/>
                <w:szCs w:val="22"/>
                <w:lang w:val="en-US" w:eastAsia="en-US" w:bidi="ar-SA"/>
              </w:rPr>
              <w:t>Title</w:t>
            </w:r>
          </w:p>
        </w:tc>
        <w:tc>
          <w:tcPr>
            <w:tcW w:w="6094" w:type="dxa"/>
            <w:gridSpan w:val="2"/>
            <w:tcBorders/>
          </w:tcPr>
          <w:p>
            <w:pPr>
              <w:pStyle w:val="Normal"/>
              <w:widowControl w:val="false"/>
              <w:suppressAutoHyphens w:val="true"/>
              <w:spacing w:lineRule="auto" w:line="240" w:before="0" w:after="0"/>
              <w:jc w:val="left"/>
              <w:rPr>
                <w:rFonts w:ascii="Calibri" w:hAnsi="Calibri" w:cs="Times New Roman"/>
                <w:color w:val="000000" w:themeColor="text1"/>
              </w:rPr>
            </w:pPr>
            <w:r>
              <w:rPr>
                <w:rFonts w:cs="Times New Roman"/>
                <w:color w:val="000000" w:themeColor="text1"/>
              </w:rPr>
            </w:r>
          </w:p>
        </w:tc>
      </w:tr>
      <w:tr>
        <w:trPr/>
        <w:tc>
          <w:tcPr>
            <w:tcW w:w="3255" w:type="dxa"/>
            <w:tcBorders/>
          </w:tcPr>
          <w:p>
            <w:pPr>
              <w:pStyle w:val="Normal"/>
              <w:widowControl w:val="false"/>
              <w:suppressAutoHyphens w:val="true"/>
              <w:spacing w:lineRule="auto" w:line="240" w:before="0" w:after="0"/>
              <w:jc w:val="left"/>
              <w:rPr>
                <w:rFonts w:ascii="Calibri" w:hAnsi="Calibri" w:cs="Times New Roman"/>
                <w:color w:val="000000"/>
              </w:rPr>
            </w:pPr>
            <w:r>
              <w:rPr>
                <w:rFonts w:eastAsia="Calibri" w:cs="Times New Roman"/>
                <w:color w:val="000000" w:themeColor="text1"/>
                <w:kern w:val="0"/>
                <w:sz w:val="22"/>
                <w:szCs w:val="22"/>
                <w:lang w:val="en-US" w:eastAsia="en-US" w:bidi="ar-SA"/>
              </w:rPr>
              <w:t>Company or Organization</w:t>
            </w:r>
          </w:p>
        </w:tc>
        <w:tc>
          <w:tcPr>
            <w:tcW w:w="6094" w:type="dxa"/>
            <w:gridSpan w:val="2"/>
            <w:tcBorders/>
          </w:tcPr>
          <w:p>
            <w:pPr>
              <w:pStyle w:val="Normal"/>
              <w:widowControl w:val="false"/>
              <w:suppressAutoHyphens w:val="true"/>
              <w:spacing w:lineRule="auto" w:line="240" w:before="0" w:after="0"/>
              <w:jc w:val="left"/>
              <w:rPr>
                <w:rFonts w:ascii="Calibri" w:hAnsi="Calibri" w:cs="Times New Roman"/>
                <w:color w:val="000000" w:themeColor="text1"/>
              </w:rPr>
            </w:pPr>
            <w:r>
              <w:rPr>
                <w:rFonts w:cs="Times New Roman"/>
                <w:color w:val="000000" w:themeColor="text1"/>
              </w:rPr>
            </w:r>
          </w:p>
        </w:tc>
      </w:tr>
      <w:tr>
        <w:trPr/>
        <w:tc>
          <w:tcPr>
            <w:tcW w:w="3255" w:type="dxa"/>
            <w:tcBorders/>
          </w:tcPr>
          <w:p>
            <w:pPr>
              <w:pStyle w:val="Normal"/>
              <w:widowControl w:val="false"/>
              <w:suppressAutoHyphens w:val="true"/>
              <w:spacing w:lineRule="auto" w:line="240" w:before="0" w:after="0"/>
              <w:jc w:val="left"/>
              <w:rPr>
                <w:rFonts w:ascii="Calibri" w:hAnsi="Calibri" w:cs="Times New Roman"/>
                <w:color w:val="000000"/>
              </w:rPr>
            </w:pPr>
            <w:r>
              <w:rPr>
                <w:rFonts w:eastAsia="Calibri" w:cs="Times New Roman"/>
                <w:color w:val="000000" w:themeColor="text1"/>
                <w:kern w:val="0"/>
                <w:sz w:val="22"/>
                <w:szCs w:val="22"/>
                <w:lang w:val="en-US" w:eastAsia="en-US" w:bidi="ar-SA"/>
              </w:rPr>
              <w:t>City, State/Province, Country</w:t>
            </w:r>
          </w:p>
        </w:tc>
        <w:tc>
          <w:tcPr>
            <w:tcW w:w="6094" w:type="dxa"/>
            <w:gridSpan w:val="2"/>
            <w:tcBorders/>
          </w:tcPr>
          <w:p>
            <w:pPr>
              <w:pStyle w:val="Normal"/>
              <w:widowControl w:val="false"/>
              <w:suppressAutoHyphens w:val="true"/>
              <w:spacing w:lineRule="auto" w:line="240" w:before="0" w:after="0"/>
              <w:jc w:val="left"/>
              <w:rPr>
                <w:rFonts w:ascii="Calibri" w:hAnsi="Calibri" w:cs="Times New Roman"/>
                <w:color w:val="000000" w:themeColor="text1"/>
              </w:rPr>
            </w:pPr>
            <w:r>
              <w:rPr>
                <w:rFonts w:cs="Times New Roman"/>
                <w:color w:val="000000" w:themeColor="text1"/>
              </w:rPr>
            </w:r>
          </w:p>
        </w:tc>
      </w:tr>
      <w:tr>
        <w:trPr/>
        <w:tc>
          <w:tcPr>
            <w:tcW w:w="3255" w:type="dxa"/>
            <w:tcBorders/>
          </w:tcPr>
          <w:p>
            <w:pPr>
              <w:pStyle w:val="Normal"/>
              <w:widowControl w:val="false"/>
              <w:suppressAutoHyphens w:val="true"/>
              <w:spacing w:lineRule="auto" w:line="240" w:before="0" w:after="0"/>
              <w:jc w:val="left"/>
              <w:rPr>
                <w:rFonts w:ascii="Calibri" w:hAnsi="Calibri" w:cs="Times New Roman"/>
                <w:color w:val="000000"/>
              </w:rPr>
            </w:pPr>
            <w:r>
              <w:rPr>
                <w:rFonts w:eastAsia="Calibri" w:cs="Times New Roman"/>
                <w:color w:val="000000" w:themeColor="text1"/>
                <w:kern w:val="0"/>
                <w:sz w:val="22"/>
                <w:szCs w:val="22"/>
                <w:lang w:val="en-US" w:eastAsia="en-US" w:bidi="ar-SA"/>
              </w:rPr>
              <w:t>Phone Number</w:t>
            </w:r>
          </w:p>
        </w:tc>
        <w:tc>
          <w:tcPr>
            <w:tcW w:w="6094" w:type="dxa"/>
            <w:gridSpan w:val="2"/>
            <w:tcBorders/>
          </w:tcPr>
          <w:p>
            <w:pPr>
              <w:pStyle w:val="Normal"/>
              <w:widowControl w:val="false"/>
              <w:suppressAutoHyphens w:val="true"/>
              <w:spacing w:lineRule="auto" w:line="240" w:before="0" w:after="0"/>
              <w:jc w:val="left"/>
              <w:rPr>
                <w:rFonts w:ascii="Calibri" w:hAnsi="Calibri" w:cs="Times New Roman"/>
                <w:color w:val="000000" w:themeColor="text1"/>
              </w:rPr>
            </w:pPr>
            <w:r>
              <w:rPr>
                <w:rFonts w:cs="Times New Roman"/>
                <w:color w:val="000000" w:themeColor="text1"/>
              </w:rPr>
            </w:r>
          </w:p>
        </w:tc>
      </w:tr>
      <w:tr>
        <w:trPr/>
        <w:tc>
          <w:tcPr>
            <w:tcW w:w="3255" w:type="dxa"/>
            <w:tcBorders/>
          </w:tcPr>
          <w:p>
            <w:pPr>
              <w:pStyle w:val="Normal"/>
              <w:widowControl w:val="false"/>
              <w:suppressAutoHyphens w:val="true"/>
              <w:spacing w:lineRule="auto" w:line="240" w:before="0" w:after="0"/>
              <w:jc w:val="left"/>
              <w:rPr>
                <w:rFonts w:ascii="Calibri" w:hAnsi="Calibri" w:cs="Times New Roman"/>
                <w:color w:val="000000"/>
              </w:rPr>
            </w:pPr>
            <w:r>
              <w:rPr>
                <w:rFonts w:eastAsia="Calibri" w:cs="Times New Roman"/>
                <w:color w:val="000000" w:themeColor="text1"/>
                <w:kern w:val="0"/>
                <w:sz w:val="22"/>
                <w:szCs w:val="22"/>
                <w:lang w:val="en-US" w:eastAsia="en-US" w:bidi="ar-SA"/>
              </w:rPr>
              <w:t>Email</w:t>
            </w:r>
          </w:p>
        </w:tc>
        <w:tc>
          <w:tcPr>
            <w:tcW w:w="6094" w:type="dxa"/>
            <w:gridSpan w:val="2"/>
            <w:tcBorders/>
          </w:tcPr>
          <w:p>
            <w:pPr>
              <w:pStyle w:val="Normal"/>
              <w:widowControl w:val="false"/>
              <w:suppressAutoHyphens w:val="true"/>
              <w:spacing w:lineRule="auto" w:line="240" w:before="0" w:after="0"/>
              <w:jc w:val="left"/>
              <w:rPr>
                <w:rFonts w:ascii="Calibri" w:hAnsi="Calibri" w:cs="Times New Roman"/>
                <w:color w:val="000000" w:themeColor="text1"/>
              </w:rPr>
            </w:pPr>
            <w:r>
              <w:rPr>
                <w:rFonts w:cs="Times New Roman"/>
                <w:color w:val="000000" w:themeColor="text1"/>
              </w:rPr>
            </w:r>
          </w:p>
        </w:tc>
      </w:tr>
      <w:tr>
        <w:trPr>
          <w:trHeight w:val="70" w:hRule="atLeast"/>
        </w:trPr>
        <w:tc>
          <w:tcPr>
            <w:tcW w:w="9349" w:type="dxa"/>
            <w:gridSpan w:val="3"/>
            <w:tcBorders/>
            <w:shd w:color="auto" w:fill="1F497D" w:themeFill="text2" w:val="clear"/>
          </w:tcPr>
          <w:p>
            <w:pPr>
              <w:pStyle w:val="Normal"/>
              <w:widowControl w:val="false"/>
              <w:suppressAutoHyphens w:val="true"/>
              <w:spacing w:lineRule="auto" w:line="240" w:before="0" w:after="0"/>
              <w:jc w:val="left"/>
              <w:rPr>
                <w:rFonts w:ascii="Calibri" w:hAnsi="Calibri" w:cs="Times New Roman"/>
                <w:color w:val="000000" w:themeColor="text1"/>
              </w:rPr>
            </w:pPr>
            <w:r>
              <w:rPr>
                <w:rFonts w:cs="Times New Roman"/>
                <w:color w:val="000000" w:themeColor="text1"/>
              </w:rPr>
            </w:r>
          </w:p>
        </w:tc>
      </w:tr>
      <w:tr>
        <w:trPr/>
        <w:tc>
          <w:tcPr>
            <w:tcW w:w="9349" w:type="dxa"/>
            <w:gridSpan w:val="3"/>
            <w:tcBorders/>
          </w:tcPr>
          <w:p>
            <w:pPr>
              <w:pStyle w:val="Normal"/>
              <w:widowControl w:val="false"/>
              <w:suppressAutoHyphens w:val="true"/>
              <w:spacing w:lineRule="auto" w:line="240" w:before="0" w:after="0"/>
              <w:jc w:val="left"/>
              <w:rPr>
                <w:rFonts w:ascii="Calibri" w:hAnsi="Calibri" w:cs="Times New Roman"/>
                <w:color w:val="000000"/>
              </w:rPr>
            </w:pPr>
            <w:r>
              <w:rPr>
                <w:rFonts w:eastAsia="Calibri" w:cs="Times New Roman"/>
                <w:color w:val="000000" w:themeColor="text1"/>
                <w:kern w:val="0"/>
                <w:sz w:val="22"/>
                <w:szCs w:val="22"/>
                <w:lang w:val="en-US" w:eastAsia="en-US" w:bidi="ar-SA"/>
              </w:rPr>
              <w:t>List relevant areas of expertise</w:t>
            </w:r>
          </w:p>
        </w:tc>
      </w:tr>
      <w:tr>
        <w:trPr>
          <w:trHeight w:val="1235" w:hRule="atLeast"/>
        </w:trPr>
        <w:tc>
          <w:tcPr>
            <w:tcW w:w="9349" w:type="dxa"/>
            <w:gridSpan w:val="3"/>
            <w:tcBorders/>
          </w:tcPr>
          <w:p>
            <w:pPr>
              <w:pStyle w:val="Normal"/>
              <w:widowControl w:val="false"/>
              <w:suppressAutoHyphens w:val="true"/>
              <w:spacing w:lineRule="auto" w:line="240" w:before="0" w:after="0"/>
              <w:jc w:val="left"/>
              <w:rPr>
                <w:rFonts w:ascii="Calibri" w:hAnsi="Calibri" w:cs="Times New Roman"/>
                <w:color w:val="000000" w:themeColor="text1"/>
              </w:rPr>
            </w:pPr>
            <w:r>
              <w:rPr>
                <w:rFonts w:cs="Times New Roman"/>
                <w:color w:val="000000" w:themeColor="text1"/>
              </w:rPr>
            </w:r>
          </w:p>
        </w:tc>
      </w:tr>
      <w:tr>
        <w:trPr/>
        <w:tc>
          <w:tcPr>
            <w:tcW w:w="7224" w:type="dxa"/>
            <w:gridSpan w:val="2"/>
            <w:tcBorders/>
          </w:tcPr>
          <w:p>
            <w:pPr>
              <w:pStyle w:val="Normal"/>
              <w:widowControl w:val="false"/>
              <w:suppressAutoHyphens w:val="true"/>
              <w:spacing w:lineRule="auto" w:line="240" w:before="0" w:after="0"/>
              <w:jc w:val="left"/>
              <w:rPr>
                <w:rFonts w:ascii="Calibri" w:hAnsi="Calibri" w:cs="Times New Roman"/>
                <w:color w:val="000000"/>
              </w:rPr>
            </w:pPr>
            <w:r>
              <w:rPr>
                <w:rFonts w:eastAsia="Calibri" w:cs="Times New Roman"/>
                <w:color w:val="000000" w:themeColor="text1"/>
                <w:kern w:val="0"/>
                <w:sz w:val="22"/>
                <w:szCs w:val="22"/>
                <w:lang w:val="en-US" w:eastAsia="en-US" w:bidi="ar-SA"/>
              </w:rPr>
              <w:t>Can you attend SGF 2021 Virtual, May 18– May 20, 2021?</w:t>
            </w:r>
          </w:p>
        </w:tc>
        <w:tc>
          <w:tcPr>
            <w:tcW w:w="2125" w:type="dxa"/>
            <w:tcBorders/>
          </w:tcPr>
          <w:p>
            <w:pPr>
              <w:pStyle w:val="Normal"/>
              <w:widowControl w:val="false"/>
              <w:suppressAutoHyphens w:val="true"/>
              <w:spacing w:lineRule="auto" w:line="240" w:before="0" w:after="0"/>
              <w:jc w:val="left"/>
              <w:rPr>
                <w:rFonts w:ascii="Calibri" w:hAnsi="Calibri" w:cs="Times New Roman"/>
                <w:color w:val="000000" w:themeColor="text1"/>
              </w:rPr>
            </w:pPr>
            <w:r>
              <w:rPr>
                <w:rFonts w:cs="Times New Roman"/>
                <w:color w:val="000000" w:themeColor="text1"/>
              </w:rPr>
            </w:r>
          </w:p>
        </w:tc>
      </w:tr>
      <w:tr>
        <w:trPr/>
        <w:tc>
          <w:tcPr>
            <w:tcW w:w="7224" w:type="dxa"/>
            <w:gridSpan w:val="2"/>
            <w:tcBorders/>
          </w:tcPr>
          <w:p>
            <w:pPr>
              <w:pStyle w:val="Normal"/>
              <w:widowControl w:val="false"/>
              <w:suppressAutoHyphens w:val="true"/>
              <w:spacing w:lineRule="auto" w:line="240" w:before="0" w:after="0"/>
              <w:jc w:val="left"/>
              <w:rPr>
                <w:rFonts w:ascii="Calibri" w:hAnsi="Calibri" w:cs="Times New Roman"/>
                <w:color w:val="000000"/>
              </w:rPr>
            </w:pPr>
            <w:r>
              <w:rPr>
                <w:rFonts w:eastAsia="Calibri" w:cs="Times New Roman"/>
                <w:color w:val="000000" w:themeColor="text1"/>
                <w:kern w:val="0"/>
                <w:sz w:val="22"/>
                <w:szCs w:val="22"/>
                <w:lang w:val="en-US" w:eastAsia="en-US" w:bidi="ar-SA"/>
              </w:rPr>
              <w:t>Can you attend SGF 2022 in San Diego, CA, USA, Apr 10 – Apr 13, 2021?</w:t>
            </w:r>
          </w:p>
        </w:tc>
        <w:tc>
          <w:tcPr>
            <w:tcW w:w="2125" w:type="dxa"/>
            <w:tcBorders/>
          </w:tcPr>
          <w:p>
            <w:pPr>
              <w:pStyle w:val="Normal"/>
              <w:widowControl w:val="false"/>
              <w:suppressAutoHyphens w:val="true"/>
              <w:spacing w:lineRule="auto" w:line="240" w:before="0" w:after="0"/>
              <w:jc w:val="left"/>
              <w:rPr>
                <w:rFonts w:ascii="Calibri" w:hAnsi="Calibri" w:cs="Times New Roman"/>
                <w:color w:val="000000" w:themeColor="text1"/>
              </w:rPr>
            </w:pPr>
            <w:r>
              <w:rPr>
                <w:rFonts w:cs="Times New Roman"/>
                <w:color w:val="000000" w:themeColor="text1"/>
              </w:rPr>
            </w:r>
          </w:p>
        </w:tc>
      </w:tr>
      <w:tr>
        <w:trPr/>
        <w:tc>
          <w:tcPr>
            <w:tcW w:w="7224" w:type="dxa"/>
            <w:gridSpan w:val="2"/>
            <w:tcBorders/>
          </w:tcPr>
          <w:p>
            <w:pPr>
              <w:pStyle w:val="Normal"/>
              <w:widowControl w:val="false"/>
              <w:suppressAutoHyphens w:val="true"/>
              <w:spacing w:lineRule="auto" w:line="240" w:before="0" w:after="0"/>
              <w:jc w:val="left"/>
              <w:rPr>
                <w:rFonts w:ascii="Calibri" w:hAnsi="Calibri" w:cs="Times New Roman"/>
                <w:color w:val="000000"/>
              </w:rPr>
            </w:pPr>
            <w:r>
              <w:rPr>
                <w:rFonts w:eastAsia="Calibri" w:cs="Times New Roman"/>
                <w:color w:val="000000" w:themeColor="text1"/>
                <w:kern w:val="0"/>
                <w:sz w:val="22"/>
                <w:szCs w:val="22"/>
                <w:lang w:val="en-US" w:eastAsia="en-US" w:bidi="ar-SA"/>
              </w:rPr>
              <w:t>Will you need approval from your employer to be a CAT member?</w:t>
            </w:r>
          </w:p>
        </w:tc>
        <w:tc>
          <w:tcPr>
            <w:tcW w:w="2125" w:type="dxa"/>
            <w:tcBorders/>
          </w:tcPr>
          <w:p>
            <w:pPr>
              <w:pStyle w:val="Normal"/>
              <w:widowControl w:val="false"/>
              <w:suppressAutoHyphens w:val="true"/>
              <w:spacing w:lineRule="auto" w:line="240" w:before="0" w:after="0"/>
              <w:jc w:val="left"/>
              <w:rPr>
                <w:rFonts w:ascii="Calibri" w:hAnsi="Calibri" w:cs="Times New Roman"/>
                <w:color w:val="000000" w:themeColor="text1"/>
              </w:rPr>
            </w:pPr>
            <w:r>
              <w:rPr>
                <w:rFonts w:cs="Times New Roman"/>
                <w:color w:val="000000" w:themeColor="text1"/>
              </w:rPr>
            </w:r>
          </w:p>
        </w:tc>
      </w:tr>
      <w:tr>
        <w:trPr/>
        <w:tc>
          <w:tcPr>
            <w:tcW w:w="9349" w:type="dxa"/>
            <w:gridSpan w:val="3"/>
            <w:tcBorders/>
            <w:shd w:color="auto" w:fill="1F497D" w:themeFill="text2" w:val="clear"/>
          </w:tcPr>
          <w:p>
            <w:pPr>
              <w:pStyle w:val="Normal"/>
              <w:widowControl w:val="false"/>
              <w:suppressAutoHyphens w:val="true"/>
              <w:spacing w:lineRule="auto" w:line="240" w:before="0" w:after="0"/>
              <w:jc w:val="left"/>
              <w:rPr>
                <w:rFonts w:ascii="Calibri" w:hAnsi="Calibri" w:cs="Times New Roman"/>
                <w:color w:val="000000" w:themeColor="text1"/>
              </w:rPr>
            </w:pPr>
            <w:r>
              <w:rPr>
                <w:rFonts w:cs="Times New Roman"/>
                <w:color w:val="000000" w:themeColor="text1"/>
              </w:rPr>
            </w:r>
          </w:p>
        </w:tc>
      </w:tr>
      <w:tr>
        <w:trPr/>
        <w:tc>
          <w:tcPr>
            <w:tcW w:w="9349" w:type="dxa"/>
            <w:gridSpan w:val="3"/>
            <w:tcBorders/>
          </w:tcPr>
          <w:p>
            <w:pPr>
              <w:pStyle w:val="Normal"/>
              <w:widowControl w:val="false"/>
              <w:suppressAutoHyphens w:val="true"/>
              <w:spacing w:lineRule="auto" w:line="240" w:before="0" w:after="0"/>
              <w:jc w:val="left"/>
              <w:rPr>
                <w:rFonts w:ascii="Calibri" w:hAnsi="Calibri" w:cs="Times New Roman"/>
                <w:color w:val="000000"/>
              </w:rPr>
            </w:pPr>
            <w:r>
              <w:rPr>
                <w:rFonts w:eastAsia="Calibri" w:cs="Times New Roman"/>
                <w:color w:val="000000" w:themeColor="text1"/>
                <w:kern w:val="0"/>
                <w:sz w:val="22"/>
                <w:szCs w:val="22"/>
                <w:lang w:val="en-US" w:eastAsia="en-US" w:bidi="ar-SA"/>
              </w:rPr>
              <w:t>Describe your conference or user group organizing experience, focusing on obtaining content (speakers and volunteers to help select content)</w:t>
            </w:r>
          </w:p>
        </w:tc>
      </w:tr>
      <w:tr>
        <w:trPr>
          <w:trHeight w:val="1922" w:hRule="atLeast"/>
        </w:trPr>
        <w:tc>
          <w:tcPr>
            <w:tcW w:w="9349" w:type="dxa"/>
            <w:gridSpan w:val="3"/>
            <w:tcBorders/>
          </w:tcPr>
          <w:p>
            <w:pPr>
              <w:pStyle w:val="Normal"/>
              <w:widowControl w:val="false"/>
              <w:suppressAutoHyphens w:val="true"/>
              <w:spacing w:lineRule="auto" w:line="240" w:before="0" w:after="0"/>
              <w:jc w:val="left"/>
              <w:rPr>
                <w:rFonts w:ascii="Calibri" w:hAnsi="Calibri" w:cs="Times New Roman"/>
                <w:color w:val="000000" w:themeColor="text1"/>
              </w:rPr>
            </w:pPr>
            <w:r>
              <w:rPr>
                <w:rFonts w:cs="Times New Roman"/>
                <w:color w:val="000000" w:themeColor="text1"/>
              </w:rPr>
            </w:r>
          </w:p>
        </w:tc>
      </w:tr>
      <w:tr>
        <w:trPr/>
        <w:tc>
          <w:tcPr>
            <w:tcW w:w="9349" w:type="dxa"/>
            <w:gridSpan w:val="3"/>
            <w:tcBorders/>
          </w:tcPr>
          <w:p>
            <w:pPr>
              <w:pStyle w:val="Normal"/>
              <w:widowControl w:val="false"/>
              <w:suppressAutoHyphens w:val="true"/>
              <w:spacing w:lineRule="auto" w:line="240" w:before="0" w:after="0"/>
              <w:jc w:val="left"/>
              <w:rPr>
                <w:rFonts w:ascii="Calibri" w:hAnsi="Calibri" w:cs="Times New Roman"/>
                <w:color w:val="000000"/>
              </w:rPr>
            </w:pPr>
            <w:r>
              <w:rPr>
                <w:rFonts w:eastAsia="Calibri" w:cs="Times New Roman"/>
                <w:color w:val="000000" w:themeColor="text1"/>
                <w:kern w:val="0"/>
                <w:sz w:val="22"/>
                <w:szCs w:val="22"/>
                <w:lang w:val="en-US" w:eastAsia="en-US" w:bidi="ar-SA"/>
              </w:rPr>
              <w:t>What unique skill(s) or attributes will you contribute to the SGF 2022 CAT?</w:t>
            </w:r>
          </w:p>
        </w:tc>
      </w:tr>
      <w:tr>
        <w:trPr>
          <w:trHeight w:val="1966" w:hRule="atLeast"/>
        </w:trPr>
        <w:tc>
          <w:tcPr>
            <w:tcW w:w="9349" w:type="dxa"/>
            <w:gridSpan w:val="3"/>
            <w:tcBorders/>
          </w:tcPr>
          <w:p>
            <w:pPr>
              <w:pStyle w:val="Normal"/>
              <w:widowControl w:val="false"/>
              <w:suppressAutoHyphens w:val="true"/>
              <w:spacing w:lineRule="auto" w:line="240" w:before="0" w:after="0"/>
              <w:jc w:val="left"/>
              <w:rPr>
                <w:rFonts w:ascii="Calibri" w:hAnsi="Calibri" w:cs="Times New Roman"/>
                <w:color w:val="000000" w:themeColor="text1"/>
              </w:rPr>
            </w:pPr>
            <w:r>
              <w:rPr>
                <w:rFonts w:cs="Times New Roman"/>
                <w:color w:val="000000" w:themeColor="text1"/>
              </w:rPr>
            </w:r>
          </w:p>
        </w:tc>
      </w:tr>
    </w:tbl>
    <w:p>
      <w:pPr>
        <w:pStyle w:val="Normal"/>
        <w:rPr>
          <w:rFonts w:ascii="Calibri" w:hAnsi="Calibri"/>
        </w:rPr>
      </w:pPr>
      <w:r>
        <w:rPr/>
      </w:r>
      <w:r>
        <w:br w:type="page"/>
      </w:r>
    </w:p>
    <w:tbl>
      <w:tblPr>
        <w:tblStyle w:val="TableGrid"/>
        <w:tblW w:w="935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rHeight w:val="265" w:hRule="atLeast"/>
        </w:trPr>
        <w:tc>
          <w:tcPr>
            <w:tcW w:w="9350" w:type="dxa"/>
            <w:tcBorders/>
          </w:tcPr>
          <w:p>
            <w:pPr>
              <w:pStyle w:val="Normal"/>
              <w:pageBreakBefore/>
              <w:widowControl w:val="false"/>
              <w:suppressAutoHyphens w:val="true"/>
              <w:spacing w:lineRule="auto" w:line="240" w:before="0" w:after="0"/>
              <w:jc w:val="left"/>
              <w:rPr>
                <w:rFonts w:ascii="Calibri" w:hAnsi="Calibri" w:cs="Times New Roman"/>
                <w:color w:val="000000"/>
              </w:rPr>
            </w:pPr>
            <w:r>
              <w:rPr>
                <w:rFonts w:eastAsia="Calibri" w:cs="Times New Roman"/>
                <w:b/>
                <w:color w:val="000000" w:themeColor="text1"/>
                <w:kern w:val="0"/>
                <w:sz w:val="22"/>
                <w:szCs w:val="22"/>
                <w:lang w:val="en-US" w:eastAsia="en-US" w:bidi="ar-SA"/>
              </w:rPr>
              <w:t>List at least 5 experts</w:t>
            </w:r>
            <w:r>
              <w:rPr>
                <w:rFonts w:eastAsia="Calibri" w:cs="Times New Roman"/>
                <w:color w:val="000000" w:themeColor="text1"/>
                <w:kern w:val="0"/>
                <w:sz w:val="22"/>
                <w:szCs w:val="22"/>
                <w:lang w:val="en-US" w:eastAsia="en-US" w:bidi="ar-SA"/>
              </w:rPr>
              <w:t xml:space="preserve"> whom you will invite along with their areas of expertise (please do it after finishing Tables 2-4)? As an </w:t>
            </w:r>
            <w:bookmarkStart w:id="4" w:name="_Hlk500575566"/>
            <w:r>
              <w:rPr>
                <w:rFonts w:eastAsia="Calibri" w:cs="Times New Roman"/>
                <w:color w:val="000000" w:themeColor="text1"/>
                <w:kern w:val="0"/>
                <w:sz w:val="22"/>
                <w:szCs w:val="22"/>
                <w:lang w:val="en-US" w:eastAsia="en-US" w:bidi="ar-SA"/>
              </w:rPr>
              <w:t>example</w:t>
            </w:r>
            <w:bookmarkEnd w:id="4"/>
            <w:r>
              <w:rPr>
                <w:rFonts w:eastAsia="Calibri" w:cs="Times New Roman"/>
                <w:color w:val="000000" w:themeColor="text1"/>
                <w:kern w:val="0"/>
                <w:sz w:val="22"/>
                <w:szCs w:val="22"/>
                <w:lang w:val="en-US" w:eastAsia="en-US" w:bidi="ar-SA"/>
              </w:rPr>
              <w:t>, see the filled-in information in the space below.  If you don’t have a particular name in mind, explain what type of people and their area of expertise and how you intend to invite them.</w:t>
            </w:r>
          </w:p>
        </w:tc>
      </w:tr>
      <w:tr>
        <w:trPr>
          <w:trHeight w:val="2171" w:hRule="atLeast"/>
        </w:trPr>
        <w:tc>
          <w:tcPr>
            <w:tcW w:w="9350" w:type="dxa"/>
            <w:tcBorders/>
          </w:tcPr>
          <w:tbl>
            <w:tblPr>
              <w:tblW w:w="88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6"/>
              <w:gridCol w:w="1141"/>
              <w:gridCol w:w="1975"/>
              <w:gridCol w:w="4347"/>
            </w:tblGrid>
            <w:tr>
              <w:trPr>
                <w:trHeight w:val="300" w:hRule="atLeast"/>
              </w:trPr>
              <w:tc>
                <w:tcPr>
                  <w:tcW w:w="1416" w:type="dxa"/>
                  <w:tcBorders/>
                  <w:shd w:color="auto" w:fill="auto" w:val="clear"/>
                  <w:vAlign w:val="bottom"/>
                </w:tcPr>
                <w:p>
                  <w:pPr>
                    <w:pStyle w:val="Normal"/>
                    <w:widowControl w:val="false"/>
                    <w:spacing w:lineRule="auto" w:line="240" w:before="0" w:after="0"/>
                    <w:rPr>
                      <w:rFonts w:ascii="Calibri" w:hAnsi="Calibri" w:eastAsia="Times New Roman" w:cs="Times New Roman"/>
                      <w:b/>
                      <w:b/>
                      <w:bCs/>
                      <w:color w:val="000000"/>
                    </w:rPr>
                  </w:pPr>
                  <w:r>
                    <w:rPr>
                      <w:rFonts w:eastAsia="Times New Roman" w:cs="Times New Roman"/>
                      <w:b/>
                      <w:bCs/>
                      <w:color w:val="000000"/>
                    </w:rPr>
                    <w:t>Expert Name</w:t>
                  </w:r>
                </w:p>
              </w:tc>
              <w:tc>
                <w:tcPr>
                  <w:tcW w:w="1141" w:type="dxa"/>
                  <w:tcBorders/>
                  <w:shd w:color="auto" w:fill="auto" w:val="clear"/>
                  <w:vAlign w:val="bottom"/>
                </w:tcPr>
                <w:p>
                  <w:pPr>
                    <w:pStyle w:val="Normal"/>
                    <w:widowControl w:val="false"/>
                    <w:spacing w:lineRule="auto" w:line="240" w:before="0" w:after="0"/>
                    <w:rPr>
                      <w:rFonts w:ascii="Calibri" w:hAnsi="Calibri" w:eastAsia="Times New Roman" w:cs="Times New Roman"/>
                      <w:b/>
                      <w:b/>
                      <w:bCs/>
                      <w:color w:val="000000"/>
                    </w:rPr>
                  </w:pPr>
                  <w:r>
                    <w:rPr>
                      <w:rFonts w:eastAsia="Times New Roman" w:cs="Times New Roman"/>
                      <w:b/>
                      <w:bCs/>
                      <w:color w:val="000000"/>
                    </w:rPr>
                    <w:t>Company</w:t>
                  </w:r>
                </w:p>
              </w:tc>
              <w:tc>
                <w:tcPr>
                  <w:tcW w:w="1975" w:type="dxa"/>
                  <w:tcBorders/>
                  <w:shd w:color="auto" w:fill="auto" w:val="clear"/>
                  <w:vAlign w:val="bottom"/>
                </w:tcPr>
                <w:p>
                  <w:pPr>
                    <w:pStyle w:val="Normal"/>
                    <w:widowControl w:val="false"/>
                    <w:spacing w:lineRule="auto" w:line="240" w:before="0" w:after="0"/>
                    <w:rPr>
                      <w:rFonts w:ascii="Calibri" w:hAnsi="Calibri" w:eastAsia="Times New Roman" w:cs="Times New Roman"/>
                      <w:b/>
                      <w:b/>
                      <w:bCs/>
                      <w:color w:val="000000"/>
                    </w:rPr>
                  </w:pPr>
                  <w:r>
                    <w:rPr>
                      <w:rFonts w:eastAsia="Times New Roman" w:cs="Times New Roman"/>
                      <w:b/>
                      <w:bCs/>
                      <w:color w:val="000000"/>
                    </w:rPr>
                    <w:t>Areas of Expertise</w:t>
                  </w:r>
                </w:p>
              </w:tc>
              <w:tc>
                <w:tcPr>
                  <w:tcW w:w="4347" w:type="dxa"/>
                  <w:tcBorders/>
                  <w:shd w:color="auto" w:fill="auto" w:val="clear"/>
                  <w:vAlign w:val="bottom"/>
                </w:tcPr>
                <w:p>
                  <w:pPr>
                    <w:pStyle w:val="Normal"/>
                    <w:widowControl w:val="false"/>
                    <w:spacing w:lineRule="auto" w:line="240" w:before="0" w:after="0"/>
                    <w:rPr>
                      <w:rFonts w:ascii="Calibri" w:hAnsi="Calibri" w:eastAsia="Times New Roman" w:cs="Times New Roman"/>
                      <w:b/>
                      <w:b/>
                      <w:bCs/>
                      <w:color w:val="000000"/>
                    </w:rPr>
                  </w:pPr>
                  <w:r>
                    <w:rPr>
                      <w:rFonts w:eastAsia="Times New Roman" w:cs="Times New Roman"/>
                      <w:b/>
                      <w:bCs/>
                      <w:color w:val="000000"/>
                    </w:rPr>
                    <w:t>How do you know the expert?</w:t>
                  </w:r>
                </w:p>
              </w:tc>
            </w:tr>
            <w:tr>
              <w:trPr>
                <w:trHeight w:val="900" w:hRule="atLeast"/>
              </w:trPr>
              <w:tc>
                <w:tcPr>
                  <w:tcW w:w="1416" w:type="dxa"/>
                  <w:tcBorders/>
                  <w:shd w:color="auto" w:fill="auto" w:val="clear"/>
                  <w:vAlign w:val="bottom"/>
                </w:tcPr>
                <w:p>
                  <w:pPr>
                    <w:pStyle w:val="Normal"/>
                    <w:widowControl w:val="false"/>
                    <w:spacing w:lineRule="auto" w:line="240" w:before="0" w:after="0"/>
                    <w:rPr>
                      <w:rFonts w:ascii="Calibri" w:hAnsi="Calibri" w:eastAsia="Times New Roman" w:cs="Times New Roman"/>
                      <w:i/>
                      <w:i/>
                      <w:iCs/>
                      <w:color w:val="000000"/>
                    </w:rPr>
                  </w:pPr>
                  <w:r>
                    <w:rPr>
                      <w:rFonts w:eastAsia="Times New Roman" w:cs="Times New Roman"/>
                      <w:i/>
                      <w:iCs/>
                      <w:color w:val="000000"/>
                    </w:rPr>
                    <w:t>John Doe</w:t>
                  </w:r>
                </w:p>
              </w:tc>
              <w:tc>
                <w:tcPr>
                  <w:tcW w:w="1141" w:type="dxa"/>
                  <w:tcBorders/>
                  <w:shd w:color="auto" w:fill="auto" w:val="clear"/>
                  <w:vAlign w:val="bottom"/>
                </w:tcPr>
                <w:p>
                  <w:pPr>
                    <w:pStyle w:val="Normal"/>
                    <w:widowControl w:val="false"/>
                    <w:spacing w:lineRule="auto" w:line="240" w:before="0" w:after="0"/>
                    <w:rPr>
                      <w:rFonts w:ascii="Calibri" w:hAnsi="Calibri" w:eastAsia="Times New Roman" w:cs="Times New Roman"/>
                      <w:i/>
                      <w:i/>
                      <w:iCs/>
                      <w:color w:val="000000"/>
                    </w:rPr>
                  </w:pPr>
                  <w:r>
                    <w:rPr>
                      <w:rFonts w:eastAsia="Times New Roman" w:cs="Times New Roman"/>
                      <w:i/>
                      <w:iCs/>
                      <w:color w:val="000000"/>
                    </w:rPr>
                    <w:t>ABC Enterprise</w:t>
                  </w:r>
                </w:p>
              </w:tc>
              <w:tc>
                <w:tcPr>
                  <w:tcW w:w="1975" w:type="dxa"/>
                  <w:tcBorders/>
                  <w:shd w:color="auto" w:fill="auto" w:val="clear"/>
                  <w:vAlign w:val="bottom"/>
                </w:tcPr>
                <w:p>
                  <w:pPr>
                    <w:pStyle w:val="Normal"/>
                    <w:widowControl w:val="false"/>
                    <w:spacing w:lineRule="auto" w:line="240" w:before="0" w:after="0"/>
                    <w:rPr>
                      <w:rFonts w:ascii="Calibri" w:hAnsi="Calibri" w:eastAsia="Times New Roman" w:cs="Times New Roman"/>
                      <w:i/>
                      <w:i/>
                      <w:iCs/>
                      <w:color w:val="000000"/>
                    </w:rPr>
                  </w:pPr>
                  <w:r>
                    <w:rPr>
                      <w:rFonts w:eastAsia="Times New Roman" w:cs="Times New Roman"/>
                      <w:i/>
                      <w:iCs/>
                      <w:color w:val="000000"/>
                    </w:rPr>
                    <w:t>Fraud analytics</w:t>
                  </w:r>
                </w:p>
              </w:tc>
              <w:tc>
                <w:tcPr>
                  <w:tcW w:w="4347" w:type="dxa"/>
                  <w:tcBorders/>
                  <w:shd w:color="auto" w:fill="auto" w:val="clear"/>
                  <w:vAlign w:val="bottom"/>
                </w:tcPr>
                <w:p>
                  <w:pPr>
                    <w:pStyle w:val="Normal"/>
                    <w:widowControl w:val="false"/>
                    <w:spacing w:lineRule="auto" w:line="240" w:before="0" w:after="0"/>
                    <w:rPr>
                      <w:rFonts w:ascii="Calibri" w:hAnsi="Calibri" w:eastAsia="Times New Roman" w:cs="Times New Roman"/>
                      <w:i/>
                      <w:i/>
                      <w:iCs/>
                      <w:color w:val="000000"/>
                    </w:rPr>
                  </w:pPr>
                  <w:r>
                    <w:rPr>
                      <w:rFonts w:eastAsia="Times New Roman" w:cs="Times New Roman"/>
                      <w:i/>
                      <w:iCs/>
                      <w:color w:val="000000"/>
                    </w:rPr>
                    <w:t>I know Jane professionally and have had several interactions with her at prior conferences</w:t>
                  </w:r>
                </w:p>
              </w:tc>
            </w:tr>
            <w:tr>
              <w:trPr>
                <w:trHeight w:val="300" w:hRule="exact"/>
              </w:trPr>
              <w:tc>
                <w:tcPr>
                  <w:tcW w:w="1416" w:type="dxa"/>
                  <w:tcBorders/>
                  <w:shd w:color="auto" w:fill="auto" w:val="clear"/>
                  <w:vAlign w:val="bottom"/>
                </w:tcPr>
                <w:p>
                  <w:pPr>
                    <w:pStyle w:val="Normal"/>
                    <w:widowControl w:val="false"/>
                    <w:spacing w:lineRule="auto" w:line="240" w:before="0" w:after="0"/>
                    <w:rPr>
                      <w:rFonts w:ascii="Calibri" w:hAnsi="Calibri" w:eastAsia="Times New Roman" w:cs="Times New Roman"/>
                      <w:i/>
                      <w:i/>
                      <w:iCs/>
                      <w:color w:val="000000"/>
                    </w:rPr>
                  </w:pPr>
                  <w:r>
                    <w:rPr>
                      <w:rFonts w:eastAsia="Times New Roman" w:cs="Times New Roman"/>
                      <w:i/>
                      <w:iCs/>
                      <w:color w:val="000000"/>
                    </w:rPr>
                  </w:r>
                </w:p>
              </w:tc>
              <w:tc>
                <w:tcPr>
                  <w:tcW w:w="1141"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c>
                <w:tcPr>
                  <w:tcW w:w="1975"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c>
                <w:tcPr>
                  <w:tcW w:w="4347"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r>
            <w:tr>
              <w:trPr>
                <w:trHeight w:val="300" w:hRule="exact"/>
              </w:trPr>
              <w:tc>
                <w:tcPr>
                  <w:tcW w:w="1416"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c>
                <w:tcPr>
                  <w:tcW w:w="1141"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c>
                <w:tcPr>
                  <w:tcW w:w="1975"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c>
                <w:tcPr>
                  <w:tcW w:w="4347"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r>
            <w:tr>
              <w:trPr>
                <w:trHeight w:val="300" w:hRule="exact"/>
              </w:trPr>
              <w:tc>
                <w:tcPr>
                  <w:tcW w:w="1416"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c>
                <w:tcPr>
                  <w:tcW w:w="1141"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c>
                <w:tcPr>
                  <w:tcW w:w="1975"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c>
                <w:tcPr>
                  <w:tcW w:w="4347"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r>
            <w:tr>
              <w:trPr>
                <w:trHeight w:val="300" w:hRule="exact"/>
              </w:trPr>
              <w:tc>
                <w:tcPr>
                  <w:tcW w:w="1416"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c>
                <w:tcPr>
                  <w:tcW w:w="1141"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c>
                <w:tcPr>
                  <w:tcW w:w="1975"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c>
                <w:tcPr>
                  <w:tcW w:w="4347"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r>
            <w:tr>
              <w:trPr>
                <w:trHeight w:val="300" w:hRule="exact"/>
              </w:trPr>
              <w:tc>
                <w:tcPr>
                  <w:tcW w:w="1416"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c>
                <w:tcPr>
                  <w:tcW w:w="1141"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c>
                <w:tcPr>
                  <w:tcW w:w="1975"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c>
                <w:tcPr>
                  <w:tcW w:w="4347"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r>
            <w:tr>
              <w:trPr>
                <w:trHeight w:val="300" w:hRule="exact"/>
              </w:trPr>
              <w:tc>
                <w:tcPr>
                  <w:tcW w:w="1416"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c>
                <w:tcPr>
                  <w:tcW w:w="1141"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c>
                <w:tcPr>
                  <w:tcW w:w="1975"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c>
                <w:tcPr>
                  <w:tcW w:w="4347"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r>
          </w:tbl>
          <w:p>
            <w:pPr>
              <w:pStyle w:val="Normal"/>
              <w:widowControl w:val="false"/>
              <w:spacing w:before="0" w:after="200"/>
              <w:rPr>
                <w:rFonts w:ascii="Calibri" w:hAnsi="Calibri" w:cs="Times New Roman"/>
                <w:color w:val="000000" w:themeColor="text1"/>
              </w:rPr>
            </w:pPr>
            <w:r>
              <w:rPr>
                <w:rFonts w:cs="Times New Roman"/>
                <w:color w:val="000000" w:themeColor="text1"/>
              </w:rPr>
            </w:r>
          </w:p>
        </w:tc>
      </w:tr>
      <w:tr>
        <w:trPr>
          <w:trHeight w:val="2171" w:hRule="atLeast"/>
        </w:trPr>
        <w:tc>
          <w:tcPr>
            <w:tcW w:w="9350" w:type="dxa"/>
            <w:tcBorders/>
          </w:tcPr>
          <w:p>
            <w:pPr>
              <w:pStyle w:val="Normal"/>
              <w:widowControl w:val="false"/>
              <w:suppressAutoHyphens w:val="true"/>
              <w:spacing w:lineRule="auto" w:line="240" w:before="0" w:after="0"/>
              <w:jc w:val="left"/>
              <w:rPr>
                <w:rFonts w:ascii="Calibri" w:hAnsi="Calibri" w:cs="Times New Roman"/>
                <w:b/>
                <w:b/>
                <w:color w:val="000000"/>
              </w:rPr>
            </w:pPr>
            <w:r>
              <w:rPr>
                <w:rFonts w:eastAsia="Calibri" w:cs="Times New Roman"/>
                <w:b/>
                <w:color w:val="000000" w:themeColor="text1"/>
                <w:kern w:val="0"/>
                <w:sz w:val="22"/>
                <w:szCs w:val="22"/>
                <w:lang w:val="en-US" w:eastAsia="en-US" w:bidi="ar-SA"/>
              </w:rPr>
              <w:t>Why do want to be a part of the Content Advisory Team?  What do you hope to gain from being a part of the team?  What can you contribute to others on the team?</w:t>
            </w:r>
          </w:p>
        </w:tc>
      </w:tr>
      <w:tr>
        <w:trPr>
          <w:trHeight w:val="2171" w:hRule="atLeast"/>
        </w:trPr>
        <w:tc>
          <w:tcPr>
            <w:tcW w:w="9350" w:type="dxa"/>
            <w:tcBorders/>
          </w:tcPr>
          <w:p>
            <w:pPr>
              <w:pStyle w:val="Normal"/>
              <w:widowControl w:val="false"/>
              <w:suppressAutoHyphens w:val="true"/>
              <w:spacing w:lineRule="auto" w:line="240" w:before="0" w:after="0"/>
              <w:jc w:val="left"/>
              <w:rPr>
                <w:rFonts w:ascii="Calibri" w:hAnsi="Calibri" w:cs="Times New Roman"/>
                <w:b/>
                <w:b/>
                <w:color w:val="000000"/>
              </w:rPr>
            </w:pPr>
            <w:r>
              <w:rPr>
                <w:rFonts w:eastAsia="Calibri" w:cs="Times New Roman"/>
                <w:b/>
                <w:color w:val="000000" w:themeColor="text1"/>
                <w:kern w:val="0"/>
                <w:sz w:val="22"/>
                <w:szCs w:val="22"/>
                <w:lang w:val="en-US" w:eastAsia="en-US" w:bidi="ar-SA"/>
              </w:rPr>
              <w:t>Any other comments or additional information?</w:t>
            </w:r>
          </w:p>
        </w:tc>
      </w:tr>
    </w:tbl>
    <w:p>
      <w:pPr>
        <w:sectPr>
          <w:headerReference w:type="even" r:id="rId2"/>
          <w:headerReference w:type="default" r:id="rId3"/>
          <w:type w:val="nextPage"/>
          <w:pgSz w:w="12240" w:h="15840"/>
          <w:pgMar w:left="993" w:right="900" w:header="720" w:top="1440" w:footer="0" w:bottom="1134" w:gutter="0"/>
          <w:pgNumType w:fmt="decimal"/>
          <w:formProt w:val="false"/>
          <w:textDirection w:val="lrTb"/>
          <w:docGrid w:type="default" w:linePitch="360" w:charSpace="4096"/>
        </w:sectPr>
      </w:pPr>
    </w:p>
    <w:p>
      <w:pPr>
        <w:pStyle w:val="Normal"/>
        <w:spacing w:lineRule="auto" w:line="240" w:before="0" w:after="0"/>
        <w:jc w:val="both"/>
        <w:rPr>
          <w:rFonts w:ascii="Calibri" w:hAnsi="Calibri"/>
        </w:rPr>
      </w:pPr>
      <w:r>
        <w:rPr>
          <w:rFonts w:cs="Times New Roman"/>
          <w:b/>
          <w:bCs/>
          <w:color w:val="000000" w:themeColor="text1"/>
          <w:sz w:val="24"/>
          <w:szCs w:val="24"/>
        </w:rPr>
        <w:t xml:space="preserve">In tables 2-4, for each sub-topic, industry and line of business, mark the “Capability?” column with an “I” if you will find and invite speakers </w:t>
      </w:r>
      <w:r>
        <w:rPr>
          <w:rFonts w:cs="Times New Roman"/>
          <w:b/>
          <w:bCs/>
          <w:i/>
          <w:color w:val="000000" w:themeColor="text1"/>
          <w:sz w:val="24"/>
          <w:szCs w:val="24"/>
        </w:rPr>
        <w:t>and/or</w:t>
      </w:r>
      <w:r>
        <w:rPr>
          <w:rFonts w:cs="Times New Roman"/>
          <w:b/>
          <w:bCs/>
          <w:color w:val="000000" w:themeColor="text1"/>
          <w:sz w:val="24"/>
          <w:szCs w:val="24"/>
        </w:rPr>
        <w:t xml:space="preserve"> “R” if you can review abstracts in the sub-topic, industry and line of business. Suggest additional sub-topics, industries or lines of business if you wish.</w:t>
      </w:r>
    </w:p>
    <w:p>
      <w:pPr>
        <w:pStyle w:val="Normal"/>
        <w:spacing w:lineRule="auto" w:line="240" w:before="0" w:after="0"/>
        <w:rPr>
          <w:rFonts w:ascii="Calibri" w:hAnsi="Calibri" w:cs="Times New Roman"/>
          <w:b/>
          <w:b/>
          <w:bCs/>
          <w:color w:val="000000" w:themeColor="text1"/>
          <w:sz w:val="24"/>
          <w:szCs w:val="24"/>
        </w:rPr>
      </w:pPr>
      <w:r>
        <w:rPr>
          <w:rFonts w:cs="Times New Roman"/>
          <w:b/>
          <w:bCs/>
          <w:color w:val="000000" w:themeColor="text1"/>
          <w:sz w:val="24"/>
          <w:szCs w:val="24"/>
        </w:rPr>
      </w:r>
    </w:p>
    <w:p>
      <w:pPr>
        <w:pStyle w:val="Normal"/>
        <w:spacing w:lineRule="auto" w:line="240" w:before="0" w:after="0"/>
        <w:rPr>
          <w:rFonts w:ascii="Calibri" w:hAnsi="Calibri"/>
        </w:rPr>
      </w:pPr>
      <w:r>
        <w:rPr>
          <w:rFonts w:cs="Calibri" w:cstheme="minorHAnsi"/>
          <w:b/>
          <w:bCs/>
          <w:color w:val="000000" w:themeColor="text1"/>
        </w:rPr>
        <w:t>Table 2: Capabilities by Conference Content topic</w:t>
      </w:r>
    </w:p>
    <w:tbl>
      <w:tblPr>
        <w:tblW w:w="99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43"/>
        <w:gridCol w:w="1872"/>
        <w:gridCol w:w="5219"/>
        <w:gridCol w:w="1267"/>
      </w:tblGrid>
      <w:tr>
        <w:trPr>
          <w:tblHeader w:val="true"/>
          <w:trHeight w:val="300" w:hRule="atLeast"/>
        </w:trPr>
        <w:tc>
          <w:tcPr>
            <w:tcW w:w="1543" w:type="dxa"/>
            <w:tcBorders>
              <w:top w:val="single" w:sz="4" w:space="0" w:color="000000"/>
              <w:left w:val="single" w:sz="4" w:space="0" w:color="000000"/>
              <w:bottom w:val="single" w:sz="4" w:space="0" w:color="000000"/>
              <w:right w:val="single" w:sz="4" w:space="0" w:color="000000"/>
            </w:tcBorders>
            <w:shd w:color="000000" w:fill="305496" w:val="clear"/>
            <w:vAlign w:val="center"/>
          </w:tcPr>
          <w:p>
            <w:pPr>
              <w:pStyle w:val="Normal"/>
              <w:widowControl w:val="false"/>
              <w:spacing w:lineRule="auto" w:line="240" w:before="0" w:after="0"/>
              <w:jc w:val="center"/>
              <w:rPr>
                <w:rFonts w:ascii="Calibri" w:hAnsi="Calibri" w:eastAsia="Times New Roman" w:cs="Calibri"/>
                <w:b/>
                <w:b/>
                <w:bCs/>
                <w:color w:val="FFFFFF"/>
                <w:lang w:val="en-CA" w:eastAsia="en-CA"/>
              </w:rPr>
            </w:pPr>
            <w:r>
              <w:rPr>
                <w:rFonts w:eastAsia="Times New Roman" w:cs="Calibri"/>
                <w:b/>
                <w:bCs/>
                <w:color w:val="FFFFFF"/>
                <w:lang w:val="en-CA" w:eastAsia="en-CA"/>
              </w:rPr>
              <w:t>Topic</w:t>
            </w:r>
          </w:p>
        </w:tc>
        <w:tc>
          <w:tcPr>
            <w:tcW w:w="1872" w:type="dxa"/>
            <w:tcBorders>
              <w:top w:val="single" w:sz="4" w:space="0" w:color="000000"/>
              <w:bottom w:val="single" w:sz="4" w:space="0" w:color="000000"/>
              <w:right w:val="single" w:sz="4" w:space="0" w:color="000000"/>
            </w:tcBorders>
            <w:shd w:color="000000" w:fill="305496" w:val="clear"/>
            <w:vAlign w:val="center"/>
          </w:tcPr>
          <w:p>
            <w:pPr>
              <w:pStyle w:val="Normal"/>
              <w:widowControl w:val="false"/>
              <w:spacing w:lineRule="auto" w:line="240" w:before="0" w:after="0"/>
              <w:jc w:val="center"/>
              <w:rPr>
                <w:rFonts w:ascii="Calibri" w:hAnsi="Calibri" w:eastAsia="Times New Roman" w:cs="Calibri"/>
                <w:b/>
                <w:b/>
                <w:bCs/>
                <w:color w:val="FFFFFF"/>
                <w:lang w:val="en-CA" w:eastAsia="en-CA"/>
              </w:rPr>
            </w:pPr>
            <w:r>
              <w:rPr>
                <w:rFonts w:eastAsia="Times New Roman" w:cs="Calibri"/>
                <w:b/>
                <w:bCs/>
                <w:color w:val="FFFFFF"/>
                <w:lang w:val="en-CA" w:eastAsia="en-CA"/>
              </w:rPr>
              <w:t>Sub-topic</w:t>
            </w:r>
          </w:p>
        </w:tc>
        <w:tc>
          <w:tcPr>
            <w:tcW w:w="5219" w:type="dxa"/>
            <w:tcBorders>
              <w:top w:val="single" w:sz="4" w:space="0" w:color="000000"/>
              <w:bottom w:val="single" w:sz="4" w:space="0" w:color="000000"/>
              <w:right w:val="single" w:sz="4" w:space="0" w:color="000000"/>
            </w:tcBorders>
            <w:shd w:color="000000" w:fill="305496" w:val="clear"/>
            <w:vAlign w:val="center"/>
          </w:tcPr>
          <w:p>
            <w:pPr>
              <w:pStyle w:val="Normal"/>
              <w:widowControl w:val="false"/>
              <w:spacing w:lineRule="auto" w:line="240" w:before="0" w:after="0"/>
              <w:jc w:val="center"/>
              <w:rPr>
                <w:rFonts w:ascii="Calibri" w:hAnsi="Calibri" w:eastAsia="Times New Roman" w:cs="Calibri"/>
                <w:b/>
                <w:b/>
                <w:bCs/>
                <w:color w:val="FFFFFF"/>
                <w:lang w:val="en-CA" w:eastAsia="en-CA"/>
              </w:rPr>
            </w:pPr>
            <w:r>
              <w:rPr>
                <w:rFonts w:eastAsia="Times New Roman" w:cs="Calibri"/>
                <w:b/>
                <w:bCs/>
                <w:color w:val="FFFFFF"/>
                <w:lang w:val="en-CA" w:eastAsia="en-CA"/>
              </w:rPr>
              <w:t>Definitions</w:t>
            </w:r>
          </w:p>
        </w:tc>
        <w:tc>
          <w:tcPr>
            <w:tcW w:w="1267" w:type="dxa"/>
            <w:tcBorders>
              <w:top w:val="single" w:sz="4" w:space="0" w:color="000000"/>
              <w:bottom w:val="single" w:sz="4" w:space="0" w:color="000000"/>
              <w:right w:val="single" w:sz="4" w:space="0" w:color="000000"/>
            </w:tcBorders>
            <w:shd w:color="000000" w:fill="305496" w:val="clear"/>
            <w:vAlign w:val="center"/>
          </w:tcPr>
          <w:p>
            <w:pPr>
              <w:pStyle w:val="Normal"/>
              <w:widowControl w:val="false"/>
              <w:spacing w:lineRule="auto" w:line="240" w:before="0" w:after="0"/>
              <w:jc w:val="center"/>
              <w:rPr>
                <w:rFonts w:ascii="Calibri" w:hAnsi="Calibri" w:eastAsia="Times New Roman" w:cs="Calibri"/>
                <w:b/>
                <w:b/>
                <w:bCs/>
                <w:color w:val="FFFFFF"/>
                <w:lang w:val="en-CA" w:eastAsia="en-CA"/>
              </w:rPr>
            </w:pPr>
            <w:r>
              <w:rPr>
                <w:rFonts w:eastAsia="Times New Roman" w:cs="Calibri"/>
                <w:b/>
                <w:bCs/>
                <w:color w:val="FFFFFF"/>
                <w:lang w:val="en-CA" w:eastAsia="en-CA"/>
              </w:rPr>
              <w:t>Capability?</w:t>
            </w:r>
          </w:p>
        </w:tc>
      </w:tr>
      <w:tr>
        <w:trPr>
          <w:trHeight w:val="300" w:hRule="atLeast"/>
        </w:trPr>
        <w:tc>
          <w:tcPr>
            <w:tcW w:w="1543" w:type="dxa"/>
            <w:vMerge w:val="restart"/>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t>Administration</w:t>
            </w:r>
          </w:p>
        </w:tc>
        <w:tc>
          <w:tcPr>
            <w:tcW w:w="1872"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Architecture</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hardware and software infrastructure to meet SAS performance SLAs</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2"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Deployment</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deployment and configuration of SAS technologies, migration and co-location of solutions.</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2"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SAS Administration</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administration of the SAS environment, including metadata, SAS Environment Manager, auditing, logging, and backups.</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2"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Security</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authentication and authorization topics, including Kerberos, Integrated Windows Authentication (IWA), LDAP, access permissions, and encryption.</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300" w:hRule="atLeast"/>
        </w:trPr>
        <w:tc>
          <w:tcPr>
            <w:tcW w:w="154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2"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Cloud</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Learn tips and tricks for running SAS in the Cloud</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3" w:type="dxa"/>
            <w:vMerge w:val="restart"/>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t>Analytics</w:t>
            </w:r>
          </w:p>
        </w:tc>
        <w:tc>
          <w:tcPr>
            <w:tcW w:w="1872"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Artificial Intelligence</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using deep learning techniques (convolutional neural networks, recurrent neural networks, etc.) for applications such as computer vision and natural language processing.</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1200" w:hRule="atLeast"/>
        </w:trPr>
        <w:tc>
          <w:tcPr>
            <w:tcW w:w="154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2"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Machine Learning (Data mining/Pred modeling)</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machine learning, predictive modeling, and data mining techniques that are often computationally intensive and applied to big data. May include SAS® Enterprise Miner™,  Factory Miner, and SAS Visual Data Mining and Machine Learning and appeals to data scientists, statisticians, and research analysts.</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900" w:hRule="atLeast"/>
        </w:trPr>
        <w:tc>
          <w:tcPr>
            <w:tcW w:w="154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2"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Text Analytics</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xml:space="preserve">Involves the analysis of unstructured data such as text data from the web, comment fields, books, and other sources.  May include SAS Text Miner, SAS Sentiment Analysis and SAS® Contextual Analysis. </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900" w:hRule="atLeast"/>
        </w:trPr>
        <w:tc>
          <w:tcPr>
            <w:tcW w:w="154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2"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Epidemiology</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traditional and emerging approaches to investigating the determinants of disease or injury in populations. Population-level health data is used with demographics and exposures to predict and identify areas for better health outcomes.</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1800" w:hRule="atLeast"/>
        </w:trPr>
        <w:tc>
          <w:tcPr>
            <w:tcW w:w="154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2"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Forecasting and Econometrics</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xml:space="preserve">Appeals to analysts and econometricians working with economic data to address questions relating to health care, market research, actuarial science, risk management and demand modeling. Also appeals to forecasters and economists working with historical data to forecast future values of product inventory and sales, labor needs, financial balances, etc. SAS products may include SAS/ETS and SAS Forecast Server as well as SAS Econometrics and SAS Visual Forecasting. </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1500" w:hRule="atLeast"/>
        </w:trPr>
        <w:tc>
          <w:tcPr>
            <w:tcW w:w="154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2"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Model Deployment and Decision Support</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all aspects of incorporating models into business operations, including registering, publishing, and managing models, monitoring their performance, and integrating them into decision-making processes, potentially through workflow/DevOps automation. This may include various SAS products such as SAS Model Manager, SAS Decision Manager, SAS Real-Time Decision Manager, SAS Intelligent Decisioning, etc.</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2"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Optimization</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optimization, simulation, and scheduling techniques and appeals to analysts and operations research specialists. Examples may use SAS/OR software or SAS Optimization.</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2"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Sampling/Survey Research</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conducting traditional and innovative sampling techniques and analysis of complex sampling designs in survey research.</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1200" w:hRule="atLeast"/>
        </w:trPr>
        <w:tc>
          <w:tcPr>
            <w:tcW w:w="154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2"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Statistics</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xml:space="preserve">Appeals to statisticians, biostatisticians, and data scientists and covers the use of SAS/STAT®, SAS/IML®, SAS/QC®, SAS/OR® and other SAS statistical tools. Presentation may illustrate practical and innovative uses of statistical, epidemiological, and survey sampling techniques using SAS. </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3" w:type="dxa"/>
            <w:vMerge w:val="restart"/>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t>Business Analytics / Data Visualization</w:t>
            </w:r>
          </w:p>
        </w:tc>
        <w:tc>
          <w:tcPr>
            <w:tcW w:w="1872"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Business Analytics</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Application of analytic methods to improve business decision-making via the use of SAS® tools</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2"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Data Visualization</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Presentations in this section demonstrate the use of SAS® tools, such as Visual Analytics, Visual Statistics, in data exploration, data visualization, reporting and/or dashboarding</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3" w:type="dxa"/>
            <w:vMerge w:val="restart"/>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t>SAS Solutions</w:t>
            </w:r>
          </w:p>
        </w:tc>
        <w:tc>
          <w:tcPr>
            <w:tcW w:w="1872"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Customer Intelligence</w:t>
            </w:r>
          </w:p>
        </w:tc>
        <w:tc>
          <w:tcPr>
            <w:tcW w:w="5219"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Applies to Customer Intelligence solution developed by SAS that address specific business challenges; case studies of success using SAS Customer Intelligence.</w:t>
            </w:r>
          </w:p>
        </w:tc>
        <w:tc>
          <w:tcPr>
            <w:tcW w:w="1267"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2"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Fraud &amp; Security Intelligence</w:t>
            </w:r>
          </w:p>
        </w:tc>
        <w:tc>
          <w:tcPr>
            <w:tcW w:w="5219"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Applies to Fraud, Anti-Money Laundering and Security solution developed by SAS that address specific business challenges; case studies of success using these solutions.</w:t>
            </w:r>
          </w:p>
        </w:tc>
        <w:tc>
          <w:tcPr>
            <w:tcW w:w="1267"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2"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Risk Management</w:t>
            </w:r>
          </w:p>
        </w:tc>
        <w:tc>
          <w:tcPr>
            <w:tcW w:w="5219"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Applies to Risk Management solution developed by SAS that address specific business challenges; case studies of success using SAS Risk Management.</w:t>
            </w:r>
          </w:p>
        </w:tc>
        <w:tc>
          <w:tcPr>
            <w:tcW w:w="1267"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2"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IoT</w:t>
            </w:r>
          </w:p>
        </w:tc>
        <w:tc>
          <w:tcPr>
            <w:tcW w:w="5219"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Applies to IOT solutions developed by SAS that address specific business challenges; case studies of success using SAS Analytics for IOT</w:t>
            </w:r>
          </w:p>
        </w:tc>
        <w:tc>
          <w:tcPr>
            <w:tcW w:w="1267"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900" w:hRule="atLeast"/>
        </w:trPr>
        <w:tc>
          <w:tcPr>
            <w:tcW w:w="154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2"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Industry-specific Solutions</w:t>
            </w:r>
          </w:p>
        </w:tc>
        <w:tc>
          <w:tcPr>
            <w:tcW w:w="5219"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Successful case studies in specific industries; E.g.: Financial Services, Retail, Communications &amp; Media, Health Care, Life Sciences, Government, Education, and Manufacturing.</w:t>
            </w:r>
          </w:p>
        </w:tc>
        <w:tc>
          <w:tcPr>
            <w:tcW w:w="1267"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1800" w:hRule="atLeast"/>
        </w:trPr>
        <w:tc>
          <w:tcPr>
            <w:tcW w:w="1543" w:type="dxa"/>
            <w:vMerge w:val="restart"/>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t>Data Management</w:t>
            </w:r>
          </w:p>
        </w:tc>
        <w:tc>
          <w:tcPr>
            <w:tcW w:w="1872"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Data Integration and Orchestration</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The practice and procedures of integrating and orchestrating multiple disparate data sources through the use of business and technical processes into meaningful and valuable information to yield a trusted, unified source of the enterprise data.  May include query/view building, data modeling, extraction, transformation, blending and loading operations into databases or Hadoop environments.  May include SAS Data Management, SAS Data Integration Studio, SAS Data Flow, SAS ESP and related technologies.</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960" w:hRule="atLeast"/>
        </w:trPr>
        <w:tc>
          <w:tcPr>
            <w:tcW w:w="154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2"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Data Preparation and Quality</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The process and importance of maintaining data in its most optimal condition and ready for further analysis. May include procedures related to data cleansing, formatting, parsing, standardization, validation, matching and imputation. May include SAS Data Preparation, SAS Data Quality, SAS Data Loader for Hadoop and related technologies.</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1800" w:hRule="atLeast"/>
        </w:trPr>
        <w:tc>
          <w:tcPr>
            <w:tcW w:w="154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2"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Data Governance</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The management and enforcement of policies, best practice and standards regarding the availability, usability, integrity anonymization, and security of data.  May include entity resolution, governance, data protection and processes to manage metadata and data lineage within an organization to provide a single point of reference.  May include SAS Governance, SAS Data Catalog, SAS Business Data Network, SAS Lineage and metadata management related technologies.</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1500" w:hRule="atLeast"/>
        </w:trPr>
        <w:tc>
          <w:tcPr>
            <w:tcW w:w="154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2"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Cloud and Hybrid Data Connectivity</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Software and activities specifically related to the storage and retrieval of data from a database or repository. Includes data connectivity to relational databases, cloud environments, data streams, flat files, web services, ERP systems, and other repositories of enterprise data. May include SAS/ACCESS, SAS Cloud Data Exchange, SAS In-Database Technologies, and related technologies.</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1200" w:hRule="atLeast"/>
        </w:trPr>
        <w:tc>
          <w:tcPr>
            <w:tcW w:w="1543" w:type="dxa"/>
            <w:vMerge w:val="restart"/>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t>Programming</w:t>
            </w:r>
          </w:p>
        </w:tc>
        <w:tc>
          <w:tcPr>
            <w:tcW w:w="1872"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Applications Development and Open Integration</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The use of SAS® technologies (for example SAS Stored Processes) to build custom applications or solutions, including front-end interfaces.  The use of non-SAS languages (for example, Python, R, Lua), Java APIs, REST APIs, and other technologies to drive SAS functionality.</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2"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Data Presentation</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web services, business rules, and/or integration with systems outside the SAS ecosystem for data presentation.</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2"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General Programming</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This topic area involves general programming topics including the DATA Step, functions and formats, macros, DS2 and SQL.</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3" w:type="dxa"/>
            <w:vMerge w:val="restart"/>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t>Professional Development and Life Long Learning</w:t>
            </w:r>
          </w:p>
        </w:tc>
        <w:tc>
          <w:tcPr>
            <w:tcW w:w="1872"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Academic (teaching)</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utilization and resources for SAS® when teaching data science; how to use SAS Analytics U at your institution.</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2"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SAS® Certification</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Includes implementation of SAS Certification programs as well as providing students with skills necessary to enter the workforce.</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1200" w:hRule="atLeast"/>
        </w:trPr>
        <w:tc>
          <w:tcPr>
            <w:tcW w:w="154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2"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Career Development</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Making the most of your career including leveraging social media, how to interview prospective SAS professionals, how to manage SAS staff, and leadership qualities.  Developing various career skills (for example communication and problem solving) and lifelong learning.</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bl>
    <w:p>
      <w:pPr>
        <w:pStyle w:val="Normal"/>
        <w:spacing w:lineRule="auto" w:line="240" w:before="0" w:after="0"/>
        <w:rPr>
          <w:rFonts w:ascii="Calibri" w:hAnsi="Calibri" w:cs="Times New Roman"/>
          <w:b/>
          <w:b/>
          <w:bCs/>
          <w:color w:val="000000" w:themeColor="text1"/>
        </w:rPr>
      </w:pPr>
      <w:r>
        <w:rPr>
          <w:rFonts w:cs="Times New Roman"/>
          <w:b/>
          <w:bCs/>
          <w:color w:val="000000" w:themeColor="text1"/>
        </w:rPr>
      </w:r>
    </w:p>
    <w:p>
      <w:pPr>
        <w:pStyle w:val="Normal"/>
        <w:spacing w:lineRule="auto" w:line="240" w:before="0" w:after="0"/>
        <w:rPr>
          <w:rFonts w:ascii="Calibri" w:hAnsi="Calibri" w:cs="Times New Roman"/>
          <w:b/>
          <w:b/>
          <w:bCs/>
          <w:color w:val="000000" w:themeColor="text1"/>
        </w:rPr>
      </w:pPr>
      <w:r>
        <w:rPr>
          <w:rFonts w:cs="Times New Roman"/>
          <w:b/>
          <w:bCs/>
          <w:color w:val="000000" w:themeColor="text1"/>
        </w:rPr>
      </w:r>
    </w:p>
    <w:p>
      <w:pPr>
        <w:pStyle w:val="Normal"/>
        <w:spacing w:lineRule="auto" w:line="240" w:before="0" w:after="0"/>
        <w:jc w:val="center"/>
        <w:rPr>
          <w:rFonts w:ascii="Calibri" w:hAnsi="Calibri"/>
        </w:rPr>
      </w:pPr>
      <w:r>
        <w:rPr>
          <w:rFonts w:cs="Calibri" w:cstheme="minorHAnsi"/>
          <w:b/>
          <w:bCs/>
          <w:color w:val="000000" w:themeColor="text1"/>
        </w:rPr>
        <w:t>Table 3: Capabilities by Industry</w:t>
      </w:r>
    </w:p>
    <w:tbl>
      <w:tblPr>
        <w:tblW w:w="495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400"/>
        <w:gridCol w:w="1556"/>
      </w:tblGrid>
      <w:tr>
        <w:trPr>
          <w:tblHeader w:val="true"/>
          <w:trHeight w:val="300" w:hRule="atLeast"/>
        </w:trPr>
        <w:tc>
          <w:tcPr>
            <w:tcW w:w="3400" w:type="dxa"/>
            <w:tcBorders>
              <w:top w:val="single" w:sz="4" w:space="0" w:color="000000"/>
              <w:left w:val="single" w:sz="4" w:space="0" w:color="000000"/>
              <w:bottom w:val="single" w:sz="4" w:space="0" w:color="000000"/>
              <w:right w:val="single" w:sz="4" w:space="0" w:color="000000"/>
            </w:tcBorders>
            <w:shd w:color="000000" w:fill="305496" w:val="clear"/>
            <w:vAlign w:val="center"/>
          </w:tcPr>
          <w:p>
            <w:pPr>
              <w:pStyle w:val="Normal"/>
              <w:widowControl w:val="false"/>
              <w:spacing w:lineRule="auto" w:line="240" w:before="0" w:after="0"/>
              <w:jc w:val="center"/>
              <w:rPr>
                <w:rFonts w:ascii="Calibri" w:hAnsi="Calibri" w:eastAsia="Times New Roman" w:cs="Calibri"/>
                <w:b/>
                <w:b/>
                <w:bCs/>
                <w:color w:val="FFFFFF"/>
                <w:lang w:eastAsia="en-CA"/>
              </w:rPr>
            </w:pPr>
            <w:r>
              <w:rPr>
                <w:rFonts w:eastAsia="Times New Roman" w:cs="Calibri"/>
                <w:b/>
                <w:bCs/>
                <w:color w:val="FFFFFF" w:themeColor="background1"/>
                <w:lang w:eastAsia="en-CA"/>
              </w:rPr>
              <w:t>Industry</w:t>
            </w:r>
          </w:p>
        </w:tc>
        <w:tc>
          <w:tcPr>
            <w:tcW w:w="1556" w:type="dxa"/>
            <w:tcBorders>
              <w:top w:val="single" w:sz="4" w:space="0" w:color="000000"/>
              <w:bottom w:val="single" w:sz="4" w:space="0" w:color="000000"/>
              <w:right w:val="single" w:sz="4" w:space="0" w:color="000000"/>
            </w:tcBorders>
            <w:shd w:color="000000" w:fill="305496" w:val="clear"/>
            <w:vAlign w:val="center"/>
          </w:tcPr>
          <w:p>
            <w:pPr>
              <w:pStyle w:val="Normal"/>
              <w:widowControl w:val="false"/>
              <w:spacing w:lineRule="auto" w:line="240" w:before="0" w:after="0"/>
              <w:jc w:val="center"/>
              <w:rPr>
                <w:rFonts w:ascii="Calibri" w:hAnsi="Calibri" w:eastAsia="Times New Roman" w:cs="Calibri"/>
                <w:b/>
                <w:b/>
                <w:bCs/>
                <w:color w:val="FFFFFF"/>
                <w:lang w:eastAsia="en-CA"/>
              </w:rPr>
            </w:pPr>
            <w:r>
              <w:rPr>
                <w:rFonts w:eastAsia="Times New Roman" w:cs="Calibri"/>
                <w:b/>
                <w:bCs/>
                <w:color w:val="FFFFFF" w:themeColor="background1"/>
                <w:lang w:eastAsia="en-CA"/>
              </w:rPr>
              <w:t>Capability?</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Financial Services &amp; Banking</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(Tele-) Communications &amp; Media</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Education</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Energy and Utilities</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Government</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Health Care</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Insurance</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Life Sciences</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Manufacturing</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Retail</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Services</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Institutional Research</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Sports and Gaming</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Information Technology</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Advertising/Marketing</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Professional Services</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Hospitality &amp; Entertainment</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 </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 xml:space="preserve">*Other </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color w:val="000000" w:themeColor="text1"/>
                <w:lang w:eastAsia="en-CA"/>
              </w:rPr>
              <w:t> </w:t>
            </w:r>
          </w:p>
        </w:tc>
      </w:tr>
    </w:tbl>
    <w:p>
      <w:pPr>
        <w:pStyle w:val="Normal"/>
        <w:spacing w:lineRule="auto" w:line="240" w:before="0" w:after="0"/>
        <w:jc w:val="center"/>
        <w:rPr>
          <w:rFonts w:ascii="Calibri" w:hAnsi="Calibri"/>
        </w:rPr>
      </w:pPr>
      <w:r>
        <w:rPr>
          <w:rFonts w:cs="Times New Roman"/>
          <w:bCs/>
          <w:color w:val="000000" w:themeColor="text1"/>
        </w:rPr>
        <w:t>*Please add your suggestion(s)</w:t>
      </w:r>
    </w:p>
    <w:p>
      <w:pPr>
        <w:pStyle w:val="Normal"/>
        <w:spacing w:lineRule="auto" w:line="240" w:before="0" w:after="0"/>
        <w:jc w:val="center"/>
        <w:rPr>
          <w:rFonts w:ascii="Calibri" w:hAnsi="Calibri" w:cs="Times New Roman"/>
          <w:b/>
          <w:b/>
          <w:bCs/>
          <w:color w:val="000000" w:themeColor="text1"/>
        </w:rPr>
      </w:pPr>
      <w:r>
        <w:rPr>
          <w:rFonts w:cs="Times New Roman"/>
          <w:b/>
          <w:bCs/>
          <w:color w:val="000000" w:themeColor="text1"/>
        </w:rPr>
      </w:r>
    </w:p>
    <w:p>
      <w:pPr>
        <w:pStyle w:val="Normal"/>
        <w:spacing w:lineRule="auto" w:line="240" w:before="0" w:after="0"/>
        <w:jc w:val="center"/>
        <w:rPr>
          <w:rFonts w:ascii="Calibri" w:hAnsi="Calibri"/>
        </w:rPr>
      </w:pPr>
      <w:r>
        <w:rPr>
          <w:rFonts w:cs="Calibri" w:cstheme="minorHAnsi"/>
          <w:b/>
          <w:bCs/>
          <w:color w:val="000000" w:themeColor="text1"/>
        </w:rPr>
        <w:t>Table 4: Capabilities by Line of Business</w:t>
      </w:r>
    </w:p>
    <w:tbl>
      <w:tblPr>
        <w:tblW w:w="395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719"/>
        <w:gridCol w:w="1231"/>
      </w:tblGrid>
      <w:tr>
        <w:trPr>
          <w:tblHeader w:val="true"/>
          <w:trHeight w:val="315" w:hRule="atLeast"/>
        </w:trPr>
        <w:tc>
          <w:tcPr>
            <w:tcW w:w="2719" w:type="dxa"/>
            <w:tcBorders>
              <w:top w:val="single" w:sz="4" w:space="0" w:color="000000"/>
              <w:left w:val="single" w:sz="4" w:space="0" w:color="000000"/>
              <w:bottom w:val="single" w:sz="4" w:space="0" w:color="000000"/>
              <w:right w:val="single" w:sz="4" w:space="0" w:color="000000"/>
            </w:tcBorders>
            <w:shd w:color="000000" w:fill="305496" w:val="clear"/>
            <w:vAlign w:val="center"/>
          </w:tcPr>
          <w:p>
            <w:pPr>
              <w:pStyle w:val="Normal"/>
              <w:widowControl w:val="false"/>
              <w:spacing w:lineRule="auto" w:line="240" w:before="0" w:after="0"/>
              <w:jc w:val="center"/>
              <w:rPr>
                <w:rFonts w:ascii="Calibri" w:hAnsi="Calibri" w:eastAsia="Times New Roman" w:cs="Calibri"/>
                <w:b/>
                <w:b/>
                <w:bCs/>
                <w:color w:val="FFFFFF"/>
                <w:lang w:eastAsia="en-CA"/>
              </w:rPr>
            </w:pPr>
            <w:r>
              <w:rPr>
                <w:rFonts w:eastAsia="Times New Roman" w:cs="Calibri"/>
                <w:b/>
                <w:bCs/>
                <w:color w:val="FFFFFF" w:themeColor="background1"/>
                <w:lang w:eastAsia="en-CA"/>
              </w:rPr>
              <w:t>Business Line</w:t>
            </w:r>
          </w:p>
        </w:tc>
        <w:tc>
          <w:tcPr>
            <w:tcW w:w="1231" w:type="dxa"/>
            <w:tcBorders>
              <w:top w:val="single" w:sz="4" w:space="0" w:color="000000"/>
              <w:bottom w:val="single" w:sz="4" w:space="0" w:color="000000"/>
              <w:right w:val="single" w:sz="4" w:space="0" w:color="000000"/>
            </w:tcBorders>
            <w:shd w:color="000000" w:fill="305496" w:val="clear"/>
            <w:vAlign w:val="center"/>
          </w:tcPr>
          <w:p>
            <w:pPr>
              <w:pStyle w:val="Normal"/>
              <w:widowControl w:val="false"/>
              <w:spacing w:lineRule="auto" w:line="240" w:before="0" w:after="0"/>
              <w:jc w:val="center"/>
              <w:rPr>
                <w:rFonts w:ascii="Calibri" w:hAnsi="Calibri" w:eastAsia="Times New Roman" w:cs="Calibri"/>
                <w:b/>
                <w:b/>
                <w:bCs/>
                <w:color w:val="FFFFFF"/>
                <w:lang w:eastAsia="en-CA"/>
              </w:rPr>
            </w:pPr>
            <w:r>
              <w:rPr>
                <w:rFonts w:eastAsia="Times New Roman" w:cs="Calibri"/>
                <w:b/>
                <w:bCs/>
                <w:color w:val="FFFFFF" w:themeColor="background1"/>
                <w:lang w:eastAsia="en-CA"/>
              </w:rPr>
              <w:t>Capability?</w:t>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E-Commerce</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Finance</w:t>
            </w:r>
          </w:p>
        </w:tc>
        <w:tc>
          <w:tcPr>
            <w:tcW w:w="1231"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Fraud</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Human Resources</w:t>
            </w:r>
          </w:p>
        </w:tc>
        <w:tc>
          <w:tcPr>
            <w:tcW w:w="1231"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IT/Information Services</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Legal</w:t>
            </w:r>
          </w:p>
        </w:tc>
        <w:tc>
          <w:tcPr>
            <w:tcW w:w="1231"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Marketing</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Operations</w:t>
            </w:r>
          </w:p>
        </w:tc>
        <w:tc>
          <w:tcPr>
            <w:tcW w:w="1231"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Research and Development</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Risk Management</w:t>
            </w:r>
          </w:p>
        </w:tc>
        <w:tc>
          <w:tcPr>
            <w:tcW w:w="1231"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Sales</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Training</w:t>
            </w:r>
          </w:p>
        </w:tc>
        <w:tc>
          <w:tcPr>
            <w:tcW w:w="1231"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IoT</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Cyber Security</w:t>
            </w:r>
          </w:p>
        </w:tc>
        <w:tc>
          <w:tcPr>
            <w:tcW w:w="1231"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CRM</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exact"/>
        </w:trPr>
        <w:tc>
          <w:tcPr>
            <w:tcW w:w="2719"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231"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*Other</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bl>
    <w:p>
      <w:pPr>
        <w:pStyle w:val="Normal"/>
        <w:spacing w:lineRule="auto" w:line="240" w:before="0" w:after="0"/>
        <w:jc w:val="center"/>
        <w:rPr>
          <w:rFonts w:ascii="Calibri" w:hAnsi="Calibri"/>
        </w:rPr>
      </w:pPr>
      <w:r>
        <w:rPr>
          <w:rFonts w:cs="Times New Roman"/>
          <w:bCs/>
          <w:color w:val="000000" w:themeColor="text1"/>
        </w:rPr>
        <w:t>*Please add your suggestion(s)</w:t>
      </w:r>
    </w:p>
    <w:sectPr>
      <w:headerReference w:type="even" r:id="rId4"/>
      <w:headerReference w:type="default" r:id="rId5"/>
      <w:type w:val="nextPage"/>
      <w:pgSz w:w="12240" w:h="15840"/>
      <w:pgMar w:left="1440" w:right="993"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Segoe UI">
    <w:charset w:val="01"/>
    <w:family w:val="swiss"/>
    <w:pitch w:val="default"/>
  </w:font>
  <w:font w:name="Tahoma">
    <w:charset w:val="01"/>
    <w:family w:val="swiss"/>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rFonts w:cs="Calibri" w:cstheme="minorHAnsi"/>
        <w:b/>
        <w:b/>
        <w:bCs/>
        <w:color w:val="000000" w:themeColor="text1"/>
        <w:sz w:val="28"/>
        <w:szCs w:val="28"/>
      </w:rPr>
    </w:pPr>
    <w:r>
      <w:rPr>
        <w:rFonts w:cs="Calibri" w:cstheme="minorHAnsi"/>
        <w:b/>
        <w:bCs/>
        <w:color w:val="000000" w:themeColor="text1"/>
        <w:sz w:val="28"/>
        <w:szCs w:val="28"/>
      </w:rPr>
      <w:t>SAS Global Forum April 10 - April 13, 2022</w:t>
    </w:r>
  </w:p>
  <w:p>
    <w:pPr>
      <w:pStyle w:val="Normal"/>
      <w:spacing w:lineRule="auto" w:line="240" w:before="0" w:after="0"/>
      <w:jc w:val="center"/>
      <w:rPr>
        <w:rFonts w:cs="Calibri" w:cstheme="minorHAnsi"/>
        <w:b/>
        <w:b/>
        <w:bCs/>
        <w:color w:val="000000" w:themeColor="text1"/>
        <w:sz w:val="28"/>
        <w:szCs w:val="28"/>
      </w:rPr>
    </w:pPr>
    <w:r>
      <w:rPr>
        <w:rFonts w:cs="Calibri" w:cstheme="minorHAnsi"/>
        <w:b/>
        <w:bCs/>
        <w:color w:val="000000" w:themeColor="text1"/>
        <w:sz w:val="28"/>
        <w:szCs w:val="28"/>
      </w:rPr>
      <w:t>San Diego Convention Center, California, United States</w:t>
    </w:r>
  </w:p>
  <w:p>
    <w:pPr>
      <w:pStyle w:val="Header"/>
      <w:jc w:val="center"/>
      <w:rPr>
        <w:rFonts w:cs="Calibri" w:cstheme="minorHAnsi"/>
        <w:sz w:val="28"/>
        <w:szCs w:val="28"/>
      </w:rPr>
    </w:pPr>
    <w:r>
      <w:rPr>
        <w:rFonts w:cs="Calibri" w:cstheme="minorHAnsi"/>
        <w:b/>
        <w:bCs/>
        <w:color w:val="000000" w:themeColor="text1"/>
        <w:sz w:val="28"/>
        <w:szCs w:val="28"/>
      </w:rPr>
      <w:t>Content Advisory Team (CAT) Application</w:t>
    </w:r>
  </w:p>
  <w:p>
    <w:pPr>
      <w:pStyle w:val="Header"/>
      <w:rPr>
        <w:sz w:val="24"/>
        <w:szCs w:val="24"/>
      </w:rPr>
    </w:pPr>
    <w:r>
      <w:rPr>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rFonts w:cs="Calibri" w:cstheme="minorHAnsi"/>
        <w:b/>
        <w:b/>
        <w:bCs/>
        <w:color w:val="000000" w:themeColor="text1"/>
        <w:sz w:val="28"/>
        <w:szCs w:val="28"/>
      </w:rPr>
    </w:pPr>
    <w:r>
      <w:rPr>
        <w:rFonts w:cs="Calibri" w:cstheme="minorHAnsi"/>
        <w:b/>
        <w:bCs/>
        <w:color w:val="000000" w:themeColor="text1"/>
        <w:sz w:val="28"/>
        <w:szCs w:val="28"/>
      </w:rPr>
      <w:t>SAS Global Forum April 10 - April 13, 2022</w:t>
    </w:r>
  </w:p>
  <w:p>
    <w:pPr>
      <w:pStyle w:val="Normal"/>
      <w:spacing w:lineRule="auto" w:line="240" w:before="0" w:after="0"/>
      <w:jc w:val="center"/>
      <w:rPr>
        <w:rFonts w:cs="Calibri" w:cstheme="minorHAnsi"/>
        <w:b/>
        <w:b/>
        <w:bCs/>
        <w:color w:val="000000" w:themeColor="text1"/>
        <w:sz w:val="28"/>
        <w:szCs w:val="28"/>
      </w:rPr>
    </w:pPr>
    <w:r>
      <w:rPr>
        <w:rFonts w:cs="Calibri" w:cstheme="minorHAnsi"/>
        <w:b/>
        <w:bCs/>
        <w:color w:val="000000" w:themeColor="text1"/>
        <w:sz w:val="28"/>
        <w:szCs w:val="28"/>
      </w:rPr>
      <w:t>San Diego Convention Center, California, United States</w:t>
    </w:r>
  </w:p>
  <w:p>
    <w:pPr>
      <w:pStyle w:val="Header"/>
      <w:jc w:val="center"/>
      <w:rPr>
        <w:rFonts w:cs="Calibri" w:cstheme="minorHAnsi"/>
        <w:sz w:val="28"/>
        <w:szCs w:val="28"/>
      </w:rPr>
    </w:pPr>
    <w:r>
      <w:rPr>
        <w:rFonts w:cs="Calibri" w:cstheme="minorHAnsi"/>
        <w:b/>
        <w:bCs/>
        <w:color w:val="000000" w:themeColor="text1"/>
        <w:sz w:val="28"/>
        <w:szCs w:val="28"/>
      </w:rPr>
      <w:t>Content Advisory Team (CAT) Application</w:t>
    </w:r>
  </w:p>
  <w:p>
    <w:pPr>
      <w:pStyle w:val="Header"/>
      <w:rPr>
        <w:sz w:val="24"/>
        <w:szCs w:val="24"/>
      </w:rPr>
    </w:pPr>
    <w:r>
      <w:rPr>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rFonts w:cs="Calibri" w:cstheme="minorHAnsi"/>
        <w:b/>
        <w:b/>
        <w:bCs/>
        <w:color w:val="000000" w:themeColor="text1"/>
        <w:sz w:val="28"/>
        <w:szCs w:val="28"/>
      </w:rPr>
    </w:pPr>
    <w:r>
      <w:rPr>
        <w:rFonts w:cs="Calibri" w:cstheme="minorHAnsi"/>
        <w:b/>
        <w:bCs/>
        <w:color w:val="000000" w:themeColor="text1"/>
        <w:sz w:val="28"/>
        <w:szCs w:val="28"/>
      </w:rPr>
      <w:t>SAS Global Forum April 10 - April 13, 2022</w:t>
    </w:r>
  </w:p>
  <w:p>
    <w:pPr>
      <w:pStyle w:val="Normal"/>
      <w:spacing w:lineRule="auto" w:line="240" w:before="0" w:after="0"/>
      <w:jc w:val="center"/>
      <w:rPr>
        <w:rFonts w:cs="Calibri" w:cstheme="minorHAnsi"/>
        <w:b/>
        <w:b/>
        <w:bCs/>
        <w:color w:val="000000" w:themeColor="text1"/>
        <w:sz w:val="28"/>
        <w:szCs w:val="28"/>
      </w:rPr>
    </w:pPr>
    <w:r>
      <w:rPr>
        <w:rFonts w:cs="Calibri" w:cstheme="minorHAnsi"/>
        <w:b/>
        <w:bCs/>
        <w:color w:val="000000" w:themeColor="text1"/>
        <w:sz w:val="28"/>
        <w:szCs w:val="28"/>
      </w:rPr>
      <w:t>San Diego Convention Center, California, United States</w:t>
    </w:r>
  </w:p>
  <w:p>
    <w:pPr>
      <w:pStyle w:val="Header"/>
      <w:jc w:val="center"/>
      <w:rPr>
        <w:rFonts w:cs="Calibri" w:cstheme="minorHAnsi"/>
        <w:sz w:val="28"/>
        <w:szCs w:val="28"/>
      </w:rPr>
    </w:pPr>
    <w:r>
      <w:rPr>
        <w:rFonts w:cs="Calibri" w:cstheme="minorHAnsi"/>
        <w:b/>
        <w:bCs/>
        <w:color w:val="000000" w:themeColor="text1"/>
        <w:sz w:val="28"/>
        <w:szCs w:val="28"/>
      </w:rPr>
      <w:t>Content Advisory Team (CAT) Application</w:t>
    </w:r>
  </w:p>
  <w:p>
    <w:pPr>
      <w:pStyle w:val="Header"/>
      <w:rPr>
        <w:sz w:val="24"/>
        <w:szCs w:val="24"/>
      </w:rPr>
    </w:pPr>
    <w:r>
      <w:rPr>
        <w:sz w:val="24"/>
        <w:szCs w:val="24"/>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rFonts w:cs="Calibri" w:cstheme="minorHAnsi"/>
        <w:b/>
        <w:b/>
        <w:bCs/>
        <w:color w:val="000000" w:themeColor="text1"/>
        <w:sz w:val="28"/>
        <w:szCs w:val="28"/>
      </w:rPr>
    </w:pPr>
    <w:r>
      <w:rPr>
        <w:rFonts w:cs="Calibri" w:cstheme="minorHAnsi"/>
        <w:b/>
        <w:bCs/>
        <w:color w:val="000000" w:themeColor="text1"/>
        <w:sz w:val="28"/>
        <w:szCs w:val="28"/>
      </w:rPr>
      <w:t>SAS Global Forum April 10 - April 13, 2022</w:t>
    </w:r>
  </w:p>
  <w:p>
    <w:pPr>
      <w:pStyle w:val="Normal"/>
      <w:spacing w:lineRule="auto" w:line="240" w:before="0" w:after="0"/>
      <w:jc w:val="center"/>
      <w:rPr>
        <w:rFonts w:cs="Calibri" w:cstheme="minorHAnsi"/>
        <w:b/>
        <w:b/>
        <w:bCs/>
        <w:color w:val="000000" w:themeColor="text1"/>
        <w:sz w:val="28"/>
        <w:szCs w:val="28"/>
      </w:rPr>
    </w:pPr>
    <w:r>
      <w:rPr>
        <w:rFonts w:cs="Calibri" w:cstheme="minorHAnsi"/>
        <w:b/>
        <w:bCs/>
        <w:color w:val="000000" w:themeColor="text1"/>
        <w:sz w:val="28"/>
        <w:szCs w:val="28"/>
      </w:rPr>
      <w:t>San Diego Convention Center, California, United States</w:t>
    </w:r>
  </w:p>
  <w:p>
    <w:pPr>
      <w:pStyle w:val="Header"/>
      <w:jc w:val="center"/>
      <w:rPr>
        <w:rFonts w:cs="Calibri" w:cstheme="minorHAnsi"/>
        <w:sz w:val="28"/>
        <w:szCs w:val="28"/>
      </w:rPr>
    </w:pPr>
    <w:r>
      <w:rPr>
        <w:rFonts w:cs="Calibri" w:cstheme="minorHAnsi"/>
        <w:b/>
        <w:bCs/>
        <w:color w:val="000000" w:themeColor="text1"/>
        <w:sz w:val="28"/>
        <w:szCs w:val="28"/>
      </w:rPr>
      <w:t>Content Advisory Team (CAT) Application</w:t>
    </w:r>
  </w:p>
  <w:p>
    <w:pPr>
      <w:pStyle w:val="Header"/>
      <w:rPr>
        <w:sz w:val="24"/>
        <w:szCs w:val="24"/>
      </w:rPr>
    </w:pPr>
    <w:r>
      <w:rPr>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269aa"/>
    <w:rPr>
      <w:color w:val="0000FF" w:themeColor="hyperlink"/>
      <w:u w:val="single"/>
    </w:rPr>
  </w:style>
  <w:style w:type="character" w:styleId="HeaderChar" w:customStyle="1">
    <w:name w:val="Header Char"/>
    <w:basedOn w:val="DefaultParagraphFont"/>
    <w:link w:val="Header"/>
    <w:uiPriority w:val="99"/>
    <w:qFormat/>
    <w:rsid w:val="00614375"/>
    <w:rPr/>
  </w:style>
  <w:style w:type="character" w:styleId="FooterChar" w:customStyle="1">
    <w:name w:val="Footer Char"/>
    <w:basedOn w:val="DefaultParagraphFont"/>
    <w:link w:val="Footer"/>
    <w:uiPriority w:val="99"/>
    <w:qFormat/>
    <w:rsid w:val="00614375"/>
    <w:rPr/>
  </w:style>
  <w:style w:type="character" w:styleId="VisitedInternetLink">
    <w:name w:val="FollowedHyperlink"/>
    <w:basedOn w:val="DefaultParagraphFont"/>
    <w:uiPriority w:val="99"/>
    <w:semiHidden/>
    <w:unhideWhenUsed/>
    <w:rsid w:val="00e1228f"/>
    <w:rPr>
      <w:color w:val="800080" w:themeColor="followedHyperlink"/>
      <w:u w:val="single"/>
    </w:rPr>
  </w:style>
  <w:style w:type="character" w:styleId="UnresolvedMention">
    <w:name w:val="Unresolved Mention"/>
    <w:basedOn w:val="DefaultParagraphFont"/>
    <w:uiPriority w:val="99"/>
    <w:semiHidden/>
    <w:unhideWhenUsed/>
    <w:qFormat/>
    <w:rsid w:val="00243d13"/>
    <w:rPr>
      <w:color w:val="808080"/>
      <w:shd w:fill="E6E6E6" w:val="clear"/>
    </w:rPr>
  </w:style>
  <w:style w:type="character" w:styleId="BalloonTextChar" w:customStyle="1">
    <w:name w:val="Balloon Text Char"/>
    <w:basedOn w:val="DefaultParagraphFont"/>
    <w:link w:val="BalloonText"/>
    <w:uiPriority w:val="99"/>
    <w:semiHidden/>
    <w:qFormat/>
    <w:rsid w:val="00c57dbc"/>
    <w:rPr>
      <w:rFonts w:ascii="Segoe UI" w:hAnsi="Segoe UI" w:cs="Segoe UI"/>
      <w:sz w:val="18"/>
      <w:szCs w:val="18"/>
    </w:rPr>
  </w:style>
  <w:style w:type="character" w:styleId="Annotationreference">
    <w:name w:val="annotation reference"/>
    <w:basedOn w:val="DefaultParagraphFont"/>
    <w:uiPriority w:val="99"/>
    <w:semiHidden/>
    <w:unhideWhenUsed/>
    <w:qFormat/>
    <w:rsid w:val="008225a1"/>
    <w:rPr>
      <w:sz w:val="16"/>
      <w:szCs w:val="16"/>
    </w:rPr>
  </w:style>
  <w:style w:type="character" w:styleId="CommentTextChar" w:customStyle="1">
    <w:name w:val="Comment Text Char"/>
    <w:basedOn w:val="DefaultParagraphFont"/>
    <w:link w:val="CommentText"/>
    <w:uiPriority w:val="99"/>
    <w:semiHidden/>
    <w:qFormat/>
    <w:rsid w:val="008225a1"/>
    <w:rPr>
      <w:sz w:val="20"/>
      <w:szCs w:val="20"/>
    </w:rPr>
  </w:style>
  <w:style w:type="character" w:styleId="CommentSubjectChar" w:customStyle="1">
    <w:name w:val="Comment Subject Char"/>
    <w:basedOn w:val="CommentTextChar"/>
    <w:link w:val="CommentSubject"/>
    <w:uiPriority w:val="99"/>
    <w:semiHidden/>
    <w:qFormat/>
    <w:rsid w:val="008225a1"/>
    <w:rPr>
      <w:b/>
      <w:bCs/>
      <w:sz w:val="20"/>
      <w:szCs w:val="20"/>
    </w:rPr>
  </w:style>
  <w:style w:type="character" w:styleId="Emphasis">
    <w:name w:val="Emphasis"/>
    <w:basedOn w:val="DefaultParagraphFont"/>
    <w:uiPriority w:val="20"/>
    <w:qFormat/>
    <w:rsid w:val="00f63bc9"/>
    <w:rPr>
      <w:i/>
      <w:iCs/>
    </w:rPr>
  </w:style>
  <w:style w:type="paragraph" w:styleId="Heading">
    <w:name w:val="Heading"/>
    <w:basedOn w:val="Normal"/>
    <w:next w:val="TextBody"/>
    <w:qFormat/>
    <w:pPr>
      <w:keepNext w:val="true"/>
      <w:spacing w:before="240" w:after="120"/>
    </w:pPr>
    <w:rPr>
      <w:rFonts w:ascii="Tahoma" w:hAnsi="Tahoma"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rPr>
  </w:style>
  <w:style w:type="paragraph" w:styleId="ListParagraph">
    <w:name w:val="List Paragraph"/>
    <w:basedOn w:val="Normal"/>
    <w:uiPriority w:val="34"/>
    <w:qFormat/>
    <w:rsid w:val="006212b2"/>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614375"/>
    <w:pPr>
      <w:tabs>
        <w:tab w:val="clear" w:pos="720"/>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614375"/>
    <w:pPr>
      <w:tabs>
        <w:tab w:val="clear" w:pos="720"/>
        <w:tab w:val="center" w:pos="4320" w:leader="none"/>
        <w:tab w:val="right" w:pos="8640" w:leader="none"/>
      </w:tabs>
      <w:spacing w:lineRule="auto" w:line="240" w:before="0" w:after="0"/>
    </w:pPr>
    <w:rPr/>
  </w:style>
  <w:style w:type="paragraph" w:styleId="BalloonText">
    <w:name w:val="Balloon Text"/>
    <w:basedOn w:val="Normal"/>
    <w:link w:val="BalloonTextChar"/>
    <w:uiPriority w:val="99"/>
    <w:semiHidden/>
    <w:unhideWhenUsed/>
    <w:qFormat/>
    <w:rsid w:val="00c57dbc"/>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8225a1"/>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8225a1"/>
    <w:pPr/>
    <w:rPr>
      <w:b/>
      <w:bCs/>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c668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Application>LibreOffice/7.0.4.2$Linux_X86_64 LibreOffice_project/00$Build-2</Application>
  <AppVersion>15.0000</AppVersion>
  <Pages>8</Pages>
  <Words>1921</Words>
  <Characters>11458</Characters>
  <CharactersWithSpaces>13271</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2019-11-07T00:09:00Z</dcterms:created>
  <dc:creator>desktop admins</dc:creator>
  <dc:description/>
  <dc:language>en-US</dc:language>
  <cp:lastModifiedBy>Christopher Blake</cp:lastModifiedBy>
  <cp:lastPrinted>2017-12-10T16:05:00Z</cp:lastPrinted>
  <dcterms:modified xsi:type="dcterms:W3CDTF">2021-01-25T16:13:08Z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