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Clinical Evaluation Plan</w:t>
      </w:r>
    </w:p>
    <w:p>
      <w:pPr>
        <w:pStyle w:val="Heading1"/>
      </w:pPr>
      <w:r>
        <w:t>Introduction</w:t>
      </w:r>
    </w:p>
    <w:p>
      <w:r>
        <w:t xml:space="preserve">This Clinical Evaluation Plan (CEP) for </w:t>
      </w:r>
      <w:r>
        <w:t>HeatSYNC® Gel</w:t>
      </w:r>
      <w:r>
        <w:t xml:space="preserve"> describes the clinical evaluation strategy to demonstrate conformity with the applicable General Safety and Performance Requirements (GSPRs) of the European Medical Device Regulations (EU MDR) 2017/745, and the sources that will be used to demonstrate this conformity.</w:t>
      </w:r>
    </w:p>
    <w:p>
      <w:r>
        <w:t>[DRAFT REQUIRED]</w:t>
      </w:r>
    </w:p>
    <w:p>
      <w:r>
        <w:t>[DRAFT REQUIRED]</w:t>
      </w:r>
    </w:p>
    <w:p>
      <w:pPr>
        <w:pStyle w:val="Heading1"/>
      </w:pPr>
      <w:r>
        <w:t>Objective</w:t>
      </w:r>
    </w:p>
    <w:p>
      <w:r>
        <w:t xml:space="preserve">The purpose of the Clinical Evaluation is to evaluate the safety and performance of </w:t>
      </w:r>
      <w:r>
        <w:t>HeatSYNC® Gel</w:t>
      </w:r>
      <w:r>
        <w:t xml:space="preserve"> and to demonstrate conformity with the applicable General Safety and Performance Requirements </w:t>
      </w:r>
    </w:p>
    <w:p>
      <w:r>
        <w:rPr>
          <w:b/>
        </w:rPr>
        <w:t xml:space="preserve">Relevant GSPRs (e.g. Annex I, §1, §6): </w:t>
      </w:r>
      <w:r>
        <w:t>[MISSING]</w:t>
      </w:r>
    </w:p>
    <w:p>
      <w:r>
        <w:t>.</w:t>
      </w:r>
    </w:p>
    <w:p>
      <w:r>
        <w:t>[DRAFT REQUIRED]</w:t>
      </w:r>
    </w:p>
    <w:p>
      <w:pPr>
        <w:pStyle w:val="Heading1"/>
      </w:pPr>
      <w:r>
        <w:t>Applicable Regulations, Guidelines and Standards</w:t>
      </w:r>
    </w:p>
    <w:p>
      <w:r>
        <w:t>Regulation (EU) 2017/745 of the European Parliament and of the Council of 5 April 2017 on medical devices (MDR)</w:t>
      </w:r>
      <w:r>
        <w:t>MEDDEV 2.7/1 Revision 4 Clinical Evaluation: a guide for manufacturers and notified bodies under Directives 93/42/EEC and 90/385/EEC</w:t>
      </w:r>
    </w:p>
    <w:p>
      <w:r>
        <w:rPr>
          <w:b/>
        </w:rPr>
        <w:t xml:space="preserve">Additional applicable standards (e.g. ISO 14971, IEC 62304): </w:t>
      </w:r>
      <w:r>
        <w:t>[MISSING]</w:t>
      </w:r>
    </w:p>
    <w:p>
      <w:pPr>
        <w:pStyle w:val="Heading1"/>
      </w:pPr>
      <w:r>
        <w:t>Stage 0 – Scope: Manufacturer's Details</w:t>
      </w:r>
    </w:p>
    <w:p>
      <w:r>
        <w:t xml:space="preserve">Name and Address of Legal Manufacturer: </w:t>
      </w:r>
      <w:r>
        <w:t>Theromics Inc.</w:t>
      </w:r>
      <w:r>
        <w:rPr>
          <w:i/>
        </w:rPr>
        <w:t>registered address</w:t>
      </w:r>
      <w:r>
        <w:t>Ron Murphy</w:t>
      </w:r>
      <w:r>
        <w:t>ron@theromicsins.com</w:t>
      </w:r>
    </w:p>
    <w:p>
      <w:pPr>
        <w:pStyle w:val="Heading1"/>
      </w:pPr>
      <w:r>
        <w:t>Device Classification</w:t>
      </w:r>
    </w:p>
    <w:p>
      <w:r>
        <w:t xml:space="preserve">Product: </w:t>
      </w:r>
      <w:r>
        <w:t>HeatSYNC® Gel</w:t>
      </w:r>
      <w:r>
        <w:t xml:space="preserve"> — MDR Classification (according to Annex VIII of EU MDR 2017/745): </w:t>
      </w:r>
      <w:r>
        <w:rPr>
          <w:i/>
        </w:rPr>
        <w:t>device classification</w:t>
      </w:r>
      <w:r>
        <w:rPr>
          <w:i/>
        </w:rPr>
        <w:t>product code</w:t>
      </w:r>
      <w:r>
        <w:rPr>
          <w:i/>
        </w:rPr>
        <w:t>regulation number</w:t>
      </w:r>
    </w:p>
    <w:p>
      <w:pPr>
        <w:pStyle w:val="Heading1"/>
      </w:pPr>
      <w:r>
        <w:t>Device Description</w:t>
      </w:r>
    </w:p>
    <w:p>
      <w:r>
        <w:t>The HeatSYNC® Gel, manufactured by Theromics Inc., is a yellow, translucent gel of high viscosity, designed as a thermal accelerant for image-guided thermal ablation. It is a protein-based gel, primarily composed of human serum albumin, with a proprietary formulation prepared by dissolving citric acid trisodium salt dihydrate and citric acid in a 25% human albumin solution, which is then freeze-dried into a pale yellow powder and reconstituted with double-distilled deionized water. The device is supplied sterile in a glass vial. HeatSYNC® Gel is currently under development and has not yet received CE-marking or market authorization in Europe or other countries; therefore, final versions of the product label and Instructions for Use are still in development.</w:t>
      </w:r>
    </w:p>
    <w:p>
      <w:r>
        <w:rPr>
          <w:b/>
        </w:rPr>
        <w:t xml:space="preserve">IFU / Label Version: </w:t>
      </w:r>
      <w:r>
        <w:t>[MISSING]</w:t>
      </w:r>
    </w:p>
    <w:p>
      <w:pPr>
        <w:pStyle w:val="Heading1"/>
      </w:pPr>
      <w:r>
        <w:t>Intended Purpose</w:t>
      </w:r>
    </w:p>
    <w:p>
      <w:r>
        <w:t>functions as a thermal accelerant during image-guided thermal ablation (i.e., with microwave or radiofrequency ablation systems). It is intended to extend the ablation zone and provide more rapid ablation.</w:t>
      </w:r>
      <w:r>
        <w:t>Indicated for use with thermal ablation devices to improve energy conduction and generate greater ablation zone temperatures; it is intended to extend the ablation zone and provide more rapid ablation. HeatSYNC® Gel may be applied percutaneously, bronchoscopically, intraoperatively, or laparoscopically to target regions of soft tissue.</w:t>
      </w:r>
    </w:p>
    <w:p>
      <w:r>
        <w:t>[DRAFT REQUIRED]</w:t>
      </w:r>
    </w:p>
    <w:p>
      <w:r>
        <w:t>[DRAFT REQUIRED]</w:t>
      </w:r>
    </w:p>
    <w:p>
      <w:pPr>
        <w:pStyle w:val="Heading1"/>
      </w:pPr>
      <w:r>
        <w:t>Claims on Clinical Performance and Safety — Clinical Benefits</w:t>
      </w:r>
    </w:p>
    <w:p>
      <w:r>
        <w:t xml:space="preserve">Clinical Performance: </w:t>
      </w:r>
      <w:r>
        <w:t>HeatSYNC® Gel</w:t>
      </w:r>
      <w:r>
        <w:t xml:space="preserve"> performs as intended when used according to the instructions provided by the manufacturer's labelling documents (Instructions for Use).</w:t>
      </w:r>
      <w:r>
        <w:t xml:space="preserve">Clinical Safety: </w:t>
      </w:r>
      <w:r>
        <w:t>HeatSYNC® Gel</w:t>
      </w:r>
      <w:r>
        <w:t xml:space="preserve"> does not possess unacceptable clinical risks when used according to the instructions provided by the manufacturer's labelling documents. The risk analysis including benefit/risk profile demonstrates that it does not pose any undue safety concerns to either the patient or end-user; and any risks associated with use are acceptable when weighed against the benefits to the patient.</w:t>
      </w:r>
    </w:p>
    <w:p>
      <w:r>
        <w:rPr>
          <w:b/>
        </w:rPr>
        <w:t xml:space="preserve">Intended Clinical Benefits: </w:t>
      </w:r>
      <w:r>
        <w:t>[MISSING]</w:t>
      </w:r>
    </w:p>
    <w:p>
      <w:r>
        <w:t>[DRAFT REQUIRED]</w:t>
      </w:r>
    </w:p>
    <w:p>
      <w:pPr>
        <w:pStyle w:val="Heading1"/>
      </w:pPr>
      <w:r>
        <w:t>Device Equivalence</w:t>
      </w:r>
    </w:p>
    <w:p>
      <w:r>
        <w:t>Device equivalence has been documented in CLIN-</w:t>
      </w:r>
    </w:p>
    <w:p>
      <w:r>
        <w:rPr>
          <w:b/>
        </w:rPr>
        <w:t xml:space="preserve">Equivalence Document Reference: </w:t>
      </w:r>
      <w:r>
        <w:t>[MISSING]</w:t>
      </w:r>
    </w:p>
    <w:p>
      <w:r>
        <w:t>[DRAFT REQUIRED]</w:t>
      </w:r>
    </w:p>
    <w:p>
      <w:pPr>
        <w:pStyle w:val="Heading1"/>
      </w:pPr>
      <w:r>
        <w:t>Clinical Background, Current Knowledge, State of the Art</w:t>
      </w:r>
    </w:p>
    <w:p>
      <w:r>
        <w:t>[DRAFT REQUIRED]</w:t>
      </w:r>
    </w:p>
    <w:p>
      <w:r>
        <w:t>[DRAFT REQUIRED]</w:t>
      </w:r>
    </w:p>
    <w:p>
      <w:r>
        <w:t>[DRAFT REQUIRED]</w:t>
      </w:r>
    </w:p>
    <w:p>
      <w:r>
        <w:t>[DRAFT REQUIRED]</w:t>
      </w:r>
    </w:p>
    <w:p>
      <w:r>
        <w:t>[DRAFT REQUIRED]</w:t>
      </w:r>
    </w:p>
    <w:p>
      <w:r>
        <w:rPr>
          <w:b/>
        </w:rPr>
        <w:t xml:space="preserve">Risk Management File Reference: </w:t>
      </w:r>
      <w:r>
        <w:t>[MISSING]</w:t>
      </w:r>
    </w:p>
    <w:p>
      <w:pPr>
        <w:pStyle w:val="Heading1"/>
      </w:pPr>
      <w:r>
        <w:t>Stage 1: Identification of Pertinent Data — Pre-Clinical &amp; Internal Data</w:t>
      </w:r>
    </w:p>
    <w:p>
      <w:r>
        <w:t>[DRAFT REQUIRED]</w:t>
      </w:r>
    </w:p>
    <w:p>
      <w:r>
        <w:rPr>
          <w:b/>
        </w:rPr>
        <w:t xml:space="preserve">Product Standards Reference: </w:t>
      </w:r>
      <w:r>
        <w:t>[MISSING]</w:t>
      </w:r>
    </w:p>
    <w:p>
      <w:r>
        <w:rPr>
          <w:b/>
        </w:rPr>
        <w:t xml:space="preserve">PMS Report Reference: </w:t>
      </w:r>
      <w:r>
        <w:t>[MISSING]</w:t>
      </w:r>
    </w:p>
    <w:p>
      <w:pPr>
        <w:pStyle w:val="Heading1"/>
      </w:pPr>
      <w:r>
        <w:t>4.2 Clinical Data from Literature</w:t>
      </w:r>
    </w:p>
    <w:p>
      <w:r>
        <w:t>Table 1 lists the scientific literature databases that will be searched. These databases are appropriate for the device under evaluation and data is expected to be found.</w:t>
      </w:r>
    </w:p>
    <w:p>
      <w:r>
        <w:t>[DRAFT REQUIRED]</w:t>
      </w:r>
    </w:p>
    <w:p>
      <w:r>
        <w:t>[DRAFT REQUIRED]</w:t>
      </w:r>
    </w:p>
    <w:p>
      <w:r>
        <w:t>[DRAFT REQUIRED]</w:t>
      </w:r>
    </w:p>
    <w:p>
      <w:r>
        <w:rPr>
          <w:b/>
        </w:rPr>
        <w:t xml:space="preserve">Literature Search Report Reference: </w:t>
      </w:r>
      <w:r>
        <w:t>[MISSING]</w:t>
      </w:r>
    </w:p>
    <w:p>
      <w:pPr>
        <w:pStyle w:val="Heading1"/>
      </w:pPr>
      <w:r>
        <w:t>Stage 2: Appraisal of Pertinent Data</w:t>
      </w:r>
    </w:p>
    <w:p>
      <w:r>
        <w:t>Data retrieved will be studied and weighted according to their quality and scientific validity and according to their relevance.</w:t>
      </w:r>
    </w:p>
    <w:p>
      <w:r>
        <w:t>[DRAFT REQUIRED]</w:t>
      </w:r>
    </w:p>
    <w:p>
      <w:pPr>
        <w:pStyle w:val="Heading1"/>
      </w:pPr>
      <w:r>
        <w:t>Clinical Development Plan</w:t>
      </w:r>
    </w:p>
    <w:p>
      <w:r>
        <w:t>[DRAFT REQUIRED]</w:t>
      </w:r>
    </w:p>
    <w:p>
      <w:pPr>
        <w:pStyle w:val="Heading1"/>
      </w:pPr>
      <w:r>
        <w:t>Stage 3: Analysis of Clinical Data and Writing the CER</w:t>
      </w:r>
    </w:p>
    <w:p>
      <w:r>
        <w:t>The Clinical Evaluation Report (CER) will summarize the evaluation of all relevant data documented or referenced in other parts of the Technical File and the results of the literature search and safety and performance evaluation.</w:t>
      </w:r>
    </w:p>
    <w:p>
      <w:r>
        <w:rPr>
          <w:b/>
        </w:rPr>
        <w:t xml:space="preserve">CER Document Reference: </w:t>
      </w:r>
      <w:r>
        <w:t>[MISSING]</w:t>
      </w:r>
    </w:p>
    <w:p>
      <w:r>
        <w:t>[DRAFT REQUIRED]</w:t>
      </w:r>
    </w:p>
    <w:p>
      <w:r>
        <w:rPr>
          <w:b/>
        </w:rPr>
        <w:t xml:space="preserve">Relevant GSPRs to be addressed in CER: </w:t>
      </w:r>
      <w:r>
        <w:t>[MISSING]</w:t>
      </w:r>
    </w:p>
    <w:p>
      <w:pPr>
        <w:pStyle w:val="Heading1"/>
      </w:pPr>
      <w:r>
        <w:t>Post-Market Surveillance and PMCF</w:t>
      </w:r>
    </w:p>
    <w:p>
      <w:r>
        <w:t xml:space="preserve">The Post-Market Surveillance and PMCF activities will be documented in </w:t>
      </w:r>
    </w:p>
    <w:p>
      <w:r>
        <w:rPr>
          <w:b/>
        </w:rPr>
        <w:t xml:space="preserve">PMS / PMCF Plan Reference: </w:t>
      </w:r>
      <w:r>
        <w:t>[MISSING]</w:t>
      </w:r>
    </w:p>
    <w:p>
      <w:r>
        <w:t>[DRAFT REQUIRED]</w:t>
      </w:r>
    </w:p>
    <w:p>
      <w:pPr>
        <w:pStyle w:val="Heading1"/>
      </w:pPr>
      <w:r>
        <w:t>9. Choice of Evaluators (Qualification and Declaration of Interest)</w:t>
      </w:r>
    </w:p>
    <w:p>
      <w:r>
        <w:t>The Clinical Evaluation needs to be conducted by a suitably qualified individual or individuals. A summary of the evaluator(s) qualifications and relevant experience and their Declaration of Interest will be part of the Clinical Evaluation Report (CER).</w:t>
      </w:r>
    </w:p>
    <w:p>
      <w:r>
        <w:rPr>
          <w:b/>
        </w:rPr>
        <w:t xml:space="preserve">Evaluator Name and Qualification: </w:t>
      </w:r>
      <w:r>
        <w:t>[MISSING]</w:t>
      </w:r>
    </w:p>
    <w:p>
      <w:r>
        <w:rPr>
          <w:b/>
        </w:rPr>
        <w:t xml:space="preserve">Declaration of Interest Reference: </w:t>
      </w:r>
      <w:r>
        <w:t>[MISSING]</w:t>
      </w:r>
    </w:p>
    <w:p>
      <w:pPr>
        <w:pStyle w:val="Heading1"/>
      </w:pPr>
      <w:r>
        <w:t>10. Appendices</w:t>
      </w:r>
    </w:p>
    <w:p>
      <w:r>
        <w:rPr>
          <w:b/>
        </w:rPr>
        <w:t xml:space="preserve">List of Appendices: </w:t>
      </w:r>
      <w:r>
        <w:t>[MISSING]</w:t>
      </w:r>
    </w:p>
    <w:p>
      <w:pPr>
        <w:pStyle w:val="Heading1"/>
      </w:pPr>
      <w:r>
        <w:t>11. References</w:t>
      </w:r>
    </w:p>
    <w:p>
      <w:r>
        <w:rPr>
          <w:b/>
        </w:rPr>
        <w:t xml:space="preserve">Reference List: </w:t>
      </w:r>
      <w:r>
        <w:t>[MISSING]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