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1671B" w14:textId="21B37F59" w:rsidR="005D1085" w:rsidRPr="005D1085" w:rsidRDefault="005D1085" w:rsidP="005D1085">
      <w:pPr>
        <w:rPr>
          <w:b/>
          <w:bCs/>
        </w:rPr>
      </w:pPr>
      <w:r w:rsidRPr="005D1085">
        <w:rPr>
          <w:b/>
          <w:bCs/>
        </w:rPr>
        <w:t>Explicabilité des comportements malveillants dans les applications Windows via des graphes de flux de contrôle (CFG) et des méthodes d'explicabilité avancées</w:t>
      </w:r>
    </w:p>
    <w:p w14:paraId="18BD45A3" w14:textId="77777777" w:rsidR="005D1085" w:rsidRPr="005D1085" w:rsidRDefault="005D1085" w:rsidP="005D1085">
      <w:pPr>
        <w:rPr>
          <w:b/>
          <w:bCs/>
        </w:rPr>
      </w:pPr>
      <w:r w:rsidRPr="005D1085">
        <w:rPr>
          <w:b/>
          <w:bCs/>
        </w:rPr>
        <w:t>Résumé</w:t>
      </w:r>
    </w:p>
    <w:p w14:paraId="302534FD" w14:textId="77777777" w:rsidR="005D1085" w:rsidRPr="005D1085" w:rsidRDefault="005D1085" w:rsidP="005D1085">
      <w:r w:rsidRPr="005D1085">
        <w:t>Cet article présente une approche d’explicabilité appliquée à la détection et l’analyse des comportements malveillants dans les applications Windows en utilisant des graphes de flux de contrôle (CFG) et des techniques d’explicabilité avancées. Nous combinons des méthodes d’explicabilité locales (LIME, SHAP) et globales (</w:t>
      </w:r>
      <w:proofErr w:type="spellStart"/>
      <w:r w:rsidRPr="005D1085">
        <w:t>TreeExplainer</w:t>
      </w:r>
      <w:proofErr w:type="spellEnd"/>
      <w:r w:rsidRPr="005D1085">
        <w:t xml:space="preserve">, </w:t>
      </w:r>
      <w:proofErr w:type="spellStart"/>
      <w:r w:rsidRPr="005D1085">
        <w:t>Grad</w:t>
      </w:r>
      <w:proofErr w:type="spellEnd"/>
      <w:r w:rsidRPr="005D1085">
        <w:t>-CAM) pour mieux comprendre les prédictions des modèles de classification de graphes. Les résultats montrent une amélioration significative de la compréhension des comportements malveillants.</w:t>
      </w:r>
    </w:p>
    <w:p w14:paraId="1E6E9F49" w14:textId="77777777" w:rsidR="005D1085" w:rsidRPr="005D1085" w:rsidRDefault="005D1085" w:rsidP="005D1085">
      <w:pPr>
        <w:rPr>
          <w:b/>
          <w:bCs/>
        </w:rPr>
      </w:pPr>
      <w:r w:rsidRPr="005D1085">
        <w:rPr>
          <w:b/>
          <w:bCs/>
        </w:rPr>
        <w:t>Introduction</w:t>
      </w:r>
    </w:p>
    <w:p w14:paraId="14E1710A" w14:textId="77777777" w:rsidR="005D1085" w:rsidRPr="005D1085" w:rsidRDefault="005D1085" w:rsidP="005D1085">
      <w:r w:rsidRPr="005D1085">
        <w:t>L’analyse des applications Windows pour détecter les comportements malveillants est un défi majeur en cybersécurité. Les modèles de classification de graphes permettent d’extraire des caractéristiques importantes des flux de contrôle, mais leur nature complexe rend difficile l’interprétation des décisions. Cet article propose une méthodologie d’explicabilité combinant des méthodes locales et globales pour fournir une meilleure interprétation des modèles.</w:t>
      </w:r>
    </w:p>
    <w:p w14:paraId="27BA44FB" w14:textId="77777777" w:rsidR="005D1085" w:rsidRPr="005D1085" w:rsidRDefault="005D1085" w:rsidP="005D1085">
      <w:pPr>
        <w:rPr>
          <w:b/>
          <w:bCs/>
        </w:rPr>
      </w:pPr>
      <w:r w:rsidRPr="005D1085">
        <w:rPr>
          <w:b/>
          <w:bCs/>
        </w:rPr>
        <w:t>Méthodologie</w:t>
      </w:r>
    </w:p>
    <w:p w14:paraId="4812D5DC" w14:textId="343E48F4" w:rsidR="00846AE0" w:rsidRPr="00624D0D" w:rsidRDefault="005D1085" w:rsidP="00846AE0">
      <w:r w:rsidRPr="005D1085">
        <w:t xml:space="preserve">Notre méthodologie repose sur l'utilisation de modèles de classification de graphes appliqués aux </w:t>
      </w:r>
      <w:proofErr w:type="spellStart"/>
      <w:r w:rsidRPr="005D1085">
        <w:t>CFGs</w:t>
      </w:r>
      <w:proofErr w:type="spellEnd"/>
      <w:r w:rsidRPr="005D1085">
        <w:t xml:space="preserve"> extraits des applications Windows. </w:t>
      </w:r>
      <w:r w:rsidR="00846AE0">
        <w:t>Elle</w:t>
      </w:r>
      <w:r w:rsidR="00846AE0" w:rsidRPr="00624D0D">
        <w:t xml:space="preserve"> repose sur une représentation des applications Windows sous forme de graphes de flux de contrôle (CFG). Les nœuds de ces graphes représentent les instructions assembleur, tandis que les arêtes indiquent les transitions possibles entre ces instructions. L'approche comprend les étapes suivantes :</w:t>
      </w:r>
    </w:p>
    <w:p w14:paraId="15A332B0" w14:textId="77777777" w:rsidR="00846AE0" w:rsidRPr="00624D0D" w:rsidRDefault="00846AE0" w:rsidP="00846AE0">
      <w:pPr>
        <w:numPr>
          <w:ilvl w:val="0"/>
          <w:numId w:val="6"/>
        </w:numPr>
      </w:pPr>
      <w:r w:rsidRPr="00624D0D">
        <w:rPr>
          <w:b/>
          <w:bCs/>
        </w:rPr>
        <w:t xml:space="preserve">Extraction des </w:t>
      </w:r>
      <w:proofErr w:type="spellStart"/>
      <w:r w:rsidRPr="00624D0D">
        <w:rPr>
          <w:b/>
          <w:bCs/>
        </w:rPr>
        <w:t>CFGs</w:t>
      </w:r>
      <w:proofErr w:type="spellEnd"/>
      <w:r w:rsidRPr="00624D0D">
        <w:t xml:space="preserve"> : Les applications sont analysées pour extraire leurs </w:t>
      </w:r>
      <w:proofErr w:type="spellStart"/>
      <w:r w:rsidRPr="00624D0D">
        <w:t>CFGs</w:t>
      </w:r>
      <w:proofErr w:type="spellEnd"/>
      <w:r w:rsidRPr="00624D0D">
        <w:t>, en identifiant les fonctions et les blocs de base constitués d'instructions assembleur.</w:t>
      </w:r>
    </w:p>
    <w:p w14:paraId="30DC54A4" w14:textId="77777777" w:rsidR="00846AE0" w:rsidRPr="00624D0D" w:rsidRDefault="00846AE0" w:rsidP="00846AE0">
      <w:pPr>
        <w:numPr>
          <w:ilvl w:val="0"/>
          <w:numId w:val="6"/>
        </w:numPr>
      </w:pPr>
      <w:r w:rsidRPr="00624D0D">
        <w:rPr>
          <w:b/>
          <w:bCs/>
        </w:rPr>
        <w:t xml:space="preserve">Classification des </w:t>
      </w:r>
      <w:proofErr w:type="spellStart"/>
      <w:r w:rsidRPr="00624D0D">
        <w:rPr>
          <w:b/>
          <w:bCs/>
        </w:rPr>
        <w:t>CFGs</w:t>
      </w:r>
      <w:proofErr w:type="spellEnd"/>
      <w:r w:rsidRPr="00624D0D">
        <w:t xml:space="preserve"> : Un modèle d'apprentissage est entraîné sur ces graphes pour détecter des comportements potentiellement malveillants.</w:t>
      </w:r>
    </w:p>
    <w:p w14:paraId="0FA7F518" w14:textId="77777777" w:rsidR="00846AE0" w:rsidRPr="00624D0D" w:rsidRDefault="00846AE0" w:rsidP="00846AE0">
      <w:pPr>
        <w:numPr>
          <w:ilvl w:val="0"/>
          <w:numId w:val="6"/>
        </w:numPr>
      </w:pPr>
      <w:r w:rsidRPr="00624D0D">
        <w:rPr>
          <w:b/>
          <w:bCs/>
        </w:rPr>
        <w:t>Explicabilité</w:t>
      </w:r>
      <w:r w:rsidRPr="00624D0D">
        <w:t xml:space="preserve"> : Les décisions du modèle sont expliquées en identifiant les parties du graphe qui contribuent le plus à la classification.</w:t>
      </w:r>
    </w:p>
    <w:p w14:paraId="3661269B" w14:textId="39724135" w:rsidR="00846AE0" w:rsidRDefault="00846AE0" w:rsidP="005D1085"/>
    <w:p w14:paraId="2FF51B70" w14:textId="6433E83C" w:rsidR="005D1085" w:rsidRPr="005D1085" w:rsidRDefault="005D1085" w:rsidP="005D1085">
      <w:r w:rsidRPr="005D1085">
        <w:t>Pour améliorer l’interprétabilité de ces modèles, nous appliquons différentes méthodes d’explicabilité :</w:t>
      </w:r>
    </w:p>
    <w:p w14:paraId="692A71C0" w14:textId="77777777" w:rsidR="005D1085" w:rsidRPr="005D1085" w:rsidRDefault="005D1085" w:rsidP="005D1085">
      <w:pPr>
        <w:rPr>
          <w:b/>
          <w:bCs/>
        </w:rPr>
      </w:pPr>
      <w:r w:rsidRPr="005D1085">
        <w:rPr>
          <w:b/>
          <w:bCs/>
        </w:rPr>
        <w:t>Méthodes locales</w:t>
      </w:r>
    </w:p>
    <w:p w14:paraId="1C5AB954" w14:textId="77777777" w:rsidR="005D1085" w:rsidRPr="005D1085" w:rsidRDefault="005D1085" w:rsidP="005D1085">
      <w:pPr>
        <w:numPr>
          <w:ilvl w:val="0"/>
          <w:numId w:val="2"/>
        </w:numPr>
      </w:pPr>
      <w:r w:rsidRPr="005D1085">
        <w:rPr>
          <w:b/>
          <w:bCs/>
        </w:rPr>
        <w:lastRenderedPageBreak/>
        <w:t xml:space="preserve">LIME (Local </w:t>
      </w:r>
      <w:proofErr w:type="spellStart"/>
      <w:r w:rsidRPr="005D1085">
        <w:rPr>
          <w:b/>
          <w:bCs/>
        </w:rPr>
        <w:t>Interpretable</w:t>
      </w:r>
      <w:proofErr w:type="spellEnd"/>
      <w:r w:rsidRPr="005D1085">
        <w:rPr>
          <w:b/>
          <w:bCs/>
        </w:rPr>
        <w:t xml:space="preserve"> Model-</w:t>
      </w:r>
      <w:proofErr w:type="spellStart"/>
      <w:r w:rsidRPr="005D1085">
        <w:rPr>
          <w:b/>
          <w:bCs/>
        </w:rPr>
        <w:t>agnostic</w:t>
      </w:r>
      <w:proofErr w:type="spellEnd"/>
      <w:r w:rsidRPr="005D1085">
        <w:rPr>
          <w:b/>
          <w:bCs/>
        </w:rPr>
        <w:t xml:space="preserve"> </w:t>
      </w:r>
      <w:proofErr w:type="spellStart"/>
      <w:r w:rsidRPr="005D1085">
        <w:rPr>
          <w:b/>
          <w:bCs/>
        </w:rPr>
        <w:t>Explanations</w:t>
      </w:r>
      <w:proofErr w:type="spellEnd"/>
      <w:r w:rsidRPr="005D1085">
        <w:rPr>
          <w:b/>
          <w:bCs/>
        </w:rPr>
        <w:t>)</w:t>
      </w:r>
      <w:r w:rsidRPr="005D1085">
        <w:t xml:space="preserve"> : Perturbe les données d’entrée et mesure l’impact sur la sortie pour construire un modèle interprétable localement.</w:t>
      </w:r>
    </w:p>
    <w:p w14:paraId="5F84988A" w14:textId="77777777" w:rsidR="005D1085" w:rsidRPr="005D1085" w:rsidRDefault="005D1085" w:rsidP="005D1085">
      <w:pPr>
        <w:numPr>
          <w:ilvl w:val="0"/>
          <w:numId w:val="2"/>
        </w:numPr>
      </w:pPr>
      <w:r w:rsidRPr="005D1085">
        <w:rPr>
          <w:b/>
          <w:bCs/>
        </w:rPr>
        <w:t>SHAP (</w:t>
      </w:r>
      <w:proofErr w:type="spellStart"/>
      <w:r w:rsidRPr="005D1085">
        <w:rPr>
          <w:b/>
          <w:bCs/>
        </w:rPr>
        <w:t>SHapley</w:t>
      </w:r>
      <w:proofErr w:type="spellEnd"/>
      <w:r w:rsidRPr="005D1085">
        <w:rPr>
          <w:b/>
          <w:bCs/>
        </w:rPr>
        <w:t xml:space="preserve"> Additive </w:t>
      </w:r>
      <w:proofErr w:type="spellStart"/>
      <w:r w:rsidRPr="005D1085">
        <w:rPr>
          <w:b/>
          <w:bCs/>
        </w:rPr>
        <w:t>exPlanations</w:t>
      </w:r>
      <w:proofErr w:type="spellEnd"/>
      <w:r w:rsidRPr="005D1085">
        <w:rPr>
          <w:b/>
          <w:bCs/>
        </w:rPr>
        <w:t>)</w:t>
      </w:r>
      <w:r w:rsidRPr="005D1085">
        <w:t xml:space="preserve"> : Basé sur la théorie des valeurs de Shapley, il calcule l’importance de chaque </w:t>
      </w:r>
      <w:proofErr w:type="spellStart"/>
      <w:r w:rsidRPr="005D1085">
        <w:t>feature</w:t>
      </w:r>
      <w:proofErr w:type="spellEnd"/>
      <w:r w:rsidRPr="005D1085">
        <w:t xml:space="preserve"> en attribuant un score d’explication.</w:t>
      </w:r>
    </w:p>
    <w:p w14:paraId="7CDCDBD7" w14:textId="77777777" w:rsidR="005D1085" w:rsidRPr="005D1085" w:rsidRDefault="005D1085" w:rsidP="005D1085">
      <w:pPr>
        <w:rPr>
          <w:b/>
          <w:bCs/>
        </w:rPr>
      </w:pPr>
      <w:r w:rsidRPr="005D1085">
        <w:rPr>
          <w:b/>
          <w:bCs/>
        </w:rPr>
        <w:t>Méthodes globales</w:t>
      </w:r>
    </w:p>
    <w:p w14:paraId="3FEAD505" w14:textId="77777777" w:rsidR="005D1085" w:rsidRPr="005D1085" w:rsidRDefault="005D1085" w:rsidP="005D1085">
      <w:pPr>
        <w:numPr>
          <w:ilvl w:val="0"/>
          <w:numId w:val="3"/>
        </w:numPr>
      </w:pPr>
      <w:proofErr w:type="spellStart"/>
      <w:r w:rsidRPr="005D1085">
        <w:rPr>
          <w:b/>
          <w:bCs/>
        </w:rPr>
        <w:t>TreeExplainer</w:t>
      </w:r>
      <w:proofErr w:type="spellEnd"/>
      <w:r w:rsidRPr="005D1085">
        <w:t xml:space="preserve"> (pour les modèles basés sur des arbres) : Permet une interprétation globale des modèles en évaluant l’importance moyenne des </w:t>
      </w:r>
      <w:proofErr w:type="spellStart"/>
      <w:r w:rsidRPr="005D1085">
        <w:t>features</w:t>
      </w:r>
      <w:proofErr w:type="spellEnd"/>
      <w:r w:rsidRPr="005D1085">
        <w:t xml:space="preserve"> sur l’ensemble des prédictions.</w:t>
      </w:r>
    </w:p>
    <w:p w14:paraId="2EFAFBDB" w14:textId="77777777" w:rsidR="005D1085" w:rsidRPr="005D1085" w:rsidRDefault="005D1085" w:rsidP="005D1085">
      <w:pPr>
        <w:numPr>
          <w:ilvl w:val="0"/>
          <w:numId w:val="3"/>
        </w:numPr>
      </w:pPr>
      <w:proofErr w:type="spellStart"/>
      <w:r w:rsidRPr="005D1085">
        <w:rPr>
          <w:b/>
          <w:bCs/>
        </w:rPr>
        <w:t>Grad</w:t>
      </w:r>
      <w:proofErr w:type="spellEnd"/>
      <w:r w:rsidRPr="005D1085">
        <w:rPr>
          <w:b/>
          <w:bCs/>
        </w:rPr>
        <w:t>-CAM</w:t>
      </w:r>
      <w:r w:rsidRPr="005D1085">
        <w:t xml:space="preserve"> (Gradient-</w:t>
      </w:r>
      <w:proofErr w:type="spellStart"/>
      <w:r w:rsidRPr="005D1085">
        <w:t>weighted</w:t>
      </w:r>
      <w:proofErr w:type="spellEnd"/>
      <w:r w:rsidRPr="005D1085">
        <w:t xml:space="preserve"> Class Activation Mapping) : Utilisé principalement pour les réseaux de neurones convolutifs, mais adaptable aux modèles de classification de graphes pour visualiser les parties importantes du graphe.</w:t>
      </w:r>
    </w:p>
    <w:p w14:paraId="6D9CCEA2" w14:textId="77777777" w:rsidR="005D1085" w:rsidRPr="005D1085" w:rsidRDefault="005D1085" w:rsidP="005D1085">
      <w:pPr>
        <w:rPr>
          <w:b/>
          <w:bCs/>
        </w:rPr>
      </w:pPr>
      <w:r w:rsidRPr="005D1085">
        <w:rPr>
          <w:b/>
          <w:bCs/>
        </w:rPr>
        <w:t>Intégration dans notre approche</w:t>
      </w:r>
    </w:p>
    <w:p w14:paraId="33B00108" w14:textId="77777777" w:rsidR="005D1085" w:rsidRPr="005D1085" w:rsidRDefault="005D1085" w:rsidP="005D1085">
      <w:r w:rsidRPr="005D1085">
        <w:t xml:space="preserve">Les méthodes d’explicabilité sont intégrées au processus de classification des </w:t>
      </w:r>
      <w:proofErr w:type="spellStart"/>
      <w:r w:rsidRPr="005D1085">
        <w:t>CFGs</w:t>
      </w:r>
      <w:proofErr w:type="spellEnd"/>
      <w:r w:rsidRPr="005D1085">
        <w:t xml:space="preserve"> pour fournir des explications compréhensibles par un humain. Les méthodes locales permettent d'expliquer des prédictions individuelles tandis que les méthodes globales fournissent une vision d'ensemble des décisions du modèle.</w:t>
      </w:r>
    </w:p>
    <w:p w14:paraId="02246434" w14:textId="77777777" w:rsidR="005D1085" w:rsidRPr="005D1085" w:rsidRDefault="005D1085" w:rsidP="005D1085">
      <w:pPr>
        <w:rPr>
          <w:b/>
          <w:bCs/>
        </w:rPr>
      </w:pPr>
      <w:r w:rsidRPr="005D1085">
        <w:rPr>
          <w:b/>
          <w:bCs/>
        </w:rPr>
        <w:t>Résultats</w:t>
      </w:r>
    </w:p>
    <w:p w14:paraId="4924DFA1" w14:textId="77777777" w:rsidR="005D1085" w:rsidRPr="005D1085" w:rsidRDefault="005D1085" w:rsidP="005D1085">
      <w:r w:rsidRPr="005D1085">
        <w:t>Nous avons évalué notre méthodologie sur un ensemble de données d’applications Windows malveillantes et bénignes. Les résultats montrent que l’utilisation combinée des méthodes locales et globales permet une compréhension plus fine des comportements malveillants détectés.</w:t>
      </w:r>
    </w:p>
    <w:p w14:paraId="26A3FAEF" w14:textId="77777777" w:rsidR="005D1085" w:rsidRPr="005D1085" w:rsidRDefault="005D1085" w:rsidP="005D1085">
      <w:pPr>
        <w:rPr>
          <w:b/>
          <w:bCs/>
        </w:rPr>
      </w:pPr>
      <w:r w:rsidRPr="005D1085">
        <w:rPr>
          <w:b/>
          <w:bCs/>
        </w:rPr>
        <w:t>Conclusion</w:t>
      </w:r>
    </w:p>
    <w:p w14:paraId="7BDE6C53" w14:textId="77777777" w:rsidR="005D1085" w:rsidRPr="005D1085" w:rsidRDefault="005D1085" w:rsidP="005D1085">
      <w:r w:rsidRPr="005D1085">
        <w:t xml:space="preserve">Cet article présente une méthodologie d’explicabilité combinant des techniques locales et globales pour améliorer l’interprétation des modèles de classification de graphes appliqués aux </w:t>
      </w:r>
      <w:proofErr w:type="spellStart"/>
      <w:r w:rsidRPr="005D1085">
        <w:t>CFGs</w:t>
      </w:r>
      <w:proofErr w:type="spellEnd"/>
      <w:r w:rsidRPr="005D1085">
        <w:t>. Cette approche permet non seulement de détecter des comportements malveillants mais aussi d’en fournir une explication compréhensible par un expert en cybersécurité.</w:t>
      </w:r>
    </w:p>
    <w:p w14:paraId="1EEEB3A0" w14:textId="77777777" w:rsidR="005D1085" w:rsidRPr="005D1085" w:rsidRDefault="005D1085" w:rsidP="005D1085">
      <w:pPr>
        <w:rPr>
          <w:b/>
          <w:bCs/>
        </w:rPr>
      </w:pPr>
      <w:r w:rsidRPr="005D1085">
        <w:rPr>
          <w:b/>
          <w:bCs/>
        </w:rPr>
        <w:t>Références</w:t>
      </w:r>
    </w:p>
    <w:p w14:paraId="466DC430" w14:textId="77777777" w:rsidR="005D1085" w:rsidRPr="005D1085" w:rsidRDefault="005D1085" w:rsidP="005D1085">
      <w:pPr>
        <w:numPr>
          <w:ilvl w:val="0"/>
          <w:numId w:val="4"/>
        </w:numPr>
        <w:rPr>
          <w:lang w:val="en-GB"/>
        </w:rPr>
      </w:pPr>
      <w:r w:rsidRPr="005D1085">
        <w:rPr>
          <w:lang w:val="en-GB"/>
        </w:rPr>
        <w:t xml:space="preserve">Ribeiro, M. T., Singh, S., &amp; </w:t>
      </w:r>
      <w:proofErr w:type="spellStart"/>
      <w:r w:rsidRPr="005D1085">
        <w:rPr>
          <w:lang w:val="en-GB"/>
        </w:rPr>
        <w:t>Guestrin</w:t>
      </w:r>
      <w:proofErr w:type="spellEnd"/>
      <w:r w:rsidRPr="005D1085">
        <w:rPr>
          <w:lang w:val="en-GB"/>
        </w:rPr>
        <w:t>, C. (2016). "Why Should I Trust You?" Explaining the Predictions of Any Classifier. Proceedings of the 22nd ACM SIGKDD International Conference on Knowledge Discovery and Data Mining.</w:t>
      </w:r>
    </w:p>
    <w:p w14:paraId="7C0C2EB7" w14:textId="77777777" w:rsidR="005D1085" w:rsidRPr="005D1085" w:rsidRDefault="005D1085" w:rsidP="005D1085">
      <w:pPr>
        <w:numPr>
          <w:ilvl w:val="0"/>
          <w:numId w:val="4"/>
        </w:numPr>
      </w:pPr>
      <w:r w:rsidRPr="005D1085">
        <w:rPr>
          <w:lang w:val="en-GB"/>
        </w:rPr>
        <w:t xml:space="preserve">Lundberg, S. M., &amp; Lee, S.-I. (2017). A Unified Approach to Interpreting Model Predictions. </w:t>
      </w:r>
      <w:proofErr w:type="spellStart"/>
      <w:r w:rsidRPr="005D1085">
        <w:t>Advances</w:t>
      </w:r>
      <w:proofErr w:type="spellEnd"/>
      <w:r w:rsidRPr="005D1085">
        <w:t xml:space="preserve"> in Neural Information </w:t>
      </w:r>
      <w:proofErr w:type="spellStart"/>
      <w:r w:rsidRPr="005D1085">
        <w:t>Processing</w:t>
      </w:r>
      <w:proofErr w:type="spellEnd"/>
      <w:r w:rsidRPr="005D1085">
        <w:t xml:space="preserve"> </w:t>
      </w:r>
      <w:proofErr w:type="spellStart"/>
      <w:r w:rsidRPr="005D1085">
        <w:t>Systems</w:t>
      </w:r>
      <w:proofErr w:type="spellEnd"/>
      <w:r w:rsidRPr="005D1085">
        <w:t>.</w:t>
      </w:r>
    </w:p>
    <w:p w14:paraId="7A69150B" w14:textId="6E62AFFB" w:rsidR="007F1AAC" w:rsidRDefault="005D1085" w:rsidP="005D1085">
      <w:pPr>
        <w:numPr>
          <w:ilvl w:val="0"/>
          <w:numId w:val="4"/>
        </w:numPr>
      </w:pPr>
      <w:r w:rsidRPr="005D1085">
        <w:lastRenderedPageBreak/>
        <w:t xml:space="preserve">Selvaraju, R. R., et al. </w:t>
      </w:r>
      <w:r w:rsidRPr="005D1085">
        <w:rPr>
          <w:lang w:val="en-GB"/>
        </w:rPr>
        <w:t xml:space="preserve">(2017). Grad-CAM: Visual Explanations from Deep Networks via Gradient-based Localization. </w:t>
      </w:r>
      <w:r w:rsidRPr="005D1085">
        <w:t xml:space="preserve">IEEE International </w:t>
      </w:r>
      <w:proofErr w:type="spellStart"/>
      <w:r w:rsidRPr="005D1085">
        <w:t>Conference</w:t>
      </w:r>
      <w:proofErr w:type="spellEnd"/>
      <w:r w:rsidRPr="005D1085">
        <w:t xml:space="preserve"> on Computer Vision.</w:t>
      </w:r>
    </w:p>
    <w:sectPr w:rsidR="007F1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4ED8"/>
    <w:multiLevelType w:val="multilevel"/>
    <w:tmpl w:val="DCE0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7138"/>
    <w:multiLevelType w:val="multilevel"/>
    <w:tmpl w:val="7C9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646B2"/>
    <w:multiLevelType w:val="multilevel"/>
    <w:tmpl w:val="DCE0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8218F"/>
    <w:multiLevelType w:val="multilevel"/>
    <w:tmpl w:val="217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33D8B"/>
    <w:multiLevelType w:val="multilevel"/>
    <w:tmpl w:val="72C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96F7B"/>
    <w:multiLevelType w:val="multilevel"/>
    <w:tmpl w:val="178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38202">
    <w:abstractNumId w:val="0"/>
  </w:num>
  <w:num w:numId="2" w16cid:durableId="522940515">
    <w:abstractNumId w:val="3"/>
  </w:num>
  <w:num w:numId="3" w16cid:durableId="949774046">
    <w:abstractNumId w:val="4"/>
  </w:num>
  <w:num w:numId="4" w16cid:durableId="634212897">
    <w:abstractNumId w:val="1"/>
  </w:num>
  <w:num w:numId="5" w16cid:durableId="525679293">
    <w:abstractNumId w:val="5"/>
  </w:num>
  <w:num w:numId="6" w16cid:durableId="1743985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0D"/>
    <w:rsid w:val="004A461D"/>
    <w:rsid w:val="005C768E"/>
    <w:rsid w:val="005D1085"/>
    <w:rsid w:val="00624D0D"/>
    <w:rsid w:val="007F1AAC"/>
    <w:rsid w:val="00846AE0"/>
    <w:rsid w:val="00CC6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5E7A"/>
  <w15:chartTrackingRefBased/>
  <w15:docId w15:val="{3CCB7C6B-20D2-4A1A-990A-92B044B6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AE0"/>
  </w:style>
  <w:style w:type="paragraph" w:styleId="Heading1">
    <w:name w:val="heading 1"/>
    <w:basedOn w:val="Normal"/>
    <w:next w:val="Normal"/>
    <w:link w:val="Heading1Char"/>
    <w:uiPriority w:val="9"/>
    <w:qFormat/>
    <w:rsid w:val="0062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D0D"/>
    <w:rPr>
      <w:rFonts w:eastAsiaTheme="majorEastAsia" w:cstheme="majorBidi"/>
      <w:color w:val="272727" w:themeColor="text1" w:themeTint="D8"/>
    </w:rPr>
  </w:style>
  <w:style w:type="paragraph" w:styleId="Title">
    <w:name w:val="Title"/>
    <w:basedOn w:val="Normal"/>
    <w:next w:val="Normal"/>
    <w:link w:val="TitleChar"/>
    <w:uiPriority w:val="10"/>
    <w:qFormat/>
    <w:rsid w:val="0062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D0D"/>
    <w:pPr>
      <w:spacing w:before="160"/>
      <w:jc w:val="center"/>
    </w:pPr>
    <w:rPr>
      <w:i/>
      <w:iCs/>
      <w:color w:val="404040" w:themeColor="text1" w:themeTint="BF"/>
    </w:rPr>
  </w:style>
  <w:style w:type="character" w:customStyle="1" w:styleId="QuoteChar">
    <w:name w:val="Quote Char"/>
    <w:basedOn w:val="DefaultParagraphFont"/>
    <w:link w:val="Quote"/>
    <w:uiPriority w:val="29"/>
    <w:rsid w:val="00624D0D"/>
    <w:rPr>
      <w:i/>
      <w:iCs/>
      <w:color w:val="404040" w:themeColor="text1" w:themeTint="BF"/>
    </w:rPr>
  </w:style>
  <w:style w:type="paragraph" w:styleId="ListParagraph">
    <w:name w:val="List Paragraph"/>
    <w:basedOn w:val="Normal"/>
    <w:uiPriority w:val="34"/>
    <w:qFormat/>
    <w:rsid w:val="00624D0D"/>
    <w:pPr>
      <w:ind w:left="720"/>
      <w:contextualSpacing/>
    </w:pPr>
  </w:style>
  <w:style w:type="character" w:styleId="IntenseEmphasis">
    <w:name w:val="Intense Emphasis"/>
    <w:basedOn w:val="DefaultParagraphFont"/>
    <w:uiPriority w:val="21"/>
    <w:qFormat/>
    <w:rsid w:val="00624D0D"/>
    <w:rPr>
      <w:i/>
      <w:iCs/>
      <w:color w:val="0F4761" w:themeColor="accent1" w:themeShade="BF"/>
    </w:rPr>
  </w:style>
  <w:style w:type="paragraph" w:styleId="IntenseQuote">
    <w:name w:val="Intense Quote"/>
    <w:basedOn w:val="Normal"/>
    <w:next w:val="Normal"/>
    <w:link w:val="IntenseQuoteChar"/>
    <w:uiPriority w:val="30"/>
    <w:qFormat/>
    <w:rsid w:val="0062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D0D"/>
    <w:rPr>
      <w:i/>
      <w:iCs/>
      <w:color w:val="0F4761" w:themeColor="accent1" w:themeShade="BF"/>
    </w:rPr>
  </w:style>
  <w:style w:type="character" w:styleId="IntenseReference">
    <w:name w:val="Intense Reference"/>
    <w:basedOn w:val="DefaultParagraphFont"/>
    <w:uiPriority w:val="32"/>
    <w:qFormat/>
    <w:rsid w:val="00624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32125">
      <w:bodyDiv w:val="1"/>
      <w:marLeft w:val="0"/>
      <w:marRight w:val="0"/>
      <w:marTop w:val="0"/>
      <w:marBottom w:val="0"/>
      <w:divBdr>
        <w:top w:val="none" w:sz="0" w:space="0" w:color="auto"/>
        <w:left w:val="none" w:sz="0" w:space="0" w:color="auto"/>
        <w:bottom w:val="none" w:sz="0" w:space="0" w:color="auto"/>
        <w:right w:val="none" w:sz="0" w:space="0" w:color="auto"/>
      </w:divBdr>
    </w:div>
    <w:div w:id="349918378">
      <w:bodyDiv w:val="1"/>
      <w:marLeft w:val="0"/>
      <w:marRight w:val="0"/>
      <w:marTop w:val="0"/>
      <w:marBottom w:val="0"/>
      <w:divBdr>
        <w:top w:val="none" w:sz="0" w:space="0" w:color="auto"/>
        <w:left w:val="none" w:sz="0" w:space="0" w:color="auto"/>
        <w:bottom w:val="none" w:sz="0" w:space="0" w:color="auto"/>
        <w:right w:val="none" w:sz="0" w:space="0" w:color="auto"/>
      </w:divBdr>
    </w:div>
    <w:div w:id="706099559">
      <w:bodyDiv w:val="1"/>
      <w:marLeft w:val="0"/>
      <w:marRight w:val="0"/>
      <w:marTop w:val="0"/>
      <w:marBottom w:val="0"/>
      <w:divBdr>
        <w:top w:val="none" w:sz="0" w:space="0" w:color="auto"/>
        <w:left w:val="none" w:sz="0" w:space="0" w:color="auto"/>
        <w:bottom w:val="none" w:sz="0" w:space="0" w:color="auto"/>
        <w:right w:val="none" w:sz="0" w:space="0" w:color="auto"/>
      </w:divBdr>
    </w:div>
    <w:div w:id="1424641691">
      <w:bodyDiv w:val="1"/>
      <w:marLeft w:val="0"/>
      <w:marRight w:val="0"/>
      <w:marTop w:val="0"/>
      <w:marBottom w:val="0"/>
      <w:divBdr>
        <w:top w:val="none" w:sz="0" w:space="0" w:color="auto"/>
        <w:left w:val="none" w:sz="0" w:space="0" w:color="auto"/>
        <w:bottom w:val="none" w:sz="0" w:space="0" w:color="auto"/>
        <w:right w:val="none" w:sz="0" w:space="0" w:color="auto"/>
      </w:divBdr>
    </w:div>
    <w:div w:id="1431705787">
      <w:bodyDiv w:val="1"/>
      <w:marLeft w:val="0"/>
      <w:marRight w:val="0"/>
      <w:marTop w:val="0"/>
      <w:marBottom w:val="0"/>
      <w:divBdr>
        <w:top w:val="none" w:sz="0" w:space="0" w:color="auto"/>
        <w:left w:val="none" w:sz="0" w:space="0" w:color="auto"/>
        <w:bottom w:val="none" w:sz="0" w:space="0" w:color="auto"/>
        <w:right w:val="none" w:sz="0" w:space="0" w:color="auto"/>
      </w:divBdr>
    </w:div>
    <w:div w:id="21256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3</Pages>
  <Words>690</Words>
  <Characters>3801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Guobi (Nokia)</dc:creator>
  <cp:keywords/>
  <dc:description/>
  <cp:lastModifiedBy>Said Guobi (Nokia)</cp:lastModifiedBy>
  <cp:revision>4</cp:revision>
  <dcterms:created xsi:type="dcterms:W3CDTF">2025-04-04T07:02:00Z</dcterms:created>
  <dcterms:modified xsi:type="dcterms:W3CDTF">2025-04-05T10:10:00Z</dcterms:modified>
</cp:coreProperties>
</file>