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9E" w:rsidRDefault="00E00607">
      <w:pPr>
        <w:rPr>
          <w:rFonts w:ascii="Times New Roman" w:hAnsi="Times New Roman" w:cs="Times New Roman"/>
          <w:b/>
          <w:sz w:val="32"/>
          <w:lang w:val="en-US"/>
        </w:rPr>
      </w:pPr>
      <w:proofErr w:type="gramStart"/>
      <w:r w:rsidRPr="00E00607">
        <w:rPr>
          <w:rFonts w:ascii="Times New Roman" w:hAnsi="Times New Roman" w:cs="Times New Roman"/>
          <w:b/>
          <w:sz w:val="32"/>
          <w:lang w:val="en-US"/>
        </w:rPr>
        <w:t xml:space="preserve">Release and dispersal of </w:t>
      </w:r>
      <w:proofErr w:type="spellStart"/>
      <w:r w:rsidRPr="00E00607">
        <w:rPr>
          <w:rFonts w:ascii="Times New Roman" w:hAnsi="Times New Roman" w:cs="Times New Roman"/>
          <w:b/>
          <w:i/>
          <w:sz w:val="32"/>
          <w:lang w:val="en-US"/>
        </w:rPr>
        <w:t>Colletotrichum</w:t>
      </w:r>
      <w:proofErr w:type="spellEnd"/>
      <w:r w:rsidRPr="00E00607">
        <w:rPr>
          <w:rFonts w:ascii="Times New Roman" w:hAnsi="Times New Roman" w:cs="Times New Roman"/>
          <w:b/>
          <w:i/>
          <w:sz w:val="32"/>
          <w:lang w:val="en-US"/>
        </w:rPr>
        <w:t xml:space="preserve"> gloeosporioides</w:t>
      </w:r>
      <w:r w:rsidRPr="00E00607">
        <w:rPr>
          <w:rFonts w:ascii="Times New Roman" w:hAnsi="Times New Roman" w:cs="Times New Roman"/>
          <w:b/>
          <w:sz w:val="32"/>
          <w:lang w:val="en-US"/>
        </w:rPr>
        <w:t xml:space="preserve"> conidia infecting </w:t>
      </w:r>
      <w:proofErr w:type="spellStart"/>
      <w:r w:rsidRPr="00E00607">
        <w:rPr>
          <w:rFonts w:ascii="Times New Roman" w:hAnsi="Times New Roman" w:cs="Times New Roman"/>
          <w:b/>
          <w:i/>
          <w:sz w:val="32"/>
          <w:lang w:val="en-US"/>
        </w:rPr>
        <w:t>Dioscorea</w:t>
      </w:r>
      <w:proofErr w:type="spellEnd"/>
      <w:r w:rsidRPr="00E00607">
        <w:rPr>
          <w:rFonts w:ascii="Times New Roman" w:hAnsi="Times New Roman" w:cs="Times New Roman"/>
          <w:b/>
          <w:i/>
          <w:sz w:val="32"/>
          <w:lang w:val="en-US"/>
        </w:rPr>
        <w:t xml:space="preserve"> </w:t>
      </w:r>
      <w:proofErr w:type="spellStart"/>
      <w:r w:rsidRPr="00E00607">
        <w:rPr>
          <w:rFonts w:ascii="Times New Roman" w:hAnsi="Times New Roman" w:cs="Times New Roman"/>
          <w:b/>
          <w:i/>
          <w:sz w:val="32"/>
          <w:lang w:val="en-US"/>
        </w:rPr>
        <w:t>alata</w:t>
      </w:r>
      <w:proofErr w:type="spellEnd"/>
      <w:r w:rsidRPr="00E00607">
        <w:rPr>
          <w:rFonts w:ascii="Times New Roman" w:hAnsi="Times New Roman" w:cs="Times New Roman"/>
          <w:b/>
          <w:i/>
          <w:sz w:val="32"/>
          <w:lang w:val="en-US"/>
        </w:rPr>
        <w:t xml:space="preserve"> </w:t>
      </w:r>
      <w:r w:rsidRPr="00E00607">
        <w:rPr>
          <w:rFonts w:ascii="Times New Roman" w:hAnsi="Times New Roman" w:cs="Times New Roman"/>
          <w:b/>
          <w:sz w:val="32"/>
          <w:lang w:val="en-US"/>
        </w:rPr>
        <w:t>yam leaves under simulated rain drops.</w:t>
      </w:r>
      <w:proofErr w:type="gramEnd"/>
    </w:p>
    <w:p w:rsidR="00E00607" w:rsidRDefault="00E00607">
      <w:pPr>
        <w:rPr>
          <w:rFonts w:ascii="Times New Roman" w:hAnsi="Times New Roman" w:cs="Times New Roman"/>
          <w:b/>
          <w:sz w:val="32"/>
          <w:lang w:val="en-US"/>
        </w:rPr>
      </w:pPr>
    </w:p>
    <w:p w:rsidR="00E00607" w:rsidRDefault="00E00607">
      <w:pPr>
        <w:rPr>
          <w:rFonts w:ascii="Times New Roman" w:hAnsi="Times New Roman" w:cs="Times New Roman"/>
          <w:b/>
          <w:sz w:val="24"/>
          <w:lang w:val="en-US"/>
        </w:rPr>
      </w:pPr>
      <w:r w:rsidRPr="00E00607">
        <w:rPr>
          <w:rFonts w:ascii="Times New Roman" w:hAnsi="Times New Roman" w:cs="Times New Roman"/>
          <w:b/>
          <w:sz w:val="24"/>
          <w:lang w:val="en-US"/>
        </w:rPr>
        <w:t xml:space="preserve">Intro / </w:t>
      </w:r>
      <w:proofErr w:type="spellStart"/>
      <w:proofErr w:type="gramStart"/>
      <w:r w:rsidRPr="00E00607">
        <w:rPr>
          <w:rFonts w:ascii="Times New Roman" w:hAnsi="Times New Roman" w:cs="Times New Roman"/>
          <w:b/>
          <w:sz w:val="24"/>
          <w:lang w:val="en-US"/>
        </w:rPr>
        <w:t>argumentaire</w:t>
      </w:r>
      <w:proofErr w:type="spellEnd"/>
      <w:r w:rsidRPr="00E00607"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E00607" w:rsidRPr="00E00607" w:rsidRDefault="00E00607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00607">
        <w:rPr>
          <w:rFonts w:ascii="Times New Roman" w:hAnsi="Times New Roman" w:cs="Times New Roman"/>
          <w:sz w:val="24"/>
        </w:rPr>
        <w:t>Connaître les échelles de dispersion des spores (temps et espace) est une étape clé pour la modélisation</w:t>
      </w:r>
    </w:p>
    <w:p w:rsidR="00E00607" w:rsidRDefault="00E00607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nombreux travaux ont été faits pour de multiples </w:t>
      </w:r>
      <w:proofErr w:type="spellStart"/>
      <w:r>
        <w:rPr>
          <w:rFonts w:ascii="Times New Roman" w:hAnsi="Times New Roman" w:cs="Times New Roman"/>
          <w:sz w:val="24"/>
        </w:rPr>
        <w:t>pathosystèmes</w:t>
      </w:r>
      <w:proofErr w:type="spellEnd"/>
    </w:p>
    <w:p w:rsidR="00E00607" w:rsidRDefault="00E00607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 travaux ont été menés sur </w:t>
      </w:r>
      <w:proofErr w:type="spellStart"/>
      <w:r>
        <w:rPr>
          <w:rFonts w:ascii="Times New Roman" w:hAnsi="Times New Roman" w:cs="Times New Roman"/>
          <w:i/>
          <w:sz w:val="24"/>
        </w:rPr>
        <w:t>Colletotrichum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gloeosporioides</w:t>
      </w:r>
      <w:r>
        <w:rPr>
          <w:rFonts w:ascii="Times New Roman" w:hAnsi="Times New Roman" w:cs="Times New Roman"/>
          <w:sz w:val="24"/>
        </w:rPr>
        <w:t xml:space="preserve"> mais sur d’autres hôtes, rien sur l’anthracnose de l’igname</w:t>
      </w:r>
    </w:p>
    <w:p w:rsidR="00E00607" w:rsidRPr="00E00607" w:rsidRDefault="00E00607" w:rsidP="00E00607">
      <w:pPr>
        <w:rPr>
          <w:rFonts w:ascii="Times New Roman" w:hAnsi="Times New Roman" w:cs="Times New Roman"/>
          <w:b/>
          <w:sz w:val="24"/>
        </w:rPr>
      </w:pPr>
      <w:r w:rsidRPr="00E00607">
        <w:rPr>
          <w:rFonts w:ascii="Times New Roman" w:hAnsi="Times New Roman" w:cs="Times New Roman"/>
          <w:b/>
          <w:sz w:val="24"/>
        </w:rPr>
        <w:t>Matériels et méthodes :</w:t>
      </w:r>
    </w:p>
    <w:p w:rsidR="00E00607" w:rsidRDefault="00E00607" w:rsidP="00E006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Deux types de manips ont été </w:t>
      </w:r>
      <w:proofErr w:type="gramStart"/>
      <w:r>
        <w:rPr>
          <w:rFonts w:ascii="Times New Roman" w:hAnsi="Times New Roman" w:cs="Times New Roman"/>
          <w:sz w:val="24"/>
        </w:rPr>
        <w:t>effectuées</w:t>
      </w:r>
      <w:proofErr w:type="gramEnd"/>
    </w:p>
    <w:p w:rsidR="00E00607" w:rsidRDefault="00E00607" w:rsidP="00E006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Inoculation de feuilles (variété </w:t>
      </w:r>
      <w:proofErr w:type="spellStart"/>
      <w:r>
        <w:rPr>
          <w:rFonts w:ascii="Times New Roman" w:hAnsi="Times New Roman" w:cs="Times New Roman"/>
          <w:sz w:val="24"/>
        </w:rPr>
        <w:t>Kabusah</w:t>
      </w:r>
      <w:proofErr w:type="spellEnd"/>
      <w:r>
        <w:rPr>
          <w:rFonts w:ascii="Times New Roman" w:hAnsi="Times New Roman" w:cs="Times New Roman"/>
          <w:sz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</w:rPr>
        <w:t>Plimbite</w:t>
      </w:r>
      <w:proofErr w:type="spellEnd"/>
      <w:r>
        <w:rPr>
          <w:rFonts w:ascii="Times New Roman" w:hAnsi="Times New Roman" w:cs="Times New Roman"/>
          <w:sz w:val="24"/>
        </w:rPr>
        <w:t>, même sensibilité aux souches utilisées)</w:t>
      </w:r>
    </w:p>
    <w:p w:rsidR="00E00607" w:rsidRPr="00E00607" w:rsidRDefault="00E00607" w:rsidP="00E00607">
      <w:pPr>
        <w:rPr>
          <w:rFonts w:ascii="Times New Roman" w:hAnsi="Times New Roman" w:cs="Times New Roman"/>
          <w:i/>
          <w:sz w:val="24"/>
        </w:rPr>
      </w:pPr>
      <w:r w:rsidRPr="00E00607">
        <w:rPr>
          <w:rFonts w:ascii="Times New Roman" w:hAnsi="Times New Roman" w:cs="Times New Roman"/>
          <w:i/>
          <w:sz w:val="24"/>
        </w:rPr>
        <w:t>Cinétique d’épuisement de la source :</w:t>
      </w:r>
    </w:p>
    <w:p w:rsidR="00E00607" w:rsidRDefault="00E00607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Inoculation par goutte de suspension de spores, obtention de nécroses circulaires après incubation</w:t>
      </w:r>
    </w:p>
    <w:p w:rsidR="00E00607" w:rsidRDefault="00E00607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nécroses sont découpées à l’aide d’un emporte pièce</w:t>
      </w:r>
    </w:p>
    <w:p w:rsidR="00BB32F2" w:rsidRPr="00BB32F2" w:rsidRDefault="00E00607" w:rsidP="00BB32F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nécroses sont placées sous un générateur de gouttes (mélange eau + bleu coton), les gouttes tombant de 7m de haut avec faible vélocité initiale</w:t>
      </w:r>
    </w:p>
    <w:p w:rsidR="00E00607" w:rsidRDefault="00E00607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gouttelettes </w:t>
      </w:r>
      <w:proofErr w:type="spellStart"/>
      <w:r>
        <w:rPr>
          <w:rFonts w:ascii="Times New Roman" w:hAnsi="Times New Roman" w:cs="Times New Roman"/>
          <w:sz w:val="24"/>
        </w:rPr>
        <w:t>splashées</w:t>
      </w:r>
      <w:proofErr w:type="spellEnd"/>
      <w:r>
        <w:rPr>
          <w:rFonts w:ascii="Times New Roman" w:hAnsi="Times New Roman" w:cs="Times New Roman"/>
          <w:sz w:val="24"/>
        </w:rPr>
        <w:t xml:space="preserve"> sont récupérées sur des lames situées de part et d’autre de la nécrose, couvrant une zone entre 2.5 et 10cm (longueur de lame = 7.5 cm)</w:t>
      </w:r>
    </w:p>
    <w:p w:rsidR="00BB32F2" w:rsidRDefault="00BB32F2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Dans un premier temps, on fait tomber les gouttes une à une et on récupère les lames après chaque goutte pour estimer le nombre minimum de gouttes incidentes nécessaires pour mobiliser les premières spores </w:t>
      </w:r>
    </w:p>
    <w:p w:rsidR="00E00607" w:rsidRDefault="00BB32F2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Dans un second temps, on fait tomber des séries de 10 gouttes et on récupère les lames ayant reçu le </w:t>
      </w:r>
      <w:proofErr w:type="spellStart"/>
      <w:r>
        <w:rPr>
          <w:rFonts w:ascii="Times New Roman" w:hAnsi="Times New Roman" w:cs="Times New Roman"/>
          <w:sz w:val="24"/>
        </w:rPr>
        <w:t>splashing</w:t>
      </w:r>
      <w:proofErr w:type="spellEnd"/>
      <w:r>
        <w:rPr>
          <w:rFonts w:ascii="Times New Roman" w:hAnsi="Times New Roman" w:cs="Times New Roman"/>
          <w:sz w:val="24"/>
        </w:rPr>
        <w:t xml:space="preserve"> cumulé de 10 gouttes, pour estimer la quantité de spores </w:t>
      </w:r>
      <w:proofErr w:type="spellStart"/>
      <w:r>
        <w:rPr>
          <w:rFonts w:ascii="Times New Roman" w:hAnsi="Times New Roman" w:cs="Times New Roman"/>
          <w:sz w:val="24"/>
        </w:rPr>
        <w:t>splashées</w:t>
      </w:r>
      <w:proofErr w:type="spellEnd"/>
      <w:r>
        <w:rPr>
          <w:rFonts w:ascii="Times New Roman" w:hAnsi="Times New Roman" w:cs="Times New Roman"/>
          <w:sz w:val="24"/>
        </w:rPr>
        <w:t xml:space="preserve"> par chaque lot de 10 gouttes, jusqu’à 100 gouttes</w:t>
      </w:r>
    </w:p>
    <w:p w:rsidR="00D56BEA" w:rsidRDefault="00D56BEA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réalise 5 </w:t>
      </w:r>
      <w:proofErr w:type="spellStart"/>
      <w:r>
        <w:rPr>
          <w:rFonts w:ascii="Times New Roman" w:hAnsi="Times New Roman" w:cs="Times New Roman"/>
          <w:sz w:val="24"/>
        </w:rPr>
        <w:t>runs</w:t>
      </w:r>
      <w:proofErr w:type="spellEnd"/>
      <w:r w:rsidR="003F3A55">
        <w:rPr>
          <w:rFonts w:ascii="Times New Roman" w:hAnsi="Times New Roman" w:cs="Times New Roman"/>
          <w:sz w:val="24"/>
        </w:rPr>
        <w:t xml:space="preserve"> avec une nouvelle source à chaque fois</w:t>
      </w:r>
    </w:p>
    <w:p w:rsidR="00BB32F2" w:rsidRDefault="00BB32F2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Pour ce dernier cas, afin de comparer les </w:t>
      </w:r>
      <w:proofErr w:type="spellStart"/>
      <w:r>
        <w:rPr>
          <w:rFonts w:ascii="Times New Roman" w:hAnsi="Times New Roman" w:cs="Times New Roman"/>
          <w:sz w:val="24"/>
        </w:rPr>
        <w:t>runs</w:t>
      </w:r>
      <w:proofErr w:type="spellEnd"/>
      <w:r>
        <w:rPr>
          <w:rFonts w:ascii="Times New Roman" w:hAnsi="Times New Roman" w:cs="Times New Roman"/>
          <w:sz w:val="24"/>
        </w:rPr>
        <w:t xml:space="preserve"> entre eux, on calcul le rapport suivant pour chaque </w:t>
      </w:r>
      <w:proofErr w:type="spellStart"/>
      <w:r>
        <w:rPr>
          <w:rFonts w:ascii="Times New Roman" w:hAnsi="Times New Roman" w:cs="Times New Roman"/>
          <w:sz w:val="24"/>
        </w:rPr>
        <w:t>run</w:t>
      </w:r>
      <w:proofErr w:type="spellEnd"/>
      <w:r>
        <w:rPr>
          <w:rFonts w:ascii="Times New Roman" w:hAnsi="Times New Roman" w:cs="Times New Roman"/>
          <w:sz w:val="24"/>
        </w:rPr>
        <w:t> :</w:t>
      </w:r>
    </w:p>
    <w:p w:rsidR="00BB32F2" w:rsidRPr="00BB32F2" w:rsidRDefault="00BB32F2" w:rsidP="00BB32F2">
      <w:pPr>
        <w:ind w:left="708" w:firstLine="348"/>
        <w:rPr>
          <w:rFonts w:ascii="Times New Roman" w:hAnsi="Times New Roman" w:cs="Times New Roman"/>
          <w:sz w:val="24"/>
        </w:rPr>
      </w:pPr>
      <w:proofErr w:type="gramStart"/>
      <w:r w:rsidRPr="00BB32F2">
        <w:rPr>
          <w:rFonts w:ascii="Times New Roman" w:hAnsi="Times New Roman" w:cs="Times New Roman"/>
          <w:sz w:val="24"/>
        </w:rPr>
        <w:t>nombre</w:t>
      </w:r>
      <w:proofErr w:type="gramEnd"/>
      <w:r w:rsidRPr="00BB32F2">
        <w:rPr>
          <w:rFonts w:ascii="Times New Roman" w:hAnsi="Times New Roman" w:cs="Times New Roman"/>
          <w:sz w:val="24"/>
        </w:rPr>
        <w:t xml:space="preserve"> de spores comptées dans la série de 10 gouttes / nombre total de spores comptées à la fin du </w:t>
      </w:r>
      <w:proofErr w:type="spellStart"/>
      <w:r w:rsidRPr="00BB32F2">
        <w:rPr>
          <w:rFonts w:ascii="Times New Roman" w:hAnsi="Times New Roman" w:cs="Times New Roman"/>
          <w:sz w:val="24"/>
        </w:rPr>
        <w:t>run</w:t>
      </w:r>
      <w:proofErr w:type="spellEnd"/>
    </w:p>
    <w:p w:rsidR="00BB32F2" w:rsidRDefault="00BB32F2" w:rsidP="00E0060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analyse les données </w:t>
      </w:r>
      <w:r w:rsidR="00DF3BA8">
        <w:rPr>
          <w:rFonts w:ascii="Times New Roman" w:hAnsi="Times New Roman" w:cs="Times New Roman"/>
          <w:sz w:val="24"/>
        </w:rPr>
        <w:t xml:space="preserve">« nombre de spores » = </w:t>
      </w:r>
      <w:proofErr w:type="gramStart"/>
      <w:r w:rsidR="00DF3BA8">
        <w:rPr>
          <w:rFonts w:ascii="Times New Roman" w:hAnsi="Times New Roman" w:cs="Times New Roman"/>
          <w:sz w:val="24"/>
        </w:rPr>
        <w:t>f(</w:t>
      </w:r>
      <w:proofErr w:type="gramEnd"/>
      <w:r w:rsidR="00DF3BA8">
        <w:rPr>
          <w:rFonts w:ascii="Times New Roman" w:hAnsi="Times New Roman" w:cs="Times New Roman"/>
          <w:sz w:val="24"/>
        </w:rPr>
        <w:t xml:space="preserve">nombre de gouttes incidentes) </w:t>
      </w:r>
      <w:r>
        <w:rPr>
          <w:rFonts w:ascii="Times New Roman" w:hAnsi="Times New Roman" w:cs="Times New Roman"/>
          <w:sz w:val="24"/>
        </w:rPr>
        <w:t xml:space="preserve">par ajustement de courbes, avec les modèles de Fréchet et </w:t>
      </w:r>
      <w:proofErr w:type="spellStart"/>
      <w:r>
        <w:rPr>
          <w:rFonts w:ascii="Times New Roman" w:hAnsi="Times New Roman" w:cs="Times New Roman"/>
          <w:sz w:val="24"/>
        </w:rPr>
        <w:t>Weibull</w:t>
      </w:r>
      <w:proofErr w:type="spellEnd"/>
    </w:p>
    <w:p w:rsidR="00BB32F2" w:rsidRDefault="00BB32F2" w:rsidP="00BB32F2">
      <w:pPr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Dipersion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horizontale :</w:t>
      </w:r>
    </w:p>
    <w:p w:rsidR="00BB32F2" w:rsidRDefault="00BB32F2" w:rsidP="00BB32F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Inoculation de feuilles entières par aspersion d’une suspension de spores</w:t>
      </w:r>
    </w:p>
    <w:p w:rsidR="00BB32F2" w:rsidRDefault="00D56BEA" w:rsidP="00BB32F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Les feuilles sont découpées en petits morceaux puis placées dans une boîte de Pétri de petit diamètre (6 cm)</w:t>
      </w:r>
    </w:p>
    <w:p w:rsidR="00D56BEA" w:rsidRDefault="00D56BEA" w:rsidP="00BB32F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Juste avant passage sous simulateur de pluie, on ajoute X </w:t>
      </w:r>
      <w:proofErr w:type="spellStart"/>
      <w:r>
        <w:rPr>
          <w:rFonts w:ascii="Times New Roman" w:hAnsi="Times New Roman" w:cs="Times New Roman"/>
          <w:sz w:val="24"/>
        </w:rPr>
        <w:t>mL</w:t>
      </w:r>
      <w:proofErr w:type="spellEnd"/>
      <w:r>
        <w:rPr>
          <w:rFonts w:ascii="Times New Roman" w:hAnsi="Times New Roman" w:cs="Times New Roman"/>
          <w:sz w:val="24"/>
        </w:rPr>
        <w:t xml:space="preserve"> de mélange eau+bleu coton réparti uniformément</w:t>
      </w:r>
      <w:r w:rsidR="00F04742">
        <w:rPr>
          <w:rFonts w:ascii="Times New Roman" w:hAnsi="Times New Roman" w:cs="Times New Roman"/>
          <w:sz w:val="24"/>
        </w:rPr>
        <w:t> ; on obtient une concentration finale en spores de 2 à 6.56x10</w:t>
      </w:r>
      <w:r w:rsidR="00F04742" w:rsidRPr="00F04742">
        <w:rPr>
          <w:rFonts w:ascii="Times New Roman" w:hAnsi="Times New Roman" w:cs="Times New Roman"/>
          <w:sz w:val="24"/>
          <w:vertAlign w:val="superscript"/>
        </w:rPr>
        <w:t>6</w:t>
      </w:r>
      <w:r w:rsidR="00F04742">
        <w:rPr>
          <w:rFonts w:ascii="Times New Roman" w:hAnsi="Times New Roman" w:cs="Times New Roman"/>
          <w:sz w:val="24"/>
        </w:rPr>
        <w:t xml:space="preserve"> spores/</w:t>
      </w:r>
      <w:proofErr w:type="spellStart"/>
      <w:r w:rsidR="00F04742">
        <w:rPr>
          <w:rFonts w:ascii="Times New Roman" w:hAnsi="Times New Roman" w:cs="Times New Roman"/>
          <w:sz w:val="24"/>
        </w:rPr>
        <w:t>mL</w:t>
      </w:r>
      <w:proofErr w:type="spellEnd"/>
    </w:p>
    <w:p w:rsidR="00D56BEA" w:rsidRDefault="00D56BEA" w:rsidP="00BB32F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place la boîte de pétri sous le simulateur de pluie placé à 4 m de haut (à vérifier)</w:t>
      </w:r>
    </w:p>
    <w:p w:rsidR="00D56BEA" w:rsidRDefault="00D56BEA" w:rsidP="00BB32F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Autour de la boîte, on place des lames de microscope à 10, 20, 30 et 40 cm de la source (lames perpendiculaires) en deux séries de lames perpendiculaires (direction nord-sud, et direction est-ouest)</w:t>
      </w:r>
    </w:p>
    <w:p w:rsidR="00D56BEA" w:rsidRDefault="00D56BEA" w:rsidP="00BB32F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protège les lames des gouttes incidentes directes à l’aide d’un dispositif type « tente »</w:t>
      </w:r>
    </w:p>
    <w:p w:rsidR="00D56BEA" w:rsidRDefault="00D56BEA" w:rsidP="00BB32F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soumet la source de spores à une pluie simulée de 30 secondes (</w:t>
      </w:r>
      <w:r w:rsidRPr="00DF3BA8">
        <w:rPr>
          <w:rFonts w:ascii="Times New Roman" w:hAnsi="Times New Roman" w:cs="Times New Roman"/>
          <w:i/>
          <w:sz w:val="24"/>
        </w:rPr>
        <w:t>calculer l’équivalent en mm</w:t>
      </w:r>
      <w:r>
        <w:rPr>
          <w:rFonts w:ascii="Times New Roman" w:hAnsi="Times New Roman" w:cs="Times New Roman"/>
          <w:sz w:val="24"/>
        </w:rPr>
        <w:t>)</w:t>
      </w:r>
      <w:r w:rsidR="003F3A55">
        <w:rPr>
          <w:rFonts w:ascii="Times New Roman" w:hAnsi="Times New Roman" w:cs="Times New Roman"/>
          <w:sz w:val="24"/>
        </w:rPr>
        <w:t xml:space="preserve">, en réalisant 10 </w:t>
      </w:r>
      <w:proofErr w:type="spellStart"/>
      <w:r w:rsidR="003F3A55">
        <w:rPr>
          <w:rFonts w:ascii="Times New Roman" w:hAnsi="Times New Roman" w:cs="Times New Roman"/>
          <w:sz w:val="24"/>
        </w:rPr>
        <w:t>runs</w:t>
      </w:r>
      <w:proofErr w:type="spellEnd"/>
      <w:r w:rsidR="003F3A55">
        <w:rPr>
          <w:rFonts w:ascii="Times New Roman" w:hAnsi="Times New Roman" w:cs="Times New Roman"/>
          <w:sz w:val="24"/>
        </w:rPr>
        <w:t xml:space="preserve"> (avec chaque fois une nouvelle source)</w:t>
      </w:r>
    </w:p>
    <w:p w:rsidR="00DF3BA8" w:rsidRDefault="00DF3BA8" w:rsidP="00DF3BA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récupère les lames, et on compte la densité de spores (nombre de spores / </w:t>
      </w:r>
      <w:r w:rsidR="0055342C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m² sur l’intégralité de chaque lame</w:t>
      </w:r>
    </w:p>
    <w:p w:rsidR="00DF3BA8" w:rsidRDefault="00DF3BA8" w:rsidP="00DF3BA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ajuste les données « densité de spores » = </w:t>
      </w:r>
      <w:proofErr w:type="gramStart"/>
      <w:r>
        <w:rPr>
          <w:rFonts w:ascii="Times New Roman" w:hAnsi="Times New Roman" w:cs="Times New Roman"/>
          <w:sz w:val="24"/>
        </w:rPr>
        <w:t>f(</w:t>
      </w:r>
      <w:proofErr w:type="gramEnd"/>
      <w:r>
        <w:rPr>
          <w:rFonts w:ascii="Times New Roman" w:hAnsi="Times New Roman" w:cs="Times New Roman"/>
          <w:sz w:val="24"/>
        </w:rPr>
        <w:t xml:space="preserve">distance) au modèle « Power » ou « Négative </w:t>
      </w:r>
      <w:proofErr w:type="spellStart"/>
      <w:r>
        <w:rPr>
          <w:rFonts w:ascii="Times New Roman" w:hAnsi="Times New Roman" w:cs="Times New Roman"/>
          <w:sz w:val="24"/>
        </w:rPr>
        <w:t>exponential</w:t>
      </w:r>
      <w:proofErr w:type="spellEnd"/>
      <w:r>
        <w:rPr>
          <w:rFonts w:ascii="Times New Roman" w:hAnsi="Times New Roman" w:cs="Times New Roman"/>
          <w:sz w:val="24"/>
        </w:rPr>
        <w:t> »</w:t>
      </w:r>
    </w:p>
    <w:p w:rsidR="00697C7D" w:rsidRPr="00697C7D" w:rsidRDefault="00697C7D" w:rsidP="00697C7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données sont analysées avec R 3.0.1</w:t>
      </w:r>
    </w:p>
    <w:p w:rsidR="00DF3BA8" w:rsidRPr="00DF3BA8" w:rsidRDefault="00DF3BA8" w:rsidP="00DF3BA8">
      <w:pPr>
        <w:rPr>
          <w:rFonts w:ascii="Times New Roman" w:hAnsi="Times New Roman" w:cs="Times New Roman"/>
          <w:b/>
          <w:sz w:val="24"/>
        </w:rPr>
      </w:pPr>
      <w:r w:rsidRPr="00DF3BA8">
        <w:rPr>
          <w:rFonts w:ascii="Times New Roman" w:hAnsi="Times New Roman" w:cs="Times New Roman"/>
          <w:b/>
          <w:sz w:val="24"/>
        </w:rPr>
        <w:t>Résultats</w:t>
      </w:r>
    </w:p>
    <w:p w:rsidR="00697C7D" w:rsidRDefault="00697C7D" w:rsidP="00DF3BA8">
      <w:pPr>
        <w:rPr>
          <w:rFonts w:ascii="Times New Roman" w:hAnsi="Times New Roman" w:cs="Times New Roman"/>
          <w:noProof/>
          <w:sz w:val="24"/>
          <w:lang w:eastAsia="fr-FR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t>Epuisement de la source</w:t>
      </w:r>
    </w:p>
    <w:p w:rsidR="00DF3BA8" w:rsidRDefault="00697C7D" w:rsidP="00DF3B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3657600" cy="3657600"/>
            <wp:effectExtent l="19050" t="0" r="0" b="0"/>
            <wp:docPr id="2" name="Image 2" descr="C:\Users\guyader\TRAVAIL\Publis en cours\dispersion\dispersion-cinetique\fig-deriv-frech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yader\TRAVAIL\Publis en cours\dispersion\dispersion-cinetique\fig-deriv-frech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7D" w:rsidRDefault="00697C7D" w:rsidP="00697C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constate qu’il faut au minimum 3 à 5 gouttes avant d’observer les premières spores </w:t>
      </w:r>
      <w:proofErr w:type="spellStart"/>
      <w:r>
        <w:rPr>
          <w:rFonts w:ascii="Times New Roman" w:hAnsi="Times New Roman" w:cs="Times New Roman"/>
          <w:sz w:val="24"/>
        </w:rPr>
        <w:t>splashées</w:t>
      </w:r>
      <w:proofErr w:type="spellEnd"/>
    </w:p>
    <w:p w:rsidR="00697C7D" w:rsidRDefault="00697C7D" w:rsidP="00697C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Il faut environ 20 gouttes pour expulser plus de 50% du contenu de la nécrose</w:t>
      </w:r>
    </w:p>
    <w:p w:rsidR="00697C7D" w:rsidRDefault="00697C7D" w:rsidP="00697C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Entre 50 et 100 gouttes, le nombre de spores expulsées se stabilise</w:t>
      </w:r>
    </w:p>
    <w:p w:rsidR="00697C7D" w:rsidRDefault="00697C7D" w:rsidP="00697C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reste donc des spores encore mobilisables au sein de la nécrose au-delà de 100 gouttes</w:t>
      </w:r>
    </w:p>
    <w:p w:rsidR="00697C7D" w:rsidRDefault="00697C7D" w:rsidP="00697C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L’équation de Fréchet (</w:t>
      </w:r>
      <w:proofErr w:type="spellStart"/>
      <w:r>
        <w:rPr>
          <w:rFonts w:ascii="Times New Roman" w:hAnsi="Times New Roman" w:cs="Times New Roman"/>
          <w:sz w:val="24"/>
        </w:rPr>
        <w:t>AICc</w:t>
      </w:r>
      <w:proofErr w:type="spellEnd"/>
      <w:r>
        <w:rPr>
          <w:rFonts w:ascii="Times New Roman" w:hAnsi="Times New Roman" w:cs="Times New Roman"/>
          <w:sz w:val="24"/>
        </w:rPr>
        <w:t>=-120.1282</w:t>
      </w:r>
      <w:r w:rsidR="003F3A55">
        <w:rPr>
          <w:rFonts w:ascii="Times New Roman" w:hAnsi="Times New Roman" w:cs="Times New Roman"/>
          <w:sz w:val="24"/>
        </w:rPr>
        <w:t>, trait plein</w:t>
      </w:r>
      <w:r>
        <w:rPr>
          <w:rFonts w:ascii="Times New Roman" w:hAnsi="Times New Roman" w:cs="Times New Roman"/>
          <w:sz w:val="24"/>
        </w:rPr>
        <w:t xml:space="preserve">) semble s’ajuster mieux à ces données que l’équation de </w:t>
      </w:r>
      <w:proofErr w:type="spellStart"/>
      <w:r>
        <w:rPr>
          <w:rFonts w:ascii="Times New Roman" w:hAnsi="Times New Roman" w:cs="Times New Roman"/>
          <w:sz w:val="24"/>
        </w:rPr>
        <w:t>Weibull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AICc</w:t>
      </w:r>
      <w:proofErr w:type="spellEnd"/>
      <w:r>
        <w:rPr>
          <w:rFonts w:ascii="Times New Roman" w:hAnsi="Times New Roman" w:cs="Times New Roman"/>
          <w:sz w:val="24"/>
        </w:rPr>
        <w:t>=-114.2448</w:t>
      </w:r>
      <w:r w:rsidR="00F04742">
        <w:rPr>
          <w:rFonts w:ascii="Times New Roman" w:hAnsi="Times New Roman" w:cs="Times New Roman"/>
          <w:sz w:val="24"/>
        </w:rPr>
        <w:t>, trait pointillé</w:t>
      </w:r>
      <w:r>
        <w:rPr>
          <w:rFonts w:ascii="Times New Roman" w:hAnsi="Times New Roman" w:cs="Times New Roman"/>
          <w:sz w:val="24"/>
        </w:rPr>
        <w:t>)</w:t>
      </w:r>
    </w:p>
    <w:p w:rsidR="00697C7D" w:rsidRDefault="00697C7D" w:rsidP="00697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Dispersion horizontale</w:t>
      </w:r>
    </w:p>
    <w:p w:rsidR="00697C7D" w:rsidRDefault="0055342C" w:rsidP="00697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3657600" cy="3657600"/>
            <wp:effectExtent l="19050" t="0" r="0" b="0"/>
            <wp:docPr id="3" name="Image 3" descr="C:\Users\guyader\TRAVAIL\Essais\2012\Dispersion\fig5-exp-p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yader\TRAVAIL\Essais\2012\Dispersion\fig5-exp-pow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2C" w:rsidRDefault="0055342C" w:rsidP="005534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remarque que l’essentiel des spores sont dispersées à très courtes distance, à quelques centimètres de la source</w:t>
      </w:r>
    </w:p>
    <w:p w:rsidR="0055342C" w:rsidRDefault="0055342C" w:rsidP="005534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y a tout de même des spores qui sont dispersées au-delà de 40cm</w:t>
      </w:r>
    </w:p>
    <w:p w:rsidR="0055342C" w:rsidRDefault="0055342C" w:rsidP="005534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modèle négatif exponentiel s’ajuste mieux aux données (</w:t>
      </w:r>
      <w:proofErr w:type="spellStart"/>
      <w:r>
        <w:rPr>
          <w:rFonts w:ascii="Times New Roman" w:hAnsi="Times New Roman" w:cs="Times New Roman"/>
          <w:sz w:val="24"/>
        </w:rPr>
        <w:t>AICc</w:t>
      </w:r>
      <w:proofErr w:type="spellEnd"/>
      <w:r>
        <w:rPr>
          <w:rFonts w:ascii="Times New Roman" w:hAnsi="Times New Roman" w:cs="Times New Roman"/>
          <w:sz w:val="24"/>
        </w:rPr>
        <w:t>=181.9609</w:t>
      </w:r>
      <w:r w:rsidR="00F04742">
        <w:rPr>
          <w:rFonts w:ascii="Times New Roman" w:hAnsi="Times New Roman" w:cs="Times New Roman"/>
          <w:sz w:val="24"/>
        </w:rPr>
        <w:t>, trait plein</w:t>
      </w:r>
      <w:r>
        <w:rPr>
          <w:rFonts w:ascii="Times New Roman" w:hAnsi="Times New Roman" w:cs="Times New Roman"/>
          <w:sz w:val="24"/>
        </w:rPr>
        <w:t>) que le modèle power (</w:t>
      </w:r>
      <w:proofErr w:type="spellStart"/>
      <w:r>
        <w:rPr>
          <w:rFonts w:ascii="Times New Roman" w:hAnsi="Times New Roman" w:cs="Times New Roman"/>
          <w:sz w:val="24"/>
        </w:rPr>
        <w:t>AICc</w:t>
      </w:r>
      <w:proofErr w:type="spellEnd"/>
      <w:r>
        <w:rPr>
          <w:rFonts w:ascii="Times New Roman" w:hAnsi="Times New Roman" w:cs="Times New Roman"/>
          <w:sz w:val="24"/>
        </w:rPr>
        <w:t>=194.2158</w:t>
      </w:r>
      <w:r w:rsidR="00F04742">
        <w:rPr>
          <w:rFonts w:ascii="Times New Roman" w:hAnsi="Times New Roman" w:cs="Times New Roman"/>
          <w:sz w:val="24"/>
        </w:rPr>
        <w:t>, trait pointillé</w:t>
      </w:r>
      <w:r>
        <w:rPr>
          <w:rFonts w:ascii="Times New Roman" w:hAnsi="Times New Roman" w:cs="Times New Roman"/>
          <w:sz w:val="24"/>
        </w:rPr>
        <w:t>), comme attendu pour une dispersion par la pluie</w:t>
      </w:r>
    </w:p>
    <w:p w:rsidR="0055342C" w:rsidRDefault="0055342C" w:rsidP="005534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« </w:t>
      </w:r>
      <w:proofErr w:type="spellStart"/>
      <w:r>
        <w:rPr>
          <w:rFonts w:ascii="Times New Roman" w:hAnsi="Times New Roman" w:cs="Times New Roman"/>
          <w:sz w:val="24"/>
        </w:rPr>
        <w:t>half</w:t>
      </w:r>
      <w:proofErr w:type="spellEnd"/>
      <w:r>
        <w:rPr>
          <w:rFonts w:ascii="Times New Roman" w:hAnsi="Times New Roman" w:cs="Times New Roman"/>
          <w:sz w:val="24"/>
        </w:rPr>
        <w:t>-distance » (distance à laquelle 50% des spores sont dispersées) est de 4.43 cm</w:t>
      </w:r>
    </w:p>
    <w:p w:rsidR="0055342C" w:rsidRPr="003F3A55" w:rsidRDefault="003F3A55" w:rsidP="0055342C">
      <w:pPr>
        <w:ind w:left="360"/>
        <w:rPr>
          <w:rFonts w:ascii="Times New Roman" w:hAnsi="Times New Roman" w:cs="Times New Roman"/>
          <w:b/>
          <w:sz w:val="24"/>
        </w:rPr>
      </w:pPr>
      <w:r w:rsidRPr="003F3A55">
        <w:rPr>
          <w:rFonts w:ascii="Times New Roman" w:hAnsi="Times New Roman" w:cs="Times New Roman"/>
          <w:b/>
          <w:sz w:val="24"/>
        </w:rPr>
        <w:t>Discussion</w:t>
      </w:r>
    </w:p>
    <w:p w:rsidR="003F3A55" w:rsidRDefault="003F3A55" w:rsidP="003F3A5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F3A55">
        <w:rPr>
          <w:rFonts w:ascii="Times New Roman" w:hAnsi="Times New Roman" w:cs="Times New Roman"/>
          <w:sz w:val="24"/>
        </w:rPr>
        <w:t>L’utilisation de pluies simulées (par lâcher de gouttes ou par simulateur) permet d’estimer différentes composantes de la dispersion des spores</w:t>
      </w:r>
      <w:r>
        <w:rPr>
          <w:rFonts w:ascii="Times New Roman" w:hAnsi="Times New Roman" w:cs="Times New Roman"/>
          <w:sz w:val="24"/>
        </w:rPr>
        <w:t xml:space="preserve"> par la pluie</w:t>
      </w:r>
    </w:p>
    <w:p w:rsidR="003F3A55" w:rsidRDefault="003F3A55" w:rsidP="003F3A5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spores d’anthracnose sont dispersées majoritairement à très courte distance, l’extension des foyers des foyers de la maladie se fait grâce à la rapidité du cycle infectieux (3-7 jours) en conjonction avec la durée et la période de sensibilité de la culture (plusieurs mois) et la fréquence des événements pluvieux</w:t>
      </w:r>
    </w:p>
    <w:p w:rsidR="000E754C" w:rsidRPr="003F3A55" w:rsidRDefault="000E754C" w:rsidP="003F3A5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 moyenne un événement pluvieux produit 10 mm de pluie (soit 10 L/m²), sachant qu’une goutte fait en moyenne un volume de 10 mm</w:t>
      </w:r>
      <w:r w:rsidRPr="000E754C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, une nécrose faisant 1 cm² reçoit donc en moyenne 10 gouttes incidentes, ce qui selon nos essais est suffisant pour expulser un grand nombre de spores (25 à 50% des spores en stock), mais ce qui laisse aussi un stock</w:t>
      </w:r>
      <w:r w:rsidR="00B53772">
        <w:rPr>
          <w:rFonts w:ascii="Times New Roman" w:hAnsi="Times New Roman" w:cs="Times New Roman"/>
          <w:sz w:val="24"/>
        </w:rPr>
        <w:t xml:space="preserve"> disponible</w:t>
      </w:r>
      <w:r>
        <w:rPr>
          <w:rFonts w:ascii="Times New Roman" w:hAnsi="Times New Roman" w:cs="Times New Roman"/>
          <w:sz w:val="24"/>
        </w:rPr>
        <w:t xml:space="preserve"> assez conséquent </w:t>
      </w:r>
      <w:r w:rsidR="00B53772">
        <w:rPr>
          <w:rFonts w:ascii="Times New Roman" w:hAnsi="Times New Roman" w:cs="Times New Roman"/>
          <w:sz w:val="24"/>
        </w:rPr>
        <w:t>pour permettre la dispersion lors d’un second événement pluvieux</w:t>
      </w:r>
    </w:p>
    <w:sectPr w:rsidR="000E754C" w:rsidRPr="003F3A55" w:rsidSect="00EE3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577C"/>
    <w:multiLevelType w:val="hybridMultilevel"/>
    <w:tmpl w:val="D50A65DA"/>
    <w:lvl w:ilvl="0" w:tplc="D0B689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D92569"/>
    <w:multiLevelType w:val="hybridMultilevel"/>
    <w:tmpl w:val="E8ACB10E"/>
    <w:lvl w:ilvl="0" w:tplc="D0B68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E00607"/>
    <w:rsid w:val="000E754C"/>
    <w:rsid w:val="003F3A55"/>
    <w:rsid w:val="0055342C"/>
    <w:rsid w:val="00697C7D"/>
    <w:rsid w:val="00B53772"/>
    <w:rsid w:val="00BB32F2"/>
    <w:rsid w:val="00D56BEA"/>
    <w:rsid w:val="00DF3BA8"/>
    <w:rsid w:val="00E00607"/>
    <w:rsid w:val="00EE309E"/>
    <w:rsid w:val="00F0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6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9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898EA-494F-4EAC-803F-5B9B5676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Guyader</dc:creator>
  <cp:lastModifiedBy>Sebastien Guyader</cp:lastModifiedBy>
  <cp:revision>1</cp:revision>
  <dcterms:created xsi:type="dcterms:W3CDTF">2013-09-08T17:24:00Z</dcterms:created>
  <dcterms:modified xsi:type="dcterms:W3CDTF">2013-09-08T20:06:00Z</dcterms:modified>
</cp:coreProperties>
</file>