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</w:t>
      </w:r>
      <w:r>
        <w:t xml:space="preserve"> </w:t>
      </w:r>
      <w:r>
        <w:t xml:space="preserve">symptômes</w:t>
      </w:r>
      <w:r>
        <w:t xml:space="preserve"> </w:t>
      </w:r>
      <w:r>
        <w:t xml:space="preserve">viraux</w:t>
      </w:r>
    </w:p>
    <w:p>
      <w:pPr>
        <w:pStyle w:val="Author"/>
      </w:pPr>
      <w:r>
        <w:t xml:space="preserve">Sébastien</w:t>
      </w:r>
      <w:r>
        <w:t xml:space="preserve"> </w:t>
      </w:r>
      <w:r>
        <w:t xml:space="preserve">Guyader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Il s’agit de conduire une analyse des correspondances multiples (ACM) sur les données de symptômes viraux et d’indexation virale, réalisés sur 81 accessions d’igname.</w:t>
      </w:r>
    </w:p>
    <w:p>
      <w:pPr>
        <w:pStyle w:val="BodyText"/>
      </w:pPr>
      <w:r>
        <w:t xml:space="preserve">Import du fichier de données 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vérifie le tableau importé 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Mosaique Chlorose Gaufrage Déformation_foliaire Nanisme Enlacement</w:t>
      </w:r>
      <w:r>
        <w:br w:type="textWrapping"/>
      </w:r>
      <w:r>
        <w:rPr>
          <w:rStyle w:val="VerbatimChar"/>
        </w:rPr>
        <w:t xml:space="preserve">## 16        0        2        0                    0       0          0</w:t>
      </w:r>
      <w:r>
        <w:br w:type="textWrapping"/>
      </w:r>
      <w:r>
        <w:rPr>
          <w:rStyle w:val="VerbatimChar"/>
        </w:rPr>
        <w:t xml:space="preserve">## 19        0        1        1                    0       0          0</w:t>
      </w:r>
      <w:r>
        <w:br w:type="textWrapping"/>
      </w:r>
      <w:r>
        <w:rPr>
          <w:rStyle w:val="VerbatimChar"/>
        </w:rPr>
        <w:t xml:space="preserve">## 22        3        3        1                    1       0          2</w:t>
      </w:r>
      <w:r>
        <w:br w:type="textWrapping"/>
      </w:r>
      <w:r>
        <w:rPr>
          <w:rStyle w:val="VerbatimChar"/>
        </w:rPr>
        <w:t xml:space="preserve">## 26        0        3        1                    0       0          0</w:t>
      </w:r>
      <w:r>
        <w:br w:type="textWrapping"/>
      </w:r>
      <w:r>
        <w:rPr>
          <w:rStyle w:val="VerbatimChar"/>
        </w:rPr>
        <w:t xml:space="preserve">## 34        2        2        1                    0       0          0</w:t>
      </w:r>
      <w:r>
        <w:br w:type="textWrapping"/>
      </w:r>
      <w:r>
        <w:rPr>
          <w:rStyle w:val="VerbatimChar"/>
        </w:rPr>
        <w:t xml:space="preserve">## 35        1        2        2                    1       0          2</w:t>
      </w:r>
      <w:r>
        <w:br w:type="textWrapping"/>
      </w:r>
      <w:r>
        <w:rPr>
          <w:rStyle w:val="VerbatimChar"/>
        </w:rPr>
        <w:t xml:space="preserve">##    Points_verts YMV YMMV Potex Ampelo Maclura Séco Badna</w:t>
      </w:r>
      <w:r>
        <w:br w:type="textWrapping"/>
      </w:r>
      <w:r>
        <w:rPr>
          <w:rStyle w:val="VerbatimChar"/>
        </w:rPr>
        <w:t xml:space="preserve">## 16            0   0    1     0      1       0    0     0</w:t>
      </w:r>
      <w:r>
        <w:br w:type="textWrapping"/>
      </w:r>
      <w:r>
        <w:rPr>
          <w:rStyle w:val="VerbatimChar"/>
        </w:rPr>
        <w:t xml:space="preserve">## 19            0   0    1     0      1       0    0     0</w:t>
      </w:r>
      <w:r>
        <w:br w:type="textWrapping"/>
      </w:r>
      <w:r>
        <w:rPr>
          <w:rStyle w:val="VerbatimChar"/>
        </w:rPr>
        <w:t xml:space="preserve">## 22            0   0    1     0      1       1    0     1</w:t>
      </w:r>
      <w:r>
        <w:br w:type="textWrapping"/>
      </w:r>
      <w:r>
        <w:rPr>
          <w:rStyle w:val="VerbatimChar"/>
        </w:rPr>
        <w:t xml:space="preserve">## 26            1   0    1     0      1       0    1     0</w:t>
      </w:r>
      <w:r>
        <w:br w:type="textWrapping"/>
      </w:r>
      <w:r>
        <w:rPr>
          <w:rStyle w:val="VerbatimChar"/>
        </w:rPr>
        <w:t xml:space="preserve">## 34            0   0    1     0      1       0    1     0</w:t>
      </w:r>
      <w:r>
        <w:br w:type="textWrapping"/>
      </w:r>
      <w:r>
        <w:rPr>
          <w:rStyle w:val="VerbatimChar"/>
        </w:rPr>
        <w:t xml:space="preserve">## 35            0   0    0     0      1       0    0     0</w:t>
      </w:r>
    </w:p>
    <w:p>
      <w:pPr>
        <w:pStyle w:val="FirstParagraph"/>
      </w:pPr>
      <w:r>
        <w:t xml:space="preserve">On convertit les variables en tant que facteurs pour l’ACM :</w:t>
      </w:r>
    </w:p>
    <w:p>
      <w:pPr>
        <w:pStyle w:val="SourceCode"/>
      </w:pPr>
      <w:r>
        <w:rPr>
          <w:rStyle w:val="NormalTok"/>
        </w:rPr>
        <w:t xml:space="preserve">i=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data[,i]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On va charger les librairies nécessaires :</w:t>
      </w:r>
      <w:r>
        <w:t xml:space="preserve"> </w:t>
      </w:r>
      <w:r>
        <w:rPr>
          <w:rStyle w:val="VerbatimChar"/>
        </w:rPr>
        <w:t xml:space="preserve">FactoMineR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factoextra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FirstParagraph"/>
      </w:pPr>
      <w:r>
        <w:t xml:space="preserve">On commence par faire l’analyse des correspondances multiples (</w:t>
      </w:r>
      <w:r>
        <w:rPr>
          <w:rStyle w:val="VerbatimChar"/>
        </w:rPr>
        <w:t xml:space="preserve">MCA</w:t>
      </w:r>
      <w:r>
        <w:t xml:space="preserve">) :</w:t>
      </w:r>
    </w:p>
    <w:p>
      <w:pPr>
        <w:pStyle w:val="SourceCode"/>
      </w:pPr>
      <w:r>
        <w:rPr>
          <w:rStyle w:val="NormalTok"/>
        </w:rPr>
        <w:t xml:space="preserve">res.mca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MCA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 détermine valeurs propres des axes 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SourceCode"/>
      </w:pPr>
      <w:r>
        <w:rPr>
          <w:rStyle w:val="NormalTok"/>
        </w:rPr>
        <w:t xml:space="preserve">val_propre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((res.mca[[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"ncp"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addlabels=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val_propre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"pourcentage de la variance"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Graphique des variables + individus, avec coloration en fonction de leur contribution :</w:t>
      </w:r>
    </w:p>
    <w:p>
      <w:pPr>
        <w:pStyle w:val="SourceCode"/>
      </w:pPr>
      <w:r>
        <w:rPr>
          <w:rStyle w:val="KeywordTok"/>
        </w:rPr>
        <w:t xml:space="preserve">fviz_mca_biplot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col.var=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Contributions des variables sur l’axe 1 :</w:t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Contributions des variables sur l’axe 2 :</w:t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(res.mca, </w:t>
      </w:r>
      <w:r>
        <w:rPr>
          <w:rStyle w:val="DataTypeTok"/>
        </w:rPr>
        <w:t xml:space="preserve">choice=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ro_AC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symptômes viraux</dc:title>
  <dc:creator>Sébastien Guyader</dc:creator>
  <cp:keywords/>
  <dcterms:created xsi:type="dcterms:W3CDTF">2018-12-14T19:55:04Z</dcterms:created>
  <dcterms:modified xsi:type="dcterms:W3CDTF">2018-12-14T19:55:04Z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