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media/image4.png" ContentType="image/png"/>
  <Override PartName="/word/media/image8.jpeg" ContentType="image/jpe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Corbel" w:hAnsi="Corbel"/>
          <w:b/>
          <w:b/>
          <w:sz w:val="28"/>
        </w:rPr>
      </w:pPr>
      <w:r>
        <w:rPr>
          <w:rFonts w:ascii="Corbel" w:hAnsi="Corbel"/>
          <w:b/>
          <w:sz w:val="28"/>
        </w:rPr>
        <w:t xml:space="preserve">                                              </w:t>
      </w:r>
    </w:p>
    <w:p>
      <w:pPr>
        <w:pStyle w:val="Normal"/>
        <w:rPr>
          <w:rFonts w:ascii="Corbel" w:hAnsi="Corbel"/>
          <w:b/>
          <w:b/>
          <w:sz w:val="28"/>
        </w:rPr>
      </w:pPr>
      <w:r>
        <w:rPr>
          <w:rFonts w:ascii="Corbel" w:hAnsi="Corbel"/>
          <w:b/>
          <w:sz w:val="28"/>
        </w:rPr>
        <w:t xml:space="preserve">                                                                          </w:t>
      </w:r>
    </w:p>
    <w:p>
      <w:pPr>
        <w:pStyle w:val="Normal"/>
        <w:rPr>
          <w:rFonts w:ascii="Calibri Light" w:hAnsi="Calibri Light" w:cs="Calibri Light" w:asciiTheme="majorHAnsi" w:cstheme="majorHAnsi" w:hAnsiTheme="majorHAnsi"/>
          <w:b/>
          <w:b/>
          <w:sz w:val="40"/>
        </w:rPr>
      </w:pPr>
      <w:r>
        <w:rPr>
          <w:rFonts w:cs="Calibri Light" w:cstheme="majorHAnsi" w:ascii="Calibri Light" w:hAnsi="Calibri Light"/>
          <w:b/>
          <w:sz w:val="40"/>
        </w:rPr>
      </w:r>
    </w:p>
    <w:p>
      <w:pPr>
        <w:pStyle w:val="Title"/>
        <w:rPr>
          <w:b/>
          <w:b/>
        </w:rPr>
      </w:pPr>
      <w:r>
        <w:rPr>
          <w:b/>
        </w:rPr>
        <w:t xml:space="preserve">Etude de la diversité génétique de souches de </w:t>
      </w:r>
      <w:r>
        <w:rPr>
          <w:b/>
          <w:i/>
          <w:iCs/>
          <w:rPrChange w:id="0" w:author="Sébastien Guyader" w:date="2021-06-18T07:07:45Z"/>
        </w:rPr>
        <w:t>Colletotrichum</w:t>
      </w:r>
      <w:r>
        <w:rPr>
          <w:b/>
        </w:rPr>
        <w:t xml:space="preserve"> spp. infectant les ignames en Guadeloupe</w:t>
      </w:r>
    </w:p>
    <w:p>
      <w:pPr>
        <w:pStyle w:val="Normal"/>
        <w:rPr>
          <w:rFonts w:ascii="Corbel" w:hAnsi="Corbel"/>
          <w:b/>
          <w:b/>
          <w:sz w:val="32"/>
        </w:rPr>
      </w:pPr>
      <w:r>
        <w:rPr>
          <w:rFonts w:ascii="Corbel" w:hAnsi="Corbel"/>
          <w:b/>
          <w:sz w:val="32"/>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t xml:space="preserve">Maitre de stage : GUYADER Sébastien, </w:t>
      </w:r>
      <w:r>
        <w:rPr/>
        <w:t xml:space="preserve">Chargé de recherche </w:t>
      </w:r>
    </w:p>
    <w:p>
      <w:pPr>
        <w:pStyle w:val="Normal"/>
        <w:rPr>
          <w:sz w:val="24"/>
        </w:rPr>
      </w:pPr>
      <w:r>
        <w:rPr>
          <w:sz w:val="24"/>
        </w:rPr>
        <w:t xml:space="preserve">Responsable de stage : Pr GROS  Olivier </w:t>
      </w:r>
    </w:p>
    <w:p>
      <w:pPr>
        <w:pStyle w:val="Normal"/>
        <w:rPr>
          <w:sz w:val="24"/>
        </w:rPr>
      </w:pPr>
      <w:r>
        <w:rPr>
          <w:sz w:val="24"/>
        </w:rPr>
      </w:r>
    </w:p>
    <w:p>
      <w:pPr>
        <w:pStyle w:val="Normal"/>
        <w:tabs>
          <w:tab w:val="clear" w:pos="708"/>
          <w:tab w:val="left" w:pos="2412" w:leader="none"/>
        </w:tabs>
        <w:rPr>
          <w:sz w:val="24"/>
        </w:rPr>
      </w:pPr>
      <w:r>
        <w:rPr/>
        <w:t xml:space="preserve"> </w:t>
      </w:r>
    </w:p>
    <w:p>
      <w:pPr>
        <w:pStyle w:val="Normal"/>
        <w:jc w:val="center"/>
        <w:rPr>
          <w:bCs/>
          <w:sz w:val="28"/>
        </w:rPr>
      </w:pPr>
      <w:r>
        <w:rPr>
          <w:sz w:val="28"/>
        </w:rPr>
        <w:t>Organisme d’accueil :</w:t>
      </w:r>
      <w:r>
        <w:rPr>
          <w:rFonts w:eastAsia="Times New Roman" w:cs="Times New Roman" w:ascii="Times New Roman" w:hAnsi="Times New Roman"/>
          <w:b/>
          <w:bCs/>
          <w:caps/>
          <w:spacing w:val="15"/>
          <w:sz w:val="40"/>
          <w:szCs w:val="36"/>
          <w:lang w:eastAsia="fr-FR"/>
        </w:rPr>
        <w:t xml:space="preserve"> </w:t>
      </w:r>
      <w:del w:id="1" w:author="Sébastien Guyader" w:date="2021-06-18T07:07:56Z">
        <w:r>
          <w:rPr>
            <w:rFonts w:eastAsia="Times New Roman" w:cs="Times New Roman" w:ascii="Times New Roman" w:hAnsi="Times New Roman"/>
            <w:b/>
            <w:bCs/>
            <w:caps/>
            <w:spacing w:val="15"/>
            <w:sz w:val="28"/>
            <w:szCs w:val="36"/>
            <w:lang w:eastAsia="fr-FR"/>
          </w:rPr>
          <w:delText>L’i</w:delText>
        </w:r>
      </w:del>
      <w:ins w:id="2" w:author="Sébastien Guyader" w:date="2021-06-18T07:07:56Z">
        <w:r>
          <w:rPr>
            <w:bCs/>
            <w:sz w:val="28"/>
          </w:rPr>
          <w:t>I</w:t>
        </w:r>
      </w:ins>
      <w:r>
        <w:rPr>
          <w:bCs/>
          <w:sz w:val="28"/>
        </w:rPr>
        <w:t>nstitut National de Recherche pour l’Agriculture, l’Alimentation et l’Environnement</w:t>
      </w:r>
    </w:p>
    <w:p>
      <w:pPr>
        <w:pStyle w:val="Normal"/>
        <w:jc w:val="center"/>
        <w:rPr>
          <w:sz w:val="24"/>
        </w:rPr>
      </w:pPr>
      <w:r>
        <w:rPr>
          <w:sz w:val="24"/>
        </w:rPr>
      </w:r>
    </w:p>
    <w:p>
      <w:pPr>
        <w:pStyle w:val="Normal"/>
        <w:rPr/>
      </w:pPr>
      <w:r>
        <w:rPr/>
      </w:r>
    </w:p>
    <w:p>
      <w:pPr>
        <w:pStyle w:val="Normal"/>
        <w:rPr/>
      </w:pPr>
      <w:r>
        <w:rPr/>
      </w:r>
    </w:p>
    <w:p>
      <w:pPr>
        <w:pStyle w:val="Normal"/>
        <w:rPr/>
      </w:pPr>
      <w:r>
        <w:rPr/>
        <w:t xml:space="preserve">                                                                                                                                                         </w:t>
      </w:r>
    </w:p>
    <w:p>
      <w:pPr>
        <w:pStyle w:val="Normal"/>
        <w:rPr/>
      </w:pPr>
      <w:r>
        <w:rPr/>
      </w:r>
    </w:p>
    <w:p>
      <w:pPr>
        <w:pStyle w:val="Normal"/>
        <w:rPr>
          <w:sz w:val="24"/>
        </w:rPr>
      </w:pPr>
      <w:r>
        <w:rPr/>
        <w:t xml:space="preserve">                                                                                                                                                         </w:t>
      </w:r>
      <w:r>
        <w:rPr>
          <w:sz w:val="24"/>
        </w:rPr>
        <w:t>Juin 2021</w:t>
      </w:r>
    </w:p>
    <w:p>
      <w:pPr>
        <w:pStyle w:val="Normal"/>
        <w:rPr>
          <w:rFonts w:ascii="Calibri" w:hAnsi="Calibri" w:cs="Calibri"/>
          <w:b/>
          <w:b/>
          <w:sz w:val="36"/>
        </w:rPr>
      </w:pPr>
      <w:r>
        <w:rPr>
          <w:rFonts w:cs="Calibri"/>
          <w:b/>
          <w:sz w:val="36"/>
        </w:rPr>
        <w:t>REMERCIEMENTS</w:t>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alibri" w:hAnsi="Calibri" w:cs="Calibri"/>
          <w:b/>
          <w:b/>
          <w:sz w:val="36"/>
        </w:rPr>
      </w:pPr>
      <w:r>
        <w:rPr>
          <w:rFonts w:cs="Calibri"/>
          <w:b/>
          <w:sz w:val="36"/>
        </w:rPr>
        <w:t>SOMMAIRE</w:t>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ListParagraph"/>
        <w:numPr>
          <w:ilvl w:val="0"/>
          <w:numId w:val="7"/>
        </w:numPr>
        <w:rPr>
          <w:rFonts w:ascii="Calibri" w:hAnsi="Calibri" w:cs="Calibri"/>
          <w:b/>
          <w:b/>
          <w:sz w:val="36"/>
        </w:rPr>
      </w:pPr>
      <w:r>
        <w:rPr>
          <w:rFonts w:cs="Calibri"/>
          <w:b/>
          <w:sz w:val="36"/>
        </w:rPr>
        <w:t xml:space="preserve">INTRODUCTION </w:t>
      </w:r>
    </w:p>
    <w:p>
      <w:pPr>
        <w:pStyle w:val="Normal"/>
        <w:rPr>
          <w:rFonts w:ascii="Corbel" w:hAnsi="Corbel"/>
          <w:b/>
          <w:b/>
          <w:sz w:val="28"/>
        </w:rPr>
      </w:pPr>
      <w:r>
        <w:rPr>
          <w:rFonts w:ascii="Corbel" w:hAnsi="Corbel"/>
          <w:b/>
          <w:sz w:val="28"/>
        </w:rPr>
      </w:r>
    </w:p>
    <w:p>
      <w:pPr>
        <w:pStyle w:val="Normal"/>
        <w:spacing w:lineRule="auto" w:line="360"/>
        <w:jc w:val="both"/>
        <w:rPr>
          <w:rFonts w:ascii="Corbel" w:hAnsi="Corbel"/>
          <w:b/>
          <w:b/>
          <w:sz w:val="28"/>
        </w:rPr>
      </w:pPr>
      <w:r>
        <w:rPr>
          <w:rFonts w:ascii="Corbel" w:hAnsi="Corbel"/>
          <w:b/>
          <w:sz w:val="28"/>
        </w:rPr>
      </w:r>
    </w:p>
    <w:p>
      <w:pPr>
        <w:pStyle w:val="Normal"/>
        <w:spacing w:lineRule="auto" w:line="360"/>
        <w:jc w:val="both"/>
        <w:rPr>
          <w:rFonts w:cs="Calibri" w:cstheme="minorHAnsi"/>
          <w:sz w:val="24"/>
          <w:szCs w:val="24"/>
        </w:rPr>
      </w:pPr>
      <w:r>
        <w:rPr>
          <w:rFonts w:cs="Calibri" w:cstheme="minorHAnsi"/>
          <w:sz w:val="24"/>
          <w:szCs w:val="24"/>
        </w:rPr>
        <w:t xml:space="preserve">Le rendement des ignames, quatrième plante à tubercule dans le monde, connait une diminution considérable </w:t>
      </w:r>
      <w:del w:id="3" w:author="Sébastien Guyader" w:date="2021-06-18T07:08:12Z">
        <w:r>
          <w:rPr>
            <w:rFonts w:cs="Calibri" w:cstheme="minorHAnsi"/>
            <w:sz w:val="24"/>
            <w:szCs w:val="24"/>
          </w:rPr>
          <w:delText xml:space="preserve"> </w:delText>
        </w:r>
      </w:del>
      <w:r>
        <w:rPr>
          <w:rFonts w:cs="Calibri" w:cstheme="minorHAnsi"/>
          <w:sz w:val="24"/>
          <w:szCs w:val="24"/>
        </w:rPr>
        <w:t xml:space="preserve">causée </w:t>
      </w:r>
      <w:ins w:id="4" w:author="Sébastien Guyader" w:date="2021-06-18T07:08:15Z">
        <w:r>
          <w:rPr>
            <w:rFonts w:cs="Calibri" w:cstheme="minorHAnsi"/>
            <w:sz w:val="24"/>
            <w:szCs w:val="24"/>
          </w:rPr>
          <w:t xml:space="preserve">notamment </w:t>
        </w:r>
      </w:ins>
      <w:r>
        <w:rPr>
          <w:rFonts w:cs="Calibri" w:cstheme="minorHAnsi"/>
          <w:sz w:val="24"/>
          <w:szCs w:val="24"/>
        </w:rPr>
        <w:t>par un agent pathogène</w:t>
      </w:r>
      <w:ins w:id="5" w:author="Sébastien Guyader" w:date="2021-06-18T07:09:50Z">
        <w:r>
          <w:rPr>
            <w:rFonts w:cs="Calibri" w:cstheme="minorHAnsi"/>
            <w:sz w:val="24"/>
            <w:szCs w:val="24"/>
          </w:rPr>
          <w:t xml:space="preserve"> </w:t>
        </w:r>
      </w:ins>
      <w:ins w:id="6" w:author="Sébastien Guyader" w:date="2021-06-18T07:09:50Z">
        <w:r>
          <w:rPr>
            <w:rFonts w:cs="Calibri" w:cstheme="minorHAnsi"/>
            <w:sz w:val="24"/>
            <w:szCs w:val="24"/>
          </w:rPr>
          <w:t>fongique</w:t>
        </w:r>
      </w:ins>
      <w:ins w:id="7" w:author="Sébastien Guyader" w:date="2021-06-18T07:08:25Z">
        <w:r>
          <w:rPr>
            <w:rFonts w:cs="Calibri" w:cstheme="minorHAnsi"/>
            <w:sz w:val="24"/>
            <w:szCs w:val="24"/>
          </w:rPr>
          <w:t>,</w:t>
        </w:r>
      </w:ins>
      <w:r>
        <w:rPr>
          <w:rFonts w:cs="Calibri" w:cstheme="minorHAnsi"/>
          <w:sz w:val="24"/>
          <w:szCs w:val="24"/>
        </w:rPr>
        <w:t xml:space="preserve"> responsable de la maladie de l’anthracnose : </w:t>
      </w:r>
      <w:del w:id="8" w:author="Sébastien Guyader" w:date="2021-06-18T07:08:37Z">
        <w:r>
          <w:rPr>
            <w:rFonts w:cs="Calibri" w:cstheme="minorHAnsi"/>
            <w:sz w:val="24"/>
            <w:szCs w:val="24"/>
          </w:rPr>
          <w:delText>c</w:delText>
        </w:r>
      </w:del>
      <w:ins w:id="9" w:author="Sébastien Guyader" w:date="2021-06-18T07:08:37Z">
        <w:r>
          <w:rPr>
            <w:rFonts w:cs="Calibri" w:cstheme="minorHAnsi"/>
            <w:i/>
            <w:iCs/>
            <w:sz w:val="24"/>
            <w:szCs w:val="24"/>
          </w:rPr>
          <w:t>C</w:t>
        </w:r>
      </w:ins>
      <w:r>
        <w:rPr>
          <w:rFonts w:cs="Calibri" w:cstheme="minorHAnsi"/>
          <w:i/>
          <w:iCs/>
          <w:sz w:val="24"/>
          <w:szCs w:val="24"/>
          <w:rPrChange w:id="0" w:author="Sébastien Guyader" w:date="2021-06-18T07:08:41Z"/>
        </w:rPr>
        <w:t>olletotrichum</w:t>
      </w:r>
      <w:r>
        <w:rPr>
          <w:rFonts w:cs="Calibri" w:cstheme="minorHAnsi"/>
          <w:sz w:val="24"/>
          <w:szCs w:val="24"/>
        </w:rPr>
        <w:t xml:space="preserve"> spp. Les symptômes de cette maladie rendent </w:t>
      </w:r>
      <w:ins w:id="11" w:author="Sébastien Guyader" w:date="2021-06-18T07:09:03Z">
        <w:r>
          <w:rPr>
            <w:rFonts w:cs="Calibri" w:cstheme="minorHAnsi"/>
            <w:sz w:val="24"/>
            <w:szCs w:val="24"/>
          </w:rPr>
          <w:t xml:space="preserve">parfois sa </w:t>
        </w:r>
      </w:ins>
      <w:del w:id="12" w:author="Sébastien Guyader" w:date="2021-06-18T07:09:10Z">
        <w:r>
          <w:rPr>
            <w:rFonts w:cs="Calibri" w:cstheme="minorHAnsi"/>
            <w:sz w:val="24"/>
            <w:szCs w:val="24"/>
          </w:rPr>
          <w:delText xml:space="preserve">la </w:delText>
        </w:r>
      </w:del>
      <w:r>
        <w:rPr>
          <w:rFonts w:cs="Calibri" w:cstheme="minorHAnsi"/>
          <w:sz w:val="24"/>
          <w:szCs w:val="24"/>
        </w:rPr>
        <w:t xml:space="preserve">reconnaissance </w:t>
      </w:r>
      <w:del w:id="13" w:author="Sébastien Guyader" w:date="2021-06-18T07:09:13Z">
        <w:r>
          <w:rPr>
            <w:rFonts w:cs="Calibri" w:cstheme="minorHAnsi"/>
            <w:sz w:val="24"/>
            <w:szCs w:val="24"/>
          </w:rPr>
          <w:delText xml:space="preserve">plus </w:delText>
        </w:r>
      </w:del>
      <w:r>
        <w:rPr>
          <w:rFonts w:cs="Calibri" w:cstheme="minorHAnsi"/>
          <w:sz w:val="24"/>
          <w:szCs w:val="24"/>
        </w:rPr>
        <w:t xml:space="preserve">difficile de par </w:t>
      </w:r>
      <w:del w:id="14" w:author="Sébastien Guyader" w:date="2021-06-18T07:09:19Z">
        <w:r>
          <w:rPr>
            <w:rFonts w:cs="Calibri" w:cstheme="minorHAnsi"/>
            <w:sz w:val="24"/>
            <w:szCs w:val="24"/>
          </w:rPr>
          <w:delText>sa</w:delText>
        </w:r>
      </w:del>
      <w:ins w:id="15" w:author="Sébastien Guyader" w:date="2021-06-18T07:09:19Z">
        <w:r>
          <w:rPr>
            <w:rFonts w:cs="Calibri" w:cstheme="minorHAnsi"/>
            <w:sz w:val="24"/>
            <w:szCs w:val="24"/>
          </w:rPr>
          <w:t>leur</w:t>
        </w:r>
      </w:ins>
      <w:r>
        <w:rPr>
          <w:rFonts w:cs="Calibri" w:cstheme="minorHAnsi"/>
          <w:sz w:val="24"/>
          <w:szCs w:val="24"/>
        </w:rPr>
        <w:t xml:space="preserve"> ressemblance à </w:t>
      </w:r>
      <w:ins w:id="16" w:author="Sébastien Guyader" w:date="2021-06-18T07:09:28Z">
        <w:r>
          <w:rPr>
            <w:rFonts w:cs="Calibri" w:cstheme="minorHAnsi"/>
            <w:sz w:val="24"/>
            <w:szCs w:val="24"/>
          </w:rPr>
          <w:t xml:space="preserve">ceux causés par </w:t>
        </w:r>
      </w:ins>
      <w:r>
        <w:rPr>
          <w:rFonts w:cs="Calibri" w:cstheme="minorHAnsi"/>
          <w:sz w:val="24"/>
          <w:szCs w:val="24"/>
        </w:rPr>
        <w:t>d’autres maladies</w:t>
      </w:r>
      <w:ins w:id="17" w:author="Sébastien Guyader" w:date="2021-06-18T07:09:36Z">
        <w:r>
          <w:rPr>
            <w:rFonts w:cs="Calibri" w:cstheme="minorHAnsi"/>
            <w:sz w:val="24"/>
            <w:szCs w:val="24"/>
          </w:rPr>
          <w:t xml:space="preserve"> </w:t>
        </w:r>
      </w:ins>
      <w:ins w:id="18" w:author="Sébastien Guyader" w:date="2021-06-18T07:09:36Z">
        <w:r>
          <w:rPr>
            <w:rFonts w:cs="Calibri" w:cstheme="minorHAnsi"/>
            <w:sz w:val="24"/>
            <w:szCs w:val="24"/>
          </w:rPr>
          <w:t>fongiques</w:t>
        </w:r>
      </w:ins>
      <w:r>
        <w:rPr>
          <w:rFonts w:cs="Calibri" w:cstheme="minorHAnsi"/>
          <w:sz w:val="24"/>
          <w:szCs w:val="24"/>
        </w:rPr>
        <w:t xml:space="preserve"> telles que la </w:t>
      </w:r>
      <w:r>
        <w:rPr>
          <w:rFonts w:cs="Calibri" w:cstheme="minorHAnsi"/>
          <w:i/>
          <w:sz w:val="24"/>
          <w:szCs w:val="24"/>
        </w:rPr>
        <w:t>Rhizoctonia</w:t>
      </w:r>
      <w:ins w:id="19" w:author="Sébastien Guyader" w:date="2021-06-18T07:10:19Z">
        <w:r>
          <w:rPr>
            <w:rFonts w:cs="Calibri" w:cstheme="minorHAnsi"/>
            <w:i/>
            <w:sz w:val="24"/>
            <w:szCs w:val="24"/>
          </w:rPr>
          <w:t xml:space="preserve"> </w:t>
        </w:r>
      </w:ins>
      <w:ins w:id="20" w:author="Sébastien Guyader" w:date="2021-06-18T07:10:19Z">
        <w:r>
          <w:rPr>
            <w:rFonts w:cs="Calibri" w:cstheme="minorHAnsi"/>
            <w:i/>
            <w:sz w:val="24"/>
            <w:szCs w:val="24"/>
          </w:rPr>
          <w:t>solani</w:t>
        </w:r>
      </w:ins>
      <w:del w:id="21" w:author="Sébastien Guyader" w:date="2021-06-18T07:10:03Z">
        <w:r>
          <w:rPr>
            <w:rFonts w:cs="Calibri" w:cstheme="minorHAnsi"/>
            <w:i/>
            <w:sz w:val="24"/>
            <w:szCs w:val="24"/>
          </w:rPr>
          <w:delText xml:space="preserve"> ou encore de phytopathogènes causés par certains virus</w:delText>
        </w:r>
      </w:del>
      <w:ins w:id="22" w:author="Sébastien Guyader" w:date="2021-06-18T07:10:03Z">
        <w:r>
          <w:rPr>
            <w:rFonts w:cs="Calibri" w:cstheme="minorHAnsi"/>
            <w:sz w:val="24"/>
            <w:szCs w:val="24"/>
          </w:rPr>
          <w:t xml:space="preserve"> </w:t>
        </w:r>
      </w:ins>
      <w:ins w:id="23" w:author="Sébastien Guyader" w:date="2021-06-18T07:10:03Z">
        <w:r>
          <w:rPr>
            <w:rFonts w:cs="Calibri" w:cstheme="minorHAnsi"/>
            <w:sz w:val="24"/>
            <w:szCs w:val="24"/>
          </w:rPr>
          <w:t>ou Curvularia</w:t>
        </w:r>
      </w:ins>
      <w:ins w:id="24" w:author="Sébastien Guyader" w:date="2021-06-18T07:10:03Z">
        <w:r>
          <w:rPr>
            <w:rFonts w:cs="Calibri" w:cstheme="minorHAnsi"/>
            <w:i/>
            <w:iCs/>
            <w:sz w:val="24"/>
            <w:szCs w:val="24"/>
          </w:rPr>
          <w:t xml:space="preserve"> spp.</w:t>
        </w:r>
      </w:ins>
      <w:r>
        <w:rPr>
          <w:rFonts w:cs="Calibri" w:cstheme="minorHAnsi"/>
          <w:sz w:val="24"/>
          <w:szCs w:val="24"/>
        </w:rPr>
        <w:t xml:space="preserve"> (INRAE).</w:t>
      </w:r>
    </w:p>
    <w:p>
      <w:pPr>
        <w:pStyle w:val="Normal"/>
        <w:spacing w:lineRule="auto" w:line="360"/>
        <w:jc w:val="both"/>
        <w:rPr>
          <w:rFonts w:cs="Calibri" w:cstheme="minorHAnsi"/>
          <w:sz w:val="24"/>
          <w:szCs w:val="24"/>
        </w:rPr>
      </w:pPr>
      <w:r>
        <w:rPr>
          <w:rFonts w:cs="Calibri" w:cstheme="minorHAnsi"/>
          <w:sz w:val="24"/>
          <w:szCs w:val="24"/>
        </w:rPr>
        <w:t xml:space="preserve">Avec l’apparition en permanence de résistance </w:t>
      </w:r>
      <w:ins w:id="25" w:author="Sébastien Guyader" w:date="2021-06-18T07:10:38Z">
        <w:r>
          <w:rPr>
            <w:rFonts w:cs="Calibri" w:cstheme="minorHAnsi"/>
            <w:sz w:val="24"/>
            <w:szCs w:val="24"/>
          </w:rPr>
          <w:t>aux fongicides,</w:t>
        </w:r>
      </w:ins>
      <w:del w:id="26" w:author="Sébastien Guyader" w:date="2021-06-18T07:10:46Z">
        <w:r>
          <w:rPr>
            <w:rFonts w:cs="Calibri" w:cstheme="minorHAnsi"/>
            <w:sz w:val="24"/>
            <w:szCs w:val="24"/>
          </w:rPr>
          <w:delText>fongique</w:delText>
        </w:r>
      </w:del>
      <w:r>
        <w:rPr>
          <w:rFonts w:cs="Calibri" w:cstheme="minorHAnsi"/>
          <w:sz w:val="24"/>
          <w:szCs w:val="24"/>
        </w:rPr>
        <w:t xml:space="preserve"> les traitements </w:t>
      </w:r>
      <w:del w:id="27" w:author="Sébastien Guyader" w:date="2021-06-18T07:10:51Z">
        <w:r>
          <w:rPr>
            <w:rFonts w:cs="Calibri" w:cstheme="minorHAnsi"/>
            <w:sz w:val="24"/>
            <w:szCs w:val="24"/>
          </w:rPr>
          <w:delText xml:space="preserve">fongicides </w:delText>
        </w:r>
      </w:del>
      <w:r>
        <w:rPr>
          <w:rFonts w:cs="Calibri" w:cstheme="minorHAnsi"/>
          <w:sz w:val="24"/>
          <w:szCs w:val="24"/>
        </w:rPr>
        <w:t>sont devenus inefficaces. L’utilisation de ses produits est alors interdite</w:t>
      </w:r>
      <w:ins w:id="28" w:author="Sébastien Guyader" w:date="2021-06-18T07:11:12Z">
        <w:r>
          <w:rPr>
            <w:rFonts w:cs="Calibri" w:cstheme="minorHAnsi"/>
            <w:sz w:val="24"/>
            <w:szCs w:val="24"/>
          </w:rPr>
          <w:t xml:space="preserve"> </w:t>
        </w:r>
      </w:ins>
      <w:ins w:id="29" w:author="Sébastien Guyader" w:date="2021-06-18T07:11:12Z">
        <w:r>
          <w:rPr>
            <w:rFonts w:cs="Calibri" w:cstheme="minorHAnsi"/>
            <w:sz w:val="24"/>
            <w:szCs w:val="24"/>
          </w:rPr>
          <w:t>dans l’espace européen</w:t>
        </w:r>
      </w:ins>
      <w:r>
        <w:rPr>
          <w:rFonts w:cs="Calibri" w:cstheme="minorHAnsi"/>
          <w:sz w:val="24"/>
          <w:szCs w:val="24"/>
        </w:rPr>
        <w:t>. Jusqu’à maintenant</w:t>
      </w:r>
      <w:ins w:id="30" w:author="Sébastien Guyader" w:date="2021-06-18T07:11:26Z">
        <w:r>
          <w:rPr>
            <w:rFonts w:cs="Calibri" w:cstheme="minorHAnsi"/>
            <w:sz w:val="24"/>
            <w:szCs w:val="24"/>
          </w:rPr>
          <w:t>,</w:t>
        </w:r>
      </w:ins>
      <w:r>
        <w:rPr>
          <w:rFonts w:cs="Calibri" w:cstheme="minorHAnsi"/>
          <w:sz w:val="24"/>
          <w:szCs w:val="24"/>
        </w:rPr>
        <w:t xml:space="preserve"> </w:t>
      </w:r>
      <w:del w:id="31" w:author="Sébastien Guyader" w:date="2021-06-18T07:11:39Z">
        <w:r>
          <w:rPr>
            <w:rFonts w:cs="Calibri" w:cstheme="minorHAnsi"/>
            <w:sz w:val="24"/>
            <w:szCs w:val="24"/>
          </w:rPr>
          <w:delText>sur</w:delText>
        </w:r>
      </w:del>
      <w:ins w:id="32" w:author="Sébastien Guyader" w:date="2021-06-18T07:11:39Z">
        <w:r>
          <w:rPr>
            <w:rFonts w:cs="Calibri" w:cstheme="minorHAnsi"/>
            <w:sz w:val="24"/>
            <w:szCs w:val="24"/>
          </w:rPr>
          <w:t>seulement</w:t>
        </w:r>
      </w:ins>
      <w:r>
        <w:rPr>
          <w:rFonts w:cs="Calibri" w:cstheme="minorHAnsi"/>
          <w:sz w:val="24"/>
          <w:szCs w:val="24"/>
        </w:rPr>
        <w:t xml:space="preserve"> cinq souches de </w:t>
      </w:r>
      <w:del w:id="33" w:author="Sébastien Guyader" w:date="2021-06-18T07:11:44Z">
        <w:r>
          <w:rPr>
            <w:rFonts w:cs="Calibri" w:cstheme="minorHAnsi"/>
            <w:i/>
            <w:iCs/>
            <w:sz w:val="24"/>
            <w:szCs w:val="24"/>
          </w:rPr>
          <w:delText>c</w:delText>
        </w:r>
      </w:del>
      <w:ins w:id="34" w:author="Sébastien Guyader" w:date="2021-06-18T07:11:44Z">
        <w:r>
          <w:rPr>
            <w:rFonts w:cs="Calibri" w:cstheme="minorHAnsi"/>
            <w:i/>
            <w:iCs/>
            <w:sz w:val="24"/>
            <w:szCs w:val="24"/>
          </w:rPr>
          <w:t>C</w:t>
        </w:r>
      </w:ins>
      <w:r>
        <w:rPr>
          <w:rFonts w:cs="Calibri" w:cstheme="minorHAnsi"/>
          <w:i/>
          <w:iCs/>
          <w:sz w:val="24"/>
          <w:szCs w:val="24"/>
          <w:rPrChange w:id="0" w:author="Sébastien Guyader" w:date="2021-06-18T07:12:27Z"/>
        </w:rPr>
        <w:t>olletotrichum</w:t>
      </w:r>
      <w:r>
        <w:rPr>
          <w:rFonts w:cs="Calibri" w:cstheme="minorHAnsi"/>
          <w:sz w:val="24"/>
          <w:szCs w:val="24"/>
        </w:rPr>
        <w:t xml:space="preserve"> responsables de l’anthracnose </w:t>
      </w:r>
      <w:del w:id="36" w:author="Sébastien Guyader" w:date="2021-06-18T07:11:48Z">
        <w:r>
          <w:rPr>
            <w:rFonts w:cs="Calibri" w:cstheme="minorHAnsi"/>
            <w:sz w:val="24"/>
            <w:szCs w:val="24"/>
          </w:rPr>
          <w:delText xml:space="preserve"> </w:delText>
        </w:r>
      </w:del>
      <w:r>
        <w:rPr>
          <w:rFonts w:cs="Calibri" w:cstheme="minorHAnsi"/>
          <w:sz w:val="24"/>
          <w:szCs w:val="24"/>
        </w:rPr>
        <w:t>de</w:t>
      </w:r>
      <w:ins w:id="37" w:author="Sébastien Guyader" w:date="2021-06-18T07:11:50Z">
        <w:r>
          <w:rPr>
            <w:rFonts w:cs="Calibri" w:cstheme="minorHAnsi"/>
            <w:sz w:val="24"/>
            <w:szCs w:val="24"/>
          </w:rPr>
          <w:t xml:space="preserve"> </w:t>
        </w:r>
      </w:ins>
      <w:ins w:id="38" w:author="Sébastien Guyader" w:date="2021-06-18T07:11:50Z">
        <w:r>
          <w:rPr>
            <w:rFonts w:cs="Calibri" w:cstheme="minorHAnsi"/>
            <w:sz w:val="24"/>
            <w:szCs w:val="24"/>
          </w:rPr>
          <w:t>l’igname</w:t>
        </w:r>
      </w:ins>
      <w:r>
        <w:rPr>
          <w:rFonts w:cs="Calibri" w:cstheme="minorHAnsi"/>
          <w:sz w:val="24"/>
          <w:szCs w:val="24"/>
        </w:rPr>
        <w:t xml:space="preserve"> </w:t>
      </w:r>
      <w:r>
        <w:rPr>
          <w:rFonts w:cs="Calibri" w:cstheme="minorHAnsi"/>
          <w:i/>
          <w:iCs/>
          <w:sz w:val="24"/>
          <w:szCs w:val="24"/>
          <w:rPrChange w:id="0" w:author="Sébastien Guyader" w:date="2021-06-18T07:11:58Z"/>
        </w:rPr>
        <w:t>Dioscorea</w:t>
      </w:r>
      <w:r>
        <w:rPr>
          <w:rFonts w:cs="Calibri" w:cstheme="minorHAnsi"/>
          <w:sz w:val="24"/>
          <w:szCs w:val="24"/>
        </w:rPr>
        <w:t xml:space="preserve"> spp. </w:t>
      </w:r>
      <w:ins w:id="40" w:author="Sébastien Guyader" w:date="2021-06-18T07:12:01Z">
        <w:r>
          <w:rPr>
            <w:rFonts w:cs="Calibri" w:cstheme="minorHAnsi"/>
            <w:sz w:val="24"/>
            <w:szCs w:val="24"/>
          </w:rPr>
          <w:t xml:space="preserve">ont été </w:t>
        </w:r>
      </w:ins>
      <w:r>
        <w:rPr>
          <w:rFonts w:cs="Calibri" w:cstheme="minorHAnsi"/>
          <w:sz w:val="24"/>
          <w:szCs w:val="24"/>
        </w:rPr>
        <w:t>séquencées</w:t>
      </w:r>
      <w:ins w:id="41" w:author="Sébastien Guyader" w:date="2021-06-18T07:12:07Z">
        <w:r>
          <w:rPr>
            <w:rFonts w:cs="Calibri" w:cstheme="minorHAnsi"/>
            <w:sz w:val="24"/>
            <w:szCs w:val="24"/>
          </w:rPr>
          <w:t xml:space="preserve"> ,</w:t>
        </w:r>
      </w:ins>
      <w:ins w:id="42" w:author="Sébastien Guyader" w:date="2021-06-18T07:12:07Z">
        <w:r>
          <w:rPr>
            <w:rFonts w:cs="Calibri" w:cstheme="minorHAnsi"/>
            <w:sz w:val="24"/>
            <w:szCs w:val="24"/>
          </w:rPr>
          <w:t>en vue de leur placement dans la systématique des champignons du genre</w:t>
        </w:r>
      </w:ins>
      <w:ins w:id="43" w:author="Sébastien Guyader" w:date="2021-06-18T07:12:07Z">
        <w:r>
          <w:rPr>
            <w:rFonts w:cs="Calibri" w:cstheme="minorHAnsi"/>
            <w:i/>
            <w:iCs/>
            <w:sz w:val="24"/>
            <w:szCs w:val="24"/>
          </w:rPr>
          <w:t xml:space="preserve"> </w:t>
        </w:r>
      </w:ins>
      <w:r>
        <w:rPr>
          <w:rFonts w:cs="Calibri" w:cstheme="minorHAnsi"/>
          <w:i/>
          <w:iCs/>
          <w:sz w:val="24"/>
          <w:szCs w:val="24"/>
          <w:rPrChange w:id="0" w:author="Sébastien Guyader" w:date="2021-06-18T07:12:32Z"/>
        </w:rPr>
        <w:t xml:space="preserve"> </w:t>
      </w:r>
      <w:ins w:id="45" w:author="Sébastien Guyader" w:date="2021-06-18T07:12:32Z">
        <w:r>
          <w:rPr>
            <w:rFonts w:cs="Calibri" w:cstheme="minorHAnsi"/>
            <w:i/>
            <w:iCs/>
            <w:sz w:val="24"/>
            <w:szCs w:val="24"/>
          </w:rPr>
          <w:t>Colletotrichum.</w:t>
        </w:r>
      </w:ins>
      <w:r>
        <w:rPr>
          <w:rFonts w:cs="Calibri" w:cstheme="minorHAnsi"/>
          <w:i/>
          <w:iCs/>
          <w:sz w:val="24"/>
          <w:szCs w:val="24"/>
          <w:rPrChange w:id="0" w:author="Sébastien Guyader" w:date="2021-06-18T07:12:32Z"/>
        </w:rPr>
        <w:t xml:space="preserve"> </w:t>
      </w:r>
      <w:del w:id="47" w:author="Sébastien Guyader" w:date="2021-06-18T07:12:52Z">
        <w:r>
          <w:rPr>
            <w:rFonts w:cs="Calibri" w:cstheme="minorHAnsi"/>
            <w:i/>
            <w:iCs/>
            <w:sz w:val="24"/>
            <w:szCs w:val="24"/>
          </w:rPr>
          <w:delText>seulement t</w:delText>
        </w:r>
      </w:del>
      <w:ins w:id="48" w:author="Sébastien Guyader" w:date="2021-06-18T07:12:52Z">
        <w:r>
          <w:rPr>
            <w:rFonts w:cs="Calibri" w:cstheme="minorHAnsi"/>
            <w:sz w:val="24"/>
            <w:szCs w:val="24"/>
          </w:rPr>
          <w:t>T</w:t>
        </w:r>
      </w:ins>
      <w:r>
        <w:rPr>
          <w:rFonts w:cs="Calibri" w:cstheme="minorHAnsi"/>
          <w:sz w:val="24"/>
          <w:szCs w:val="24"/>
        </w:rPr>
        <w:t>rois espèces ont pu être identifié</w:t>
      </w:r>
      <w:ins w:id="49" w:author="Sébastien Guyader" w:date="2021-06-18T07:12:56Z">
        <w:r>
          <w:rPr>
            <w:rFonts w:cs="Calibri" w:cstheme="minorHAnsi"/>
            <w:sz w:val="24"/>
            <w:szCs w:val="24"/>
          </w:rPr>
          <w:t>es</w:t>
        </w:r>
      </w:ins>
      <w:r>
        <w:rPr>
          <w:rFonts w:cs="Calibri" w:cstheme="minorHAnsi"/>
          <w:sz w:val="24"/>
          <w:szCs w:val="24"/>
        </w:rPr>
        <w:t xml:space="preserve"> </w:t>
      </w:r>
      <w:del w:id="50" w:author="Sébastien Guyader" w:date="2021-06-18T07:13:12Z">
        <w:r>
          <w:rPr>
            <w:rFonts w:cs="Calibri" w:cstheme="minorHAnsi"/>
            <w:sz w:val="24"/>
            <w:szCs w:val="24"/>
          </w:rPr>
          <w:delText>spécifique à l’igname</w:delText>
        </w:r>
      </w:del>
      <w:ins w:id="51" w:author="Sébastien Guyader" w:date="2021-06-18T07:13:13Z">
        <w:r>
          <w:rPr>
            <w:rFonts w:cs="Calibri" w:cstheme="minorHAnsi"/>
            <w:sz w:val="24"/>
            <w:szCs w:val="24"/>
          </w:rPr>
          <w:t> </w:t>
        </w:r>
      </w:ins>
      <w:del w:id="52" w:author="Sébastien Guyader" w:date="2021-06-18T07:13:12Z">
        <w:r>
          <w:rPr>
            <w:rFonts w:cs="Calibri" w:cstheme="minorHAnsi"/>
            <w:sz w:val="24"/>
            <w:szCs w:val="24"/>
          </w:rPr>
          <w:delText xml:space="preserve"> </w:delText>
        </w:r>
      </w:del>
      <w:ins w:id="53" w:author="Sébastien Guyader" w:date="2021-06-18T07:13:13Z">
        <w:r>
          <w:rPr>
            <w:rFonts w:cs="Calibri" w:cstheme="minorHAnsi"/>
            <w:sz w:val="24"/>
            <w:szCs w:val="24"/>
          </w:rPr>
          <w:t>:</w:t>
        </w:r>
      </w:ins>
      <w:r>
        <w:rPr>
          <w:rFonts w:cs="Calibri" w:cstheme="minorHAnsi"/>
          <w:sz w:val="24"/>
          <w:szCs w:val="24"/>
        </w:rPr>
        <w:t xml:space="preserve"> </w:t>
      </w:r>
      <w:r>
        <w:rPr>
          <w:rFonts w:cs="Calibri" w:cstheme="minorHAnsi"/>
          <w:i/>
          <w:iCs/>
          <w:sz w:val="24"/>
          <w:szCs w:val="24"/>
          <w:rPrChange w:id="0" w:author="Sébastien Guyader" w:date="2021-06-18T07:13:45Z"/>
        </w:rPr>
        <w:t>C.</w:t>
      </w:r>
      <w:ins w:id="55" w:author="Sébastien Guyader" w:date="2021-06-18T07:13:16Z">
        <w:r>
          <w:rPr>
            <w:rFonts w:cs="Calibri" w:cstheme="minorHAnsi"/>
            <w:i/>
            <w:iCs/>
            <w:sz w:val="24"/>
            <w:szCs w:val="24"/>
          </w:rPr>
          <w:t xml:space="preserve"> </w:t>
        </w:r>
      </w:ins>
      <w:r>
        <w:rPr>
          <w:rFonts w:cs="Calibri" w:cstheme="minorHAnsi"/>
          <w:i/>
          <w:iCs/>
          <w:sz w:val="24"/>
          <w:szCs w:val="24"/>
          <w:rPrChange w:id="0" w:author="Sébastien Guyader" w:date="2021-06-18T07:13:45Z"/>
        </w:rPr>
        <w:t>alatae</w:t>
      </w:r>
      <w:ins w:id="57" w:author="Sébastien Guyader" w:date="2021-06-18T07:13:20Z">
        <w:r>
          <w:rPr>
            <w:rFonts w:cs="Calibri" w:cstheme="minorHAnsi"/>
            <w:sz w:val="24"/>
            <w:szCs w:val="24"/>
          </w:rPr>
          <w:t xml:space="preserve">, </w:t>
        </w:r>
      </w:ins>
      <w:ins w:id="58" w:author="Sébastien Guyader" w:date="2021-06-18T07:13:20Z">
        <w:r>
          <w:rPr>
            <w:rFonts w:cs="Calibri" w:cstheme="minorHAnsi"/>
            <w:sz w:val="24"/>
            <w:szCs w:val="24"/>
          </w:rPr>
          <w:t xml:space="preserve">retrouvée seulement sur </w:t>
        </w:r>
      </w:ins>
      <w:ins w:id="59" w:author="Sébastien Guyader" w:date="2021-06-18T07:13:20Z">
        <w:r>
          <w:rPr>
            <w:rFonts w:cs="Calibri" w:cstheme="minorHAnsi"/>
            <w:i/>
            <w:iCs/>
            <w:sz w:val="24"/>
            <w:szCs w:val="24"/>
          </w:rPr>
          <w:t>Dioscorea alata</w:t>
        </w:r>
      </w:ins>
      <w:r>
        <w:rPr>
          <w:rFonts w:cs="Calibri" w:cstheme="minorHAnsi"/>
          <w:sz w:val="24"/>
          <w:szCs w:val="24"/>
        </w:rPr>
        <w:t xml:space="preserve">, </w:t>
      </w:r>
      <w:r>
        <w:rPr>
          <w:rFonts w:cs="Calibri" w:cstheme="minorHAnsi"/>
          <w:i/>
          <w:iCs/>
          <w:sz w:val="24"/>
          <w:szCs w:val="24"/>
          <w:rPrChange w:id="0" w:author="Sébastien Guyader" w:date="2021-06-18T07:13:52Z"/>
        </w:rPr>
        <w:t>C.</w:t>
      </w:r>
      <w:ins w:id="61" w:author="Sébastien Guyader" w:date="2021-06-18T07:13:50Z">
        <w:r>
          <w:rPr>
            <w:rFonts w:cs="Calibri" w:cstheme="minorHAnsi"/>
            <w:i/>
            <w:iCs/>
            <w:sz w:val="24"/>
            <w:szCs w:val="24"/>
          </w:rPr>
          <w:t xml:space="preserve"> </w:t>
        </w:r>
      </w:ins>
      <w:r>
        <w:rPr>
          <w:rFonts w:cs="Calibri" w:cstheme="minorHAnsi"/>
          <w:i/>
          <w:iCs/>
          <w:sz w:val="24"/>
          <w:szCs w:val="24"/>
          <w:rPrChange w:id="0" w:author="Sébastien Guyader" w:date="2021-06-18T07:13:52Z"/>
        </w:rPr>
        <w:t>fructicola</w:t>
      </w:r>
      <w:r>
        <w:rPr>
          <w:rFonts w:cs="Calibri" w:cstheme="minorHAnsi"/>
          <w:sz w:val="24"/>
          <w:szCs w:val="24"/>
        </w:rPr>
        <w:t xml:space="preserve"> et </w:t>
      </w:r>
      <w:r>
        <w:rPr>
          <w:rFonts w:cs="Calibri" w:cstheme="minorHAnsi"/>
          <w:i/>
          <w:iCs/>
          <w:sz w:val="24"/>
          <w:szCs w:val="24"/>
          <w:rPrChange w:id="0" w:author="Sébastien Guyader" w:date="2021-06-18T07:13:55Z"/>
        </w:rPr>
        <w:t>C.</w:t>
      </w:r>
      <w:ins w:id="64" w:author="Sébastien Guyader" w:date="2021-06-18T07:13:59Z">
        <w:r>
          <w:rPr>
            <w:rFonts w:cs="Calibri" w:cstheme="minorHAnsi"/>
            <w:i/>
            <w:iCs/>
            <w:sz w:val="24"/>
            <w:szCs w:val="24"/>
          </w:rPr>
          <w:t xml:space="preserve"> </w:t>
        </w:r>
      </w:ins>
      <w:r>
        <w:rPr>
          <w:rFonts w:cs="Calibri" w:cstheme="minorHAnsi"/>
          <w:i/>
          <w:iCs/>
          <w:sz w:val="24"/>
          <w:szCs w:val="24"/>
          <w:rPrChange w:id="0" w:author="Sébastien Guyader" w:date="2021-06-18T07:13:55Z"/>
        </w:rPr>
        <w:t>siamense</w:t>
      </w:r>
      <w:r>
        <w:rPr>
          <w:rFonts w:cs="Calibri" w:cstheme="minorHAnsi"/>
          <w:sz w:val="24"/>
          <w:szCs w:val="24"/>
        </w:rPr>
        <w:t xml:space="preserve"> </w:t>
      </w:r>
      <w:del w:id="66" w:author="Sébastien Guyader" w:date="2021-06-18T07:14:02Z">
        <w:r>
          <w:rPr>
            <w:rFonts w:cs="Calibri" w:cstheme="minorHAnsi"/>
            <w:sz w:val="24"/>
            <w:szCs w:val="24"/>
          </w:rPr>
          <w:delText xml:space="preserve">dans le monde </w:delText>
        </w:r>
      </w:del>
      <w:r>
        <w:rPr>
          <w:rFonts w:cs="Calibri" w:cstheme="minorHAnsi"/>
          <w:sz w:val="24"/>
          <w:szCs w:val="24"/>
        </w:rPr>
        <w:t xml:space="preserve">(Weir et al.,2012). </w:t>
      </w:r>
      <w:del w:id="67" w:author="Sébastien Guyader" w:date="2021-06-18T07:14:49Z">
        <w:r>
          <w:rPr>
            <w:rFonts w:cs="Calibri" w:cstheme="minorHAnsi"/>
            <w:sz w:val="24"/>
            <w:szCs w:val="24"/>
          </w:rPr>
          <w:delText>Pour faire face à ce phénomène</w:delText>
        </w:r>
      </w:del>
      <w:ins w:id="68" w:author="Sébastien Guyader" w:date="2021-06-18T07:14:49Z">
        <w:commentRangeStart w:id="0"/>
        <w:r>
          <w:rPr>
            <w:rFonts w:cs="Calibri" w:cstheme="minorHAnsi"/>
            <w:sz w:val="24"/>
            <w:szCs w:val="24"/>
          </w:rPr>
          <w:t>Dans ce travail,</w:t>
        </w:r>
      </w:ins>
      <w:r>
        <w:rPr>
          <w:rFonts w:cs="Calibri" w:cstheme="minorHAnsi"/>
          <w:sz w:val="24"/>
          <w:szCs w:val="24"/>
        </w:rPr>
        <w:t xml:space="preserve"> nous étudierons la diversité par analyse des espèces de </w:t>
      </w:r>
      <w:del w:id="69" w:author="Sébastien Guyader" w:date="2021-06-18T07:15:01Z">
        <w:r>
          <w:rPr>
            <w:rFonts w:cs="Calibri" w:cstheme="minorHAnsi"/>
            <w:sz w:val="24"/>
            <w:szCs w:val="24"/>
          </w:rPr>
          <w:delText>c</w:delText>
        </w:r>
      </w:del>
      <w:ins w:id="70" w:author="Sébastien Guyader" w:date="2021-06-18T07:15:01Z">
        <w:r>
          <w:rPr>
            <w:rFonts w:cs="Calibri" w:cstheme="minorHAnsi"/>
            <w:i/>
            <w:iCs/>
            <w:sz w:val="24"/>
            <w:szCs w:val="24"/>
          </w:rPr>
          <w:t>C</w:t>
        </w:r>
      </w:ins>
      <w:r>
        <w:rPr>
          <w:rFonts w:cs="Calibri" w:cstheme="minorHAnsi"/>
          <w:i/>
          <w:iCs/>
          <w:sz w:val="24"/>
          <w:szCs w:val="24"/>
          <w:rPrChange w:id="0" w:author="Sébastien Guyader" w:date="2021-06-18T07:15:05Z"/>
        </w:rPr>
        <w:t>olletotrichum</w:t>
      </w:r>
      <w:r>
        <w:rPr>
          <w:rFonts w:cs="Calibri" w:cstheme="minorHAnsi"/>
          <w:sz w:val="24"/>
          <w:szCs w:val="24"/>
        </w:rPr>
        <w:t xml:space="preserve"> présente</w:t>
      </w:r>
      <w:ins w:id="72" w:author="Sébastien Guyader" w:date="2021-06-18T07:15:08Z">
        <w:r>
          <w:rPr>
            <w:rFonts w:cs="Calibri" w:cstheme="minorHAnsi"/>
            <w:sz w:val="24"/>
            <w:szCs w:val="24"/>
          </w:rPr>
          <w:t>s</w:t>
        </w:r>
      </w:ins>
      <w:r>
        <w:rPr>
          <w:rFonts w:cs="Calibri" w:cstheme="minorHAnsi"/>
          <w:sz w:val="24"/>
          <w:szCs w:val="24"/>
        </w:rPr>
        <w:t xml:space="preserve"> en Guadeloupe dans le but d’élaborer</w:t>
      </w:r>
      <w:del w:id="73" w:author="Sébastien Guyader" w:date="2021-06-18T07:15:21Z">
        <w:r>
          <w:rPr>
            <w:rFonts w:cs="Calibri" w:cstheme="minorHAnsi"/>
            <w:sz w:val="24"/>
            <w:szCs w:val="24"/>
          </w:rPr>
          <w:delText>, à l’aide de recherche mené au préalable, au sein de l’INRAE,</w:delText>
        </w:r>
      </w:del>
      <w:r>
        <w:rPr>
          <w:rFonts w:cs="Calibri" w:cstheme="minorHAnsi"/>
          <w:sz w:val="24"/>
          <w:szCs w:val="24"/>
        </w:rPr>
        <w:t xml:space="preserve"> un outil de détection par le biais d’une technique d’amplification </w:t>
      </w:r>
      <w:del w:id="74" w:author="Sébastien Guyader" w:date="2021-06-18T07:15:35Z">
        <w:r>
          <w:rPr>
            <w:rFonts w:cs="Calibri" w:cstheme="minorHAnsi"/>
            <w:sz w:val="24"/>
            <w:szCs w:val="24"/>
          </w:rPr>
          <w:delText>de biologie moléculaire</w:delText>
        </w:r>
      </w:del>
      <w:ins w:id="75" w:author="Sébastien Guyader" w:date="2021-06-18T07:15:35Z">
        <w:r>
          <w:rPr>
            <w:rFonts w:cs="Calibri" w:cstheme="minorHAnsi"/>
            <w:sz w:val="24"/>
            <w:szCs w:val="24"/>
          </w:rPr>
          <w:t>de l’ADN</w:t>
        </w:r>
      </w:ins>
      <w:r>
        <w:rPr>
          <w:rFonts w:cs="Calibri" w:cstheme="minorHAnsi"/>
          <w:sz w:val="24"/>
          <w:szCs w:val="24"/>
        </w:rPr>
        <w:t> </w:t>
      </w:r>
      <w:del w:id="76" w:author="Sébastien Guyader" w:date="2021-06-18T07:15:45Z">
        <w:r>
          <w:rPr>
            <w:rFonts w:cs="Calibri" w:cstheme="minorHAnsi"/>
            <w:sz w:val="24"/>
            <w:szCs w:val="24"/>
          </w:rPr>
          <w:delText>; soit créé un test ou trois (si pas de similitude dans les séquences) en partant des trois séquences déjà identifiées</w:delText>
        </w:r>
      </w:del>
      <w:r>
        <w:rPr>
          <w:rFonts w:cs="Calibri" w:cstheme="minorHAnsi"/>
          <w:sz w:val="24"/>
          <w:szCs w:val="24"/>
        </w:rPr>
        <w:t>.</w:t>
      </w:r>
      <w:ins w:id="77" w:author="Sébastien Guyader" w:date="2021-06-18T07:14:28Z">
        <w:commentRangeEnd w:id="0"/>
        <w:r>
          <w:commentReference w:id="0"/>
        </w:r>
        <w:r>
          <w:rPr>
            <w:rFonts w:cs="Calibri" w:cstheme="minorHAnsi"/>
            <w:sz w:val="24"/>
            <w:szCs w:val="24"/>
          </w:rPr>
        </w:r>
      </w:ins>
    </w:p>
    <w:p>
      <w:pPr>
        <w:pStyle w:val="Normal"/>
        <w:rPr>
          <w:rFonts w:ascii="Corbel" w:hAnsi="Corbel"/>
          <w:b/>
          <w:b/>
          <w:sz w:val="28"/>
        </w:rPr>
      </w:pPr>
      <w:r>
        <w:rPr>
          <w:rFonts w:ascii="Corbel" w:hAnsi="Corbel"/>
          <w:b/>
          <w:sz w:val="28"/>
        </w:rPr>
      </w:r>
    </w:p>
    <w:p>
      <w:pPr>
        <w:pStyle w:val="ListParagraph"/>
        <w:numPr>
          <w:ilvl w:val="0"/>
          <w:numId w:val="14"/>
        </w:numPr>
        <w:jc w:val="both"/>
        <w:rPr>
          <w:rFonts w:cs="Calibri" w:cstheme="minorHAnsi"/>
          <w:b/>
          <w:b/>
          <w:sz w:val="24"/>
          <w:szCs w:val="24"/>
          <w:u w:val="single"/>
        </w:rPr>
      </w:pPr>
      <w:ins w:id="78" w:author="Sébastien Guyader" w:date="2021-06-18T07:15:50Z">
        <w:r>
          <w:rPr>
            <w:rFonts w:cs="Calibri" w:cstheme="minorHAnsi"/>
            <w:b/>
            <w:i w:val="false"/>
            <w:iCs w:val="false"/>
            <w:sz w:val="24"/>
            <w:szCs w:val="24"/>
            <w:u w:val="single"/>
          </w:rPr>
          <w:t>L’igname</w:t>
        </w:r>
      </w:ins>
      <w:ins w:id="79" w:author="Sébastien Guyader" w:date="2021-06-18T07:15:50Z">
        <w:r>
          <w:rPr>
            <w:rFonts w:cs="Calibri" w:cstheme="minorHAnsi"/>
            <w:b/>
            <w:i/>
            <w:sz w:val="24"/>
            <w:szCs w:val="24"/>
            <w:u w:val="single"/>
          </w:rPr>
          <w:t xml:space="preserve"> </w:t>
        </w:r>
      </w:ins>
      <w:r>
        <w:rPr>
          <w:rFonts w:cs="Calibri" w:cstheme="minorHAnsi"/>
          <w:b/>
          <w:i/>
          <w:sz w:val="24"/>
          <w:szCs w:val="24"/>
          <w:u w:val="single"/>
        </w:rPr>
        <w:t>Dioscorea spp</w:t>
      </w:r>
      <w:r>
        <w:rPr>
          <w:rFonts w:cs="Calibri" w:cstheme="minorHAnsi"/>
          <w:b/>
          <w:sz w:val="24"/>
          <w:szCs w:val="24"/>
          <w:u w:val="single"/>
        </w:rPr>
        <w:t xml:space="preserve">.  </w:t>
      </w:r>
    </w:p>
    <w:p>
      <w:pPr>
        <w:pStyle w:val="Normal"/>
        <w:spacing w:lineRule="auto" w:line="360"/>
        <w:jc w:val="both"/>
        <w:rPr>
          <w:rFonts w:ascii="Calibri" w:hAnsi="Calibri" w:cs="Calibri"/>
          <w:sz w:val="24"/>
          <w:szCs w:val="24"/>
        </w:rPr>
      </w:pPr>
      <w:r>
        <w:rPr>
          <w:rFonts w:cs="Calibri"/>
          <w:sz w:val="24"/>
          <w:szCs w:val="24"/>
        </w:rPr>
        <w:t xml:space="preserve">L’igname </w:t>
      </w:r>
      <w:r>
        <w:rPr>
          <w:rFonts w:cs="Calibri"/>
          <w:i/>
          <w:sz w:val="24"/>
          <w:szCs w:val="24"/>
        </w:rPr>
        <w:t>Dioscorea spp</w:t>
      </w:r>
      <w:r>
        <w:rPr>
          <w:rFonts w:cs="Calibri"/>
          <w:sz w:val="24"/>
          <w:szCs w:val="24"/>
        </w:rPr>
        <w:t xml:space="preserve">. est une plante à tubercule, monocotylédone qui appartient à la famille des </w:t>
      </w:r>
      <w:r>
        <w:rPr>
          <w:rFonts w:cs="Calibri"/>
          <w:i/>
          <w:iCs/>
          <w:sz w:val="24"/>
          <w:szCs w:val="24"/>
          <w:rPrChange w:id="0" w:author="Sébastien Guyader" w:date="2021-06-18T07:16:12Z"/>
        </w:rPr>
        <w:t>Dioscoreaceae</w:t>
      </w:r>
      <w:r>
        <w:rPr>
          <w:rFonts w:cs="Calibri"/>
          <w:sz w:val="24"/>
          <w:szCs w:val="24"/>
          <w:highlight w:val="yellow"/>
        </w:rPr>
        <w:t xml:space="preserve"> (Bradshaw ,2010)</w:t>
      </w:r>
      <w:r>
        <w:rPr>
          <w:rFonts w:cs="Calibri"/>
          <w:sz w:val="24"/>
          <w:szCs w:val="24"/>
        </w:rPr>
        <w:t xml:space="preserve">. Les tubercules de tailles et de formes variables regroupent plus de 600 espèces(FAOStat). Cultivée dans les régions tropicales (germination optimale entre 25°C et 30°C) pour la consommation de ses tubercules, l’igname, nutritionnellement, est une source d’amidon de vitamine et de protéines </w:t>
      </w:r>
      <w:r>
        <w:rPr>
          <w:rFonts w:cs="Calibri"/>
          <w:sz w:val="24"/>
          <w:szCs w:val="24"/>
          <w:highlight w:val="yellow"/>
        </w:rPr>
        <w:t>(Egesi et al.,2003</w:t>
      </w:r>
      <w:r>
        <w:rPr>
          <w:rFonts w:cs="Calibri"/>
          <w:sz w:val="24"/>
          <w:szCs w:val="24"/>
        </w:rPr>
        <w:t xml:space="preserve">). L’igname </w:t>
      </w:r>
      <w:commentRangeStart w:id="1"/>
      <w:r>
        <w:rPr>
          <w:rFonts w:cs="Calibri"/>
          <w:i/>
          <w:iCs/>
          <w:sz w:val="24"/>
          <w:szCs w:val="24"/>
          <w:rPrChange w:id="0" w:author="Sébastien Guyader" w:date="2021-06-18T07:16:26Z"/>
        </w:rPr>
        <w:t>Dioscorea</w:t>
      </w:r>
      <w:r>
        <w:rPr>
          <w:rFonts w:cs="Calibri"/>
          <w:sz w:val="24"/>
          <w:szCs w:val="24"/>
        </w:rPr>
        <w:t> spp</w:t>
      </w:r>
      <w:ins w:id="82" w:author="Sébastien Guyader" w:date="2021-06-18T07:16:36Z">
        <w:r>
          <w:rPr>
            <w:rFonts w:cs="Calibri"/>
            <w:sz w:val="24"/>
            <w:szCs w:val="24"/>
          </w:rPr>
        </w:r>
      </w:ins>
      <w:commentRangeEnd w:id="1"/>
      <w:r>
        <w:commentReference w:id="1"/>
      </w:r>
      <w:r>
        <w:rPr>
          <w:rFonts w:cs="Calibri"/>
          <w:sz w:val="24"/>
          <w:szCs w:val="24"/>
        </w:rPr>
        <w:t>. est cultivée sur 4,6 millions d'hectares dans le monde et représente la quatrième plante à tubercule avec deux principales espèces cultivées </w:t>
      </w:r>
      <w:r>
        <w:rPr>
          <w:rFonts w:cs="Calibri"/>
          <w:i/>
          <w:iCs/>
          <w:sz w:val="24"/>
          <w:szCs w:val="24"/>
        </w:rPr>
        <w:t>D. cayenensis-rotundata</w:t>
      </w:r>
      <w:r>
        <w:rPr>
          <w:rFonts w:cs="Calibri"/>
          <w:sz w:val="24"/>
          <w:szCs w:val="24"/>
        </w:rPr>
        <w:t>, et </w:t>
      </w:r>
      <w:r>
        <w:rPr>
          <w:rFonts w:cs="Calibri"/>
          <w:i/>
          <w:iCs/>
          <w:sz w:val="24"/>
          <w:szCs w:val="24"/>
        </w:rPr>
        <w:t>D. alata</w:t>
      </w:r>
      <w:r>
        <w:rPr>
          <w:rFonts w:cs="Calibri"/>
          <w:sz w:val="24"/>
          <w:szCs w:val="24"/>
        </w:rPr>
        <w:t xml:space="preserve"> </w:t>
      </w:r>
      <w:r>
        <w:rPr>
          <w:rFonts w:cs="Calibri"/>
          <w:sz w:val="24"/>
          <w:szCs w:val="24"/>
          <w:highlight w:val="yellow"/>
        </w:rPr>
        <w:t>(FAOStat, 2009 ; INRAE).</w:t>
      </w:r>
      <w:r>
        <w:rPr>
          <w:rFonts w:cs="Calibri"/>
          <w:sz w:val="24"/>
          <w:szCs w:val="24"/>
        </w:rPr>
        <w:t xml:space="preserve"> L’Afrique détient la majorité de la production mondiale d’igname soit 36 millions de tonnes (FAO,2004).</w:t>
      </w:r>
      <w:r>
        <w:rPr>
          <w:rFonts w:cs="Calibri"/>
          <w:color w:val="222222"/>
          <w:sz w:val="24"/>
          <w:szCs w:val="24"/>
          <w:shd w:fill="FFFFFF" w:val="clear"/>
        </w:rPr>
        <w:t xml:space="preserve"> En </w:t>
      </w:r>
      <w:r>
        <w:rPr>
          <w:rFonts w:cs="Calibri"/>
          <w:sz w:val="24"/>
          <w:szCs w:val="24"/>
        </w:rPr>
        <w:t>Guadeloupe, la production d'igname en revanche, ne représente que 6000 tonnes par an. Par ailleurs, c'est la première culture vivrière de Guadeloupe, elle constitue donc un enjeu majeur en termes d'autosuffisance alimentaire</w:t>
      </w:r>
      <w:ins w:id="83" w:author="Sébastien Guyader" w:date="2021-06-18T07:17:20Z">
        <w:r>
          <w:rPr>
            <w:rFonts w:cs="Calibri"/>
            <w:sz w:val="24"/>
            <w:szCs w:val="24"/>
          </w:rPr>
          <w:t xml:space="preserve"> </w:t>
        </w:r>
      </w:ins>
      <w:r>
        <w:rPr>
          <w:rFonts w:cs="Calibri"/>
          <w:sz w:val="24"/>
          <w:szCs w:val="24"/>
        </w:rPr>
        <w:t>(</w:t>
      </w:r>
      <w:commentRangeStart w:id="2"/>
      <w:r>
        <w:rPr>
          <w:rFonts w:cs="Calibri"/>
          <w:sz w:val="24"/>
          <w:szCs w:val="24"/>
        </w:rPr>
        <w:t>INRAE</w:t>
      </w:r>
      <w:ins w:id="84" w:author="Sébastien Guyader" w:date="2021-06-18T07:17:27Z">
        <w:r>
          <w:rPr>
            <w:rFonts w:cs="Calibri"/>
            <w:sz w:val="24"/>
            <w:szCs w:val="24"/>
          </w:rPr>
        </w:r>
      </w:ins>
      <w:commentRangeEnd w:id="2"/>
      <w:r>
        <w:commentReference w:id="2"/>
      </w:r>
      <w:r>
        <w:rPr>
          <w:rFonts w:cs="Calibri"/>
          <w:sz w:val="24"/>
          <w:szCs w:val="24"/>
        </w:rPr>
        <w:t>).</w:t>
      </w:r>
    </w:p>
    <w:p>
      <w:pPr>
        <w:pStyle w:val="ListParagraph"/>
        <w:numPr>
          <w:ilvl w:val="0"/>
          <w:numId w:val="14"/>
        </w:numPr>
        <w:jc w:val="both"/>
        <w:rPr>
          <w:rFonts w:cs="Calibri" w:cstheme="minorHAnsi"/>
          <w:b/>
          <w:b/>
          <w:i/>
          <w:i/>
          <w:sz w:val="24"/>
          <w:szCs w:val="24"/>
        </w:rPr>
      </w:pPr>
      <w:del w:id="85" w:author="Sébastien Guyader" w:date="2021-06-18T07:18:21Z">
        <w:r>
          <w:rPr>
            <w:rFonts w:cs="Calibri" w:cstheme="minorHAnsi"/>
            <w:b/>
            <w:i/>
            <w:sz w:val="24"/>
            <w:szCs w:val="24"/>
          </w:rPr>
          <w:delText>Dioscorea alata</w:delText>
        </w:r>
      </w:del>
    </w:p>
    <w:p>
      <w:pPr>
        <w:pStyle w:val="Normal"/>
        <w:spacing w:lineRule="auto" w:line="360"/>
        <w:jc w:val="both"/>
        <w:rPr>
          <w:rFonts w:cs="Calibri" w:cstheme="minorHAnsi"/>
          <w:sz w:val="24"/>
          <w:szCs w:val="24"/>
        </w:rPr>
      </w:pPr>
      <w:r>
        <w:rPr>
          <w:rFonts w:cs="Calibri" w:cstheme="minorHAnsi"/>
          <w:i/>
          <w:sz w:val="24"/>
          <w:szCs w:val="24"/>
        </w:rPr>
        <w:t>Dioscorea alata</w:t>
      </w:r>
      <w:r>
        <w:rPr>
          <w:rFonts w:cs="Calibri" w:cstheme="minorHAnsi"/>
          <w:sz w:val="24"/>
          <w:szCs w:val="24"/>
        </w:rPr>
        <w:t xml:space="preserve"> appelée « igname blanche », «</w:t>
      </w:r>
      <w:del w:id="86" w:author="Sébastien Guyader" w:date="2021-06-18T07:18:29Z">
        <w:r>
          <w:rPr>
            <w:rFonts w:cs="Calibri" w:cstheme="minorHAnsi"/>
            <w:sz w:val="24"/>
            <w:szCs w:val="24"/>
          </w:rPr>
          <w:delText xml:space="preserve">la </w:delText>
        </w:r>
      </w:del>
      <w:r>
        <w:rPr>
          <w:rFonts w:cs="Calibri" w:cstheme="minorHAnsi"/>
          <w:sz w:val="24"/>
          <w:szCs w:val="24"/>
        </w:rPr>
        <w:t xml:space="preserve">grande igname » ou « water yam » fait partie des principales espèces d’ignames </w:t>
      </w:r>
      <w:del w:id="87" w:author="Sébastien Guyader" w:date="2021-06-18T07:18:16Z">
        <w:r>
          <w:rPr>
            <w:rFonts w:cs="Calibri" w:cstheme="minorHAnsi"/>
            <w:sz w:val="24"/>
            <w:szCs w:val="24"/>
          </w:rPr>
          <w:delText xml:space="preserve"> </w:delText>
        </w:r>
      </w:del>
      <w:r>
        <w:rPr>
          <w:rFonts w:cs="Calibri" w:cstheme="minorHAnsi"/>
          <w:sz w:val="24"/>
          <w:szCs w:val="24"/>
        </w:rPr>
        <w:t xml:space="preserve">cultivées aux Antilles françaises y compris notamment  </w:t>
      </w:r>
      <w:r>
        <w:rPr>
          <w:rFonts w:cs="Calibri" w:cstheme="minorHAnsi"/>
          <w:i/>
          <w:sz w:val="24"/>
          <w:szCs w:val="24"/>
        </w:rPr>
        <w:t>Dioscorea cayenensis</w:t>
      </w:r>
      <w:r>
        <w:rPr>
          <w:rFonts w:cs="Calibri" w:cstheme="minorHAnsi"/>
          <w:sz w:val="24"/>
          <w:szCs w:val="24"/>
        </w:rPr>
        <w:t xml:space="preserve"> et  </w:t>
      </w:r>
      <w:r>
        <w:rPr>
          <w:rFonts w:cs="Calibri" w:cstheme="minorHAnsi"/>
          <w:i/>
          <w:sz w:val="24"/>
          <w:szCs w:val="24"/>
        </w:rPr>
        <w:t>Dioscorea trifida</w:t>
      </w:r>
      <w:r>
        <w:rPr>
          <w:rFonts w:cs="Calibri" w:cstheme="minorHAnsi"/>
          <w:sz w:val="24"/>
          <w:szCs w:val="24"/>
        </w:rPr>
        <w:t xml:space="preserve">. Néanmoins, l’espèce </w:t>
      </w:r>
      <w:r>
        <w:rPr>
          <w:rFonts w:cs="Calibri" w:cstheme="minorHAnsi"/>
          <w:i/>
          <w:sz w:val="24"/>
          <w:szCs w:val="24"/>
        </w:rPr>
        <w:t>D.Alata</w:t>
      </w:r>
      <w:r>
        <w:rPr>
          <w:rFonts w:cs="Calibri" w:cstheme="minorHAnsi"/>
          <w:sz w:val="24"/>
          <w:szCs w:val="24"/>
        </w:rPr>
        <w:t xml:space="preserve"> et ses nombreuses variétés demeurent les plus cultivées en raison de la qualité de ses tubercules et de sa longue durée de conservation.  Cette même espèce </w:t>
      </w:r>
      <w:ins w:id="88" w:author="Sébastien Guyader" w:date="2021-06-18T07:19:07Z">
        <w:r>
          <w:rPr>
            <w:rFonts w:cs="Calibri" w:cstheme="minorHAnsi"/>
            <w:sz w:val="24"/>
            <w:szCs w:val="24"/>
          </w:rPr>
          <w:t xml:space="preserve">est celle qui </w:t>
        </w:r>
      </w:ins>
      <w:r>
        <w:rPr>
          <w:rFonts w:cs="Calibri" w:cstheme="minorHAnsi"/>
          <w:sz w:val="24"/>
          <w:szCs w:val="24"/>
        </w:rPr>
        <w:t>se heurte</w:t>
      </w:r>
      <w:ins w:id="89" w:author="Sébastien Guyader" w:date="2021-06-18T07:19:14Z">
        <w:r>
          <w:rPr>
            <w:rFonts w:cs="Calibri" w:cstheme="minorHAnsi"/>
            <w:sz w:val="24"/>
            <w:szCs w:val="24"/>
          </w:rPr>
          <w:t xml:space="preserve"> </w:t>
        </w:r>
      </w:ins>
      <w:ins w:id="90" w:author="Sébastien Guyader" w:date="2021-06-18T07:19:14Z">
        <w:r>
          <w:rPr>
            <w:rFonts w:cs="Calibri" w:cstheme="minorHAnsi"/>
            <w:sz w:val="24"/>
            <w:szCs w:val="24"/>
          </w:rPr>
          <w:t>à</w:t>
        </w:r>
      </w:ins>
      <w:r>
        <w:rPr>
          <w:rFonts w:cs="Calibri" w:cstheme="minorHAnsi"/>
          <w:sz w:val="24"/>
          <w:szCs w:val="24"/>
        </w:rPr>
        <w:t xml:space="preserve"> des pertes importantes </w:t>
      </w:r>
      <w:del w:id="91" w:author="Sébastien Guyader" w:date="2021-06-18T07:19:20Z">
        <w:r>
          <w:rPr>
            <w:rFonts w:cs="Calibri" w:cstheme="minorHAnsi"/>
            <w:sz w:val="24"/>
            <w:szCs w:val="24"/>
          </w:rPr>
          <w:delText>sur le</w:delText>
        </w:r>
      </w:del>
      <w:ins w:id="92" w:author="Sébastien Guyader" w:date="2021-06-18T07:19:20Z">
        <w:r>
          <w:rPr>
            <w:rFonts w:cs="Calibri" w:cstheme="minorHAnsi"/>
            <w:sz w:val="24"/>
            <w:szCs w:val="24"/>
          </w:rPr>
          <w:t>de</w:t>
        </w:r>
      </w:ins>
      <w:r>
        <w:rPr>
          <w:rFonts w:cs="Calibri" w:cstheme="minorHAnsi"/>
          <w:sz w:val="24"/>
          <w:szCs w:val="24"/>
        </w:rPr>
        <w:t xml:space="preserve"> rendement suite à de nombreux épisodes épidémiques d’anthracnose dû</w:t>
      </w:r>
      <w:ins w:id="93" w:author="Sébastien Guyader" w:date="2021-06-18T07:19:26Z">
        <w:r>
          <w:rPr>
            <w:rFonts w:cs="Calibri" w:cstheme="minorHAnsi"/>
            <w:sz w:val="24"/>
            <w:szCs w:val="24"/>
          </w:rPr>
          <w:t>s</w:t>
        </w:r>
      </w:ins>
      <w:r>
        <w:rPr>
          <w:rFonts w:cs="Calibri" w:cstheme="minorHAnsi"/>
          <w:sz w:val="24"/>
          <w:szCs w:val="24"/>
        </w:rPr>
        <w:t xml:space="preserve"> à un agent pathogène de type fongique et d’une sensibilité à celle-ci (INRAE).</w:t>
      </w:r>
    </w:p>
    <w:p>
      <w:pPr>
        <w:pStyle w:val="Normal"/>
        <w:spacing w:lineRule="auto" w:line="360"/>
        <w:jc w:val="both"/>
        <w:rPr>
          <w:rFonts w:ascii="Corbel" w:hAnsi="Corbel"/>
          <w:b/>
          <w:b/>
          <w:sz w:val="28"/>
        </w:rPr>
      </w:pPr>
      <w:r>
        <w:rPr>
          <w:rFonts w:ascii="Corbel" w:hAnsi="Corbel"/>
          <w:b/>
          <w:sz w:val="28"/>
        </w:rPr>
      </w:r>
    </w:p>
    <w:p>
      <w:pPr>
        <w:pStyle w:val="ListParagraph"/>
        <w:numPr>
          <w:ilvl w:val="0"/>
          <w:numId w:val="14"/>
        </w:numPr>
        <w:rPr>
          <w:rFonts w:ascii="Calibri" w:hAnsi="Calibri" w:cs="Calibri"/>
          <w:b/>
          <w:b/>
          <w:i/>
          <w:i/>
          <w:sz w:val="24"/>
          <w:szCs w:val="24"/>
        </w:rPr>
      </w:pPr>
      <w:r>
        <w:rPr>
          <w:rFonts w:cs="Calibri"/>
          <w:b/>
          <w:sz w:val="24"/>
          <w:szCs w:val="24"/>
        </w:rPr>
        <w:t xml:space="preserve">Complexe d’espèces </w:t>
      </w:r>
      <w:r>
        <w:rPr>
          <w:rFonts w:cs="Calibri"/>
          <w:b/>
          <w:i/>
          <w:sz w:val="24"/>
          <w:szCs w:val="24"/>
        </w:rPr>
        <w:t>Colletotrichum gloeosporioides</w:t>
      </w:r>
    </w:p>
    <w:p>
      <w:pPr>
        <w:pStyle w:val="Normal"/>
        <w:spacing w:lineRule="auto" w:line="360"/>
        <w:jc w:val="both"/>
        <w:rPr>
          <w:rFonts w:ascii="Calibri" w:hAnsi="Calibri" w:cs="Calibri"/>
          <w:sz w:val="24"/>
          <w:szCs w:val="24"/>
        </w:rPr>
      </w:pPr>
      <w:r>
        <w:rPr>
          <w:rFonts w:cs="Calibri"/>
          <w:sz w:val="24"/>
          <w:szCs w:val="24"/>
        </w:rPr>
        <w:t xml:space="preserve">Le genre </w:t>
      </w:r>
      <w:r>
        <w:rPr>
          <w:rFonts w:cs="Calibri"/>
          <w:i/>
          <w:sz w:val="24"/>
          <w:szCs w:val="24"/>
        </w:rPr>
        <w:t>Colletotrichum</w:t>
      </w:r>
      <w:r>
        <w:rPr>
          <w:rFonts w:cs="Calibri"/>
          <w:sz w:val="24"/>
          <w:szCs w:val="24"/>
        </w:rPr>
        <w:t xml:space="preserve"> est l’un des groupes contenant le plus grand nombre d’espèces phytopathogènes.</w:t>
      </w:r>
      <w:r>
        <w:rPr>
          <w:rFonts w:cs="Arial" w:ascii="Arial" w:hAnsi="Arial"/>
          <w:color w:val="1C1D1E"/>
          <w:shd w:fill="FFFFFF" w:val="clear"/>
        </w:rPr>
        <w:t xml:space="preserve"> </w:t>
      </w:r>
      <w:r>
        <w:rPr>
          <w:rFonts w:cs="Calibri"/>
          <w:sz w:val="24"/>
          <w:szCs w:val="24"/>
        </w:rPr>
        <w:t>Pratiquement toutes les plantes cultivées dans le monde sont sensibles à une ou plusieurs espèces.</w:t>
      </w:r>
      <w:r>
        <w:rPr>
          <w:rFonts w:cs="Arial" w:ascii="Arial" w:hAnsi="Arial"/>
          <w:color w:val="1C1D1E"/>
          <w:shd w:fill="FFFFFF" w:val="clear"/>
        </w:rPr>
        <w:t xml:space="preserve"> </w:t>
      </w:r>
      <w:r>
        <w:rPr>
          <w:rFonts w:cs="Calibri"/>
          <w:sz w:val="24"/>
          <w:szCs w:val="24"/>
        </w:rPr>
        <w:t>Les dommages causés par </w:t>
      </w:r>
      <w:r>
        <w:rPr>
          <w:rFonts w:cs="Calibri"/>
          <w:i/>
          <w:iCs/>
          <w:sz w:val="24"/>
          <w:szCs w:val="24"/>
        </w:rPr>
        <w:t xml:space="preserve">Colletotrichum </w:t>
      </w:r>
      <w:r>
        <w:rPr>
          <w:rFonts w:cs="Calibri"/>
          <w:sz w:val="24"/>
          <w:szCs w:val="24"/>
        </w:rPr>
        <w:t>spp. s'étend à d'importantes cultures vivrières de base, notamment des bananes, et du manioc</w:t>
      </w:r>
      <w:r>
        <w:rPr/>
        <w:t xml:space="preserve"> </w:t>
      </w:r>
      <w:r>
        <w:rPr>
          <w:rFonts w:cs="Calibri"/>
          <w:sz w:val="24"/>
          <w:szCs w:val="24"/>
        </w:rPr>
        <w:t xml:space="preserve">dans les pays en développement des régions tropicales et subtropicales. </w:t>
      </w:r>
      <w:del w:id="94" w:author="Sébastien Guyader" w:date="2021-06-18T07:20:04Z">
        <w:r>
          <w:rPr>
            <w:rFonts w:cs="Calibri"/>
            <w:sz w:val="24"/>
            <w:szCs w:val="24"/>
          </w:rPr>
          <w:delText>Le</w:delText>
        </w:r>
      </w:del>
      <w:ins w:id="95" w:author="Sébastien Guyader" w:date="2021-06-18T07:20:04Z">
        <w:r>
          <w:rPr>
            <w:rFonts w:cs="Calibri"/>
            <w:sz w:val="24"/>
            <w:szCs w:val="24"/>
          </w:rPr>
          <w:t>Historiquement, l’espèce</w:t>
        </w:r>
      </w:ins>
      <w:r>
        <w:rPr>
          <w:rFonts w:cs="Calibri"/>
          <w:sz w:val="24"/>
          <w:szCs w:val="24"/>
        </w:rPr>
        <w:t xml:space="preserve"> </w:t>
      </w:r>
      <w:r>
        <w:rPr>
          <w:rFonts w:cs="Calibri"/>
          <w:i/>
          <w:sz w:val="24"/>
          <w:szCs w:val="24"/>
        </w:rPr>
        <w:t>Colletotrichum gloeosporioides</w:t>
      </w:r>
      <w:r>
        <w:rPr>
          <w:rFonts w:cs="Calibri"/>
          <w:sz w:val="24"/>
          <w:szCs w:val="24"/>
        </w:rPr>
        <w:t xml:space="preserve"> </w:t>
      </w:r>
      <w:del w:id="96" w:author="Sébastien Guyader" w:date="2021-06-18T07:20:21Z">
        <w:r>
          <w:rPr>
            <w:rFonts w:cs="Calibri"/>
            <w:sz w:val="24"/>
            <w:szCs w:val="24"/>
          </w:rPr>
          <w:delText>est</w:delText>
        </w:r>
      </w:del>
      <w:ins w:id="97" w:author="Sébastien Guyader" w:date="2021-06-18T07:20:21Z">
        <w:r>
          <w:rPr>
            <w:rFonts w:cs="Calibri"/>
            <w:sz w:val="24"/>
            <w:szCs w:val="24"/>
          </w:rPr>
          <w:t>a été</w:t>
        </w:r>
      </w:ins>
      <w:r>
        <w:rPr>
          <w:rFonts w:cs="Calibri"/>
          <w:sz w:val="24"/>
          <w:szCs w:val="24"/>
        </w:rPr>
        <w:t xml:space="preserve"> largement reconnu</w:t>
      </w:r>
      <w:ins w:id="98" w:author="Sébastien Guyader" w:date="2021-06-18T07:20:25Z">
        <w:r>
          <w:rPr>
            <w:rFonts w:cs="Calibri"/>
            <w:sz w:val="24"/>
            <w:szCs w:val="24"/>
          </w:rPr>
          <w:t>e</w:t>
        </w:r>
      </w:ins>
      <w:r>
        <w:rPr>
          <w:rFonts w:cs="Calibri"/>
          <w:sz w:val="24"/>
          <w:szCs w:val="24"/>
        </w:rPr>
        <w:t xml:space="preserve"> comme l'agent causal de l'anthracnose de l'igname </w:t>
      </w:r>
      <w:r>
        <w:rPr>
          <w:rFonts w:cs="Calibri"/>
          <w:sz w:val="24"/>
          <w:szCs w:val="24"/>
          <w:highlight w:val="yellow"/>
        </w:rPr>
        <w:t>(Dean et al.,2012)</w:t>
      </w:r>
      <w:ins w:id="99" w:author="Sébastien Guyader" w:date="2021-06-18T07:20:28Z">
        <w:r>
          <w:rPr>
            <w:rFonts w:cs="Calibri"/>
            <w:sz w:val="24"/>
            <w:szCs w:val="24"/>
            <w:highlight w:val="yellow"/>
          </w:rPr>
          <w:t xml:space="preserve">, </w:t>
        </w:r>
      </w:ins>
      <w:ins w:id="100" w:author="Sébastien Guyader" w:date="2021-06-18T07:20:28Z">
        <w:r>
          <w:rPr>
            <w:rFonts w:cs="Calibri"/>
            <w:sz w:val="24"/>
            <w:szCs w:val="24"/>
            <w:highlight w:val="yellow"/>
          </w:rPr>
          <w:t xml:space="preserve">avant que la taxonomie du genre </w:t>
        </w:r>
      </w:ins>
      <w:ins w:id="101" w:author="Sébastien Guyader" w:date="2021-06-18T07:20:28Z">
        <w:r>
          <w:rPr>
            <w:rFonts w:cs="Calibri"/>
            <w:i/>
            <w:iCs/>
            <w:sz w:val="24"/>
            <w:szCs w:val="24"/>
            <w:highlight w:val="yellow"/>
          </w:rPr>
          <w:t xml:space="preserve">Colletotrichum </w:t>
        </w:r>
      </w:ins>
      <w:ins w:id="102" w:author="Sébastien Guyader" w:date="2021-06-18T07:20:28Z">
        <w:r>
          <w:rPr>
            <w:rFonts w:cs="Calibri"/>
            <w:i w:val="false"/>
            <w:iCs w:val="false"/>
            <w:sz w:val="24"/>
            <w:szCs w:val="24"/>
            <w:highlight w:val="yellow"/>
          </w:rPr>
          <w:t>ne soit révisée</w:t>
        </w:r>
      </w:ins>
      <w:r>
        <w:rPr>
          <w:rFonts w:cs="Calibri"/>
          <w:sz w:val="24"/>
          <w:szCs w:val="24"/>
        </w:rPr>
        <w:t>.</w:t>
      </w:r>
    </w:p>
    <w:p>
      <w:pPr>
        <w:pStyle w:val="Normal"/>
        <w:spacing w:lineRule="auto" w:line="360"/>
        <w:jc w:val="both"/>
        <w:rPr>
          <w:rFonts w:cs="Calibri" w:cstheme="minorHAnsi"/>
          <w:b/>
          <w:b/>
          <w:sz w:val="24"/>
          <w:szCs w:val="24"/>
        </w:rPr>
      </w:pPr>
      <w:r>
        <w:rPr>
          <w:rFonts w:cs="Calibri" w:cstheme="minorHAnsi"/>
          <w:b/>
          <w:sz w:val="28"/>
        </w:rPr>
        <w:t xml:space="preserve">           </w:t>
      </w:r>
      <w:r>
        <w:rPr>
          <w:rFonts w:cs="Calibri" w:cstheme="minorHAnsi"/>
          <w:b/>
          <w:sz w:val="24"/>
          <w:szCs w:val="24"/>
        </w:rPr>
        <w:t xml:space="preserve">    </w:t>
      </w:r>
      <w:r>
        <w:rPr>
          <w:rFonts w:cs="Calibri" w:cstheme="minorHAnsi"/>
          <w:b/>
          <w:sz w:val="24"/>
          <w:szCs w:val="24"/>
        </w:rPr>
        <w:t xml:space="preserve">3. 1) Taxonomie </w:t>
      </w:r>
    </w:p>
    <w:p>
      <w:pPr>
        <w:pStyle w:val="Normal"/>
        <w:spacing w:lineRule="auto" w:line="360"/>
        <w:jc w:val="both"/>
        <w:rPr>
          <w:rFonts w:cs="Calibri" w:cstheme="minorHAnsi"/>
          <w:sz w:val="24"/>
          <w:szCs w:val="24"/>
        </w:rPr>
      </w:pPr>
      <w:r>
        <w:rPr>
          <w:rFonts w:cs="Calibri" w:cstheme="minorHAnsi"/>
          <w:sz w:val="24"/>
          <w:szCs w:val="24"/>
        </w:rPr>
        <w:t xml:space="preserve">Le nom </w:t>
      </w:r>
      <w:r>
        <w:rPr>
          <w:rFonts w:cs="Calibri" w:cstheme="minorHAnsi"/>
          <w:i/>
          <w:sz w:val="24"/>
          <w:szCs w:val="24"/>
        </w:rPr>
        <w:t>Colletotrichum gloeosporioides</w:t>
      </w:r>
      <w:r>
        <w:rPr>
          <w:rFonts w:cs="Calibri" w:cstheme="minorHAnsi"/>
          <w:sz w:val="24"/>
          <w:szCs w:val="24"/>
        </w:rPr>
        <w:t xml:space="preserve"> a été proposé  la première fois en  1882 en Italie  pour « </w:t>
      </w:r>
      <w:r>
        <w:rPr>
          <w:rFonts w:cs="Calibri" w:cstheme="minorHAnsi"/>
          <w:i/>
          <w:sz w:val="24"/>
          <w:szCs w:val="24"/>
        </w:rPr>
        <w:t>Vermicularia gloeosporioides</w:t>
      </w:r>
      <w:r>
        <w:rPr>
          <w:rFonts w:cs="Calibri" w:cstheme="minorHAnsi"/>
          <w:sz w:val="24"/>
          <w:szCs w:val="24"/>
        </w:rPr>
        <w:t> » collecté sur un</w:t>
      </w:r>
      <w:r>
        <w:rPr>
          <w:rFonts w:cs="Calibri" w:cstheme="minorHAnsi"/>
          <w:i/>
          <w:sz w:val="24"/>
          <w:szCs w:val="24"/>
        </w:rPr>
        <w:t xml:space="preserve"> Citrus</w:t>
      </w:r>
      <w:r>
        <w:rPr>
          <w:rFonts w:cs="Calibri" w:cstheme="minorHAnsi"/>
          <w:sz w:val="24"/>
          <w:szCs w:val="24"/>
        </w:rPr>
        <w:t>.</w:t>
      </w:r>
      <w:r>
        <w:rPr>
          <w:rFonts w:cs="Calibri"/>
          <w:sz w:val="24"/>
          <w:szCs w:val="24"/>
        </w:rPr>
        <w:t xml:space="preserve"> </w:t>
      </w:r>
      <w:r>
        <w:rPr>
          <w:rFonts w:cs="Calibri" w:cstheme="minorHAnsi"/>
          <w:i/>
          <w:sz w:val="24"/>
          <w:szCs w:val="24"/>
        </w:rPr>
        <w:t xml:space="preserve">Colletotrichum gloeosporioides </w:t>
      </w:r>
      <w:r>
        <w:rPr>
          <w:rFonts w:cs="Calibri" w:cstheme="minorHAnsi"/>
          <w:sz w:val="24"/>
          <w:szCs w:val="24"/>
        </w:rPr>
        <w:t xml:space="preserve">est de l’embranchement des Ascomycètes et appartient à la famille des Glomerellaceae </w:t>
      </w:r>
      <w:r>
        <w:rPr>
          <w:rFonts w:cs="Calibri" w:cstheme="minorHAnsi"/>
          <w:sz w:val="24"/>
          <w:szCs w:val="24"/>
          <w:highlight w:val="yellow"/>
        </w:rPr>
        <w:t>(Canon et al.,2012)</w:t>
      </w:r>
      <w:r>
        <w:rPr>
          <w:rFonts w:cs="Calibri" w:cstheme="minorHAnsi"/>
          <w:sz w:val="24"/>
          <w:szCs w:val="24"/>
        </w:rPr>
        <w:t xml:space="preserve">  . </w:t>
      </w:r>
      <w:r>
        <w:rPr>
          <w:rFonts w:cs="Calibri"/>
          <w:sz w:val="24"/>
          <w:szCs w:val="24"/>
        </w:rPr>
        <w:t xml:space="preserve">Cependant, l'identification et la différenciation des espèces de Colletotrichum sur la base de caractéristiques morphologiques ont souvent été inadéquates </w:t>
      </w:r>
      <w:r>
        <w:rPr>
          <w:rFonts w:cs="Calibri"/>
          <w:sz w:val="24"/>
          <w:szCs w:val="24"/>
          <w:highlight w:val="yellow"/>
        </w:rPr>
        <w:t>(Abang et al,.2002)</w:t>
      </w:r>
      <w:r>
        <w:rPr>
          <w:rFonts w:cs="Calibri"/>
          <w:sz w:val="24"/>
          <w:szCs w:val="24"/>
        </w:rPr>
        <w:t xml:space="preserve">. Une approche par analyse phylogénétique </w:t>
      </w:r>
      <w:ins w:id="103" w:author="Sébastien Guyader" w:date="2021-06-18T07:29:55Z">
        <w:r>
          <w:rPr>
            <w:rFonts w:cs="Calibri"/>
            <w:sz w:val="24"/>
            <w:szCs w:val="24"/>
          </w:rPr>
          <w:t>basée sur la con</w:t>
        </w:r>
      </w:ins>
      <w:ins w:id="104" w:author="Sébastien Guyader" w:date="2021-06-18T07:30:00Z">
        <w:r>
          <w:rPr>
            <w:rFonts w:cs="Calibri"/>
            <w:sz w:val="24"/>
            <w:szCs w:val="24"/>
          </w:rPr>
          <w:t xml:space="preserve">caténation de plusieurs gènes </w:t>
        </w:r>
      </w:ins>
      <w:r>
        <w:rPr>
          <w:rFonts w:cs="Calibri"/>
          <w:sz w:val="24"/>
          <w:szCs w:val="24"/>
        </w:rPr>
        <w:t xml:space="preserve">a permis de déterminer </w:t>
      </w:r>
      <w:r>
        <w:rPr>
          <w:rFonts w:cs="Calibri" w:cstheme="minorHAnsi"/>
          <w:i/>
          <w:sz w:val="24"/>
          <w:szCs w:val="24"/>
        </w:rPr>
        <w:t>C. gloeosporioides</w:t>
      </w:r>
      <w:r>
        <w:rPr>
          <w:rFonts w:cs="Calibri" w:cstheme="minorHAnsi"/>
          <w:sz w:val="24"/>
          <w:szCs w:val="24"/>
        </w:rPr>
        <w:t xml:space="preserve"> comme un complexe d’espèces comprenant 22 espèces dont une sous-espèce</w:t>
      </w:r>
      <w:del w:id="105" w:author="Sébastien Guyader" w:date="2021-06-18T07:30:42Z">
        <w:r>
          <w:rPr>
            <w:rFonts w:cs="Calibri" w:cstheme="minorHAnsi"/>
            <w:sz w:val="24"/>
            <w:szCs w:val="24"/>
          </w:rPr>
          <w:delText>.</w:delText>
        </w:r>
      </w:del>
      <w:r>
        <w:rPr>
          <w:rFonts w:cs="Calibri" w:cstheme="minorHAnsi"/>
          <w:sz w:val="24"/>
          <w:szCs w:val="24"/>
        </w:rPr>
        <w:t xml:space="preserve"> (</w:t>
      </w:r>
      <w:r>
        <w:rPr>
          <w:rFonts w:cs="Calibri" w:cstheme="minorHAnsi"/>
          <w:sz w:val="24"/>
          <w:szCs w:val="24"/>
          <w:highlight w:val="yellow"/>
        </w:rPr>
        <w:t>Déversoire et al.,2014)</w:t>
      </w:r>
      <w:del w:id="106" w:author="Sébastien Guyader" w:date="2021-06-18T07:31:15Z">
        <w:r>
          <w:rPr>
            <w:rFonts w:cs="Calibri" w:cstheme="minorHAnsi"/>
            <w:sz w:val="24"/>
            <w:szCs w:val="24"/>
            <w:highlight w:val="yellow"/>
          </w:rPr>
          <w:delText xml:space="preserve">. </w:delText>
        </w:r>
      </w:del>
      <w:ins w:id="107" w:author="Sébastien Guyader" w:date="2021-06-18T07:30:48Z">
        <w:r>
          <w:rPr>
            <w:rFonts w:cs="Calibri" w:cstheme="minorHAnsi"/>
            <w:sz w:val="24"/>
            <w:szCs w:val="24"/>
          </w:rPr>
          <w:t xml:space="preserve"> </w:t>
        </w:r>
      </w:ins>
      <w:ins w:id="108" w:author="Sébastien Guyader" w:date="2021-06-18T07:30:48Z">
        <w:r>
          <w:rPr>
            <w:rFonts w:cs="Calibri" w:cstheme="minorHAnsi"/>
            <w:sz w:val="24"/>
            <w:szCs w:val="24"/>
          </w:rPr>
          <w:t>tandis que l’analyse par les outils classique</w:t>
        </w:r>
      </w:ins>
      <w:ins w:id="109" w:author="Sébastien Guyader" w:date="2021-06-18T07:31:00Z">
        <w:r>
          <w:rPr>
            <w:rFonts w:cs="Calibri" w:cstheme="minorHAnsi"/>
            <w:sz w:val="24"/>
            <w:szCs w:val="24"/>
          </w:rPr>
          <w:t>s (zone ITS) ne permettait pas d’assigner de manière fiable les séquences à des espèces.</w:t>
        </w:r>
      </w:ins>
    </w:p>
    <w:p>
      <w:pPr>
        <w:pStyle w:val="Normal"/>
        <w:rPr>
          <w:rFonts w:cs="Calibri" w:cstheme="minorHAnsi"/>
          <w:sz w:val="24"/>
          <w:szCs w:val="24"/>
        </w:rPr>
      </w:pPr>
      <w:r>
        <w:rPr>
          <w:rFonts w:cs="Calibri" w:cstheme="minorHAnsi"/>
          <w:sz w:val="24"/>
          <w:szCs w:val="24"/>
        </w:rPr>
      </w:r>
    </w:p>
    <w:p>
      <w:pPr>
        <w:pStyle w:val="Normal"/>
        <w:jc w:val="both"/>
        <w:rPr>
          <w:rFonts w:ascii="Calibri" w:hAnsi="Calibri" w:cs="Calibri"/>
          <w:sz w:val="24"/>
        </w:rPr>
      </w:pPr>
      <w:r>
        <w:rPr>
          <w:rFonts w:cs="Calibri"/>
          <w:sz w:val="24"/>
        </w:rPr>
      </w:r>
    </w:p>
    <w:p>
      <w:pPr>
        <w:pStyle w:val="Normal"/>
        <w:spacing w:lineRule="auto" w:line="360"/>
        <w:jc w:val="both"/>
        <w:rPr>
          <w:rFonts w:ascii="Calibri" w:hAnsi="Calibri" w:cs="Calibri"/>
          <w:sz w:val="24"/>
          <w:szCs w:val="24"/>
        </w:rPr>
      </w:pPr>
      <w:r>
        <w:rPr>
          <w:rFonts w:cs="Calibri"/>
          <w:sz w:val="24"/>
          <w:szCs w:val="24"/>
        </w:rPr>
        <w:t xml:space="preserve">En utilisant la phylogénie,  Weir et </w:t>
      </w:r>
      <w:r>
        <w:rPr>
          <w:rFonts w:cs="Calibri"/>
          <w:i/>
          <w:sz w:val="24"/>
          <w:szCs w:val="24"/>
        </w:rPr>
        <w:t>al</w:t>
      </w:r>
      <w:ins w:id="110" w:author="Sébastien Guyader" w:date="2021-06-18T07:32:18Z">
        <w:r>
          <w:rPr>
            <w:rFonts w:cs="Calibri"/>
            <w:i/>
            <w:sz w:val="24"/>
            <w:szCs w:val="24"/>
          </w:rPr>
          <w:t xml:space="preserve"> </w:t>
        </w:r>
      </w:ins>
      <w:ins w:id="111" w:author="Sébastien Guyader" w:date="2021-06-18T07:32:18Z">
        <w:r>
          <w:rPr>
            <w:rFonts w:cs="Calibri"/>
            <w:i w:val="false"/>
            <w:iCs w:val="false"/>
            <w:sz w:val="24"/>
            <w:szCs w:val="24"/>
          </w:rPr>
          <w:t>(2012)</w:t>
        </w:r>
      </w:ins>
      <w:del w:id="112" w:author="Sébastien Guyader" w:date="2021-06-18T07:32:28Z">
        <w:r>
          <w:rPr>
            <w:rFonts w:cs="Calibri"/>
            <w:i/>
            <w:iCs w:val="false"/>
            <w:sz w:val="24"/>
            <w:szCs w:val="24"/>
          </w:rPr>
          <w:delText>,</w:delText>
        </w:r>
      </w:del>
      <w:r>
        <w:rPr>
          <w:rFonts w:cs="Calibri"/>
          <w:i/>
          <w:sz w:val="24"/>
          <w:szCs w:val="24"/>
        </w:rPr>
        <w:t xml:space="preserve"> </w:t>
      </w:r>
      <w:r>
        <w:rPr>
          <w:rFonts w:cs="Calibri"/>
          <w:sz w:val="24"/>
          <w:szCs w:val="24"/>
        </w:rPr>
        <w:t xml:space="preserve">ont mis en évidence sur l’igname trois espèces de colletotrichum : </w:t>
      </w:r>
      <w:r>
        <w:rPr>
          <w:rFonts w:cs="Calibri"/>
          <w:iCs/>
          <w:color w:val="2E2E2E"/>
          <w:sz w:val="24"/>
          <w:szCs w:val="24"/>
        </w:rPr>
        <w:t>En inde, la souche</w:t>
      </w:r>
      <w:r>
        <w:rPr>
          <w:rFonts w:cs="Calibri"/>
          <w:i/>
          <w:iCs/>
          <w:color w:val="2E2E2E"/>
          <w:sz w:val="24"/>
          <w:szCs w:val="24"/>
        </w:rPr>
        <w:t xml:space="preserve"> </w:t>
      </w:r>
      <w:r>
        <w:rPr>
          <w:rFonts w:cs="Calibri"/>
          <w:i/>
          <w:iCs/>
          <w:sz w:val="24"/>
          <w:szCs w:val="24"/>
        </w:rPr>
        <w:t>C. alatae</w:t>
      </w:r>
      <w:r>
        <w:rPr>
          <w:rFonts w:cs="Calibri"/>
          <w:sz w:val="24"/>
          <w:szCs w:val="24"/>
        </w:rPr>
        <w:t xml:space="preserve"> a été isolé sur </w:t>
      </w:r>
      <w:r>
        <w:rPr>
          <w:rFonts w:cs="Calibri"/>
          <w:i/>
          <w:iCs/>
          <w:sz w:val="24"/>
          <w:szCs w:val="24"/>
        </w:rPr>
        <w:t xml:space="preserve">Dioscorea alata ; </w:t>
      </w:r>
      <w:r>
        <w:rPr>
          <w:rFonts w:cs="Calibri"/>
          <w:iCs/>
          <w:sz w:val="24"/>
          <w:szCs w:val="24"/>
        </w:rPr>
        <w:t>la souche</w:t>
      </w:r>
      <w:r>
        <w:rPr>
          <w:rFonts w:cs="Calibri"/>
          <w:i/>
          <w:iCs/>
          <w:sz w:val="24"/>
          <w:szCs w:val="24"/>
        </w:rPr>
        <w:t xml:space="preserve"> C.fructicola </w:t>
      </w:r>
      <w:r>
        <w:rPr>
          <w:rFonts w:cs="Calibri"/>
          <w:iCs/>
          <w:sz w:val="24"/>
          <w:szCs w:val="24"/>
        </w:rPr>
        <w:t>isolée sur</w:t>
      </w:r>
      <w:r>
        <w:rPr>
          <w:rFonts w:cs="Calibri"/>
          <w:i/>
          <w:iCs/>
          <w:sz w:val="24"/>
          <w:szCs w:val="24"/>
        </w:rPr>
        <w:t xml:space="preserve">  Dioscorea alata  </w:t>
      </w:r>
      <w:r>
        <w:rPr>
          <w:rFonts w:cs="Calibri"/>
          <w:iCs/>
          <w:sz w:val="24"/>
          <w:szCs w:val="24"/>
        </w:rPr>
        <w:t xml:space="preserve">au Nigéria et toujours la souche </w:t>
      </w:r>
      <w:r>
        <w:rPr>
          <w:rFonts w:cs="Calibri"/>
          <w:i/>
          <w:iCs/>
          <w:sz w:val="24"/>
          <w:szCs w:val="24"/>
        </w:rPr>
        <w:t>C.siamense</w:t>
      </w:r>
      <w:r>
        <w:rPr>
          <w:rFonts w:cs="Calibri"/>
          <w:iCs/>
          <w:sz w:val="24"/>
          <w:szCs w:val="24"/>
        </w:rPr>
        <w:t xml:space="preserve"> a été isolée de </w:t>
      </w:r>
      <w:r>
        <w:rPr>
          <w:rFonts w:cs="Calibri"/>
          <w:i/>
          <w:iCs/>
          <w:sz w:val="24"/>
          <w:szCs w:val="24"/>
        </w:rPr>
        <w:t xml:space="preserve">Dioscorea rotundata </w:t>
      </w:r>
      <w:del w:id="113" w:author="Sébastien Guyader" w:date="2021-06-18T07:32:34Z">
        <w:r>
          <w:rPr>
            <w:rFonts w:cs="Calibri"/>
            <w:i/>
            <w:iCs/>
            <w:sz w:val="24"/>
            <w:szCs w:val="24"/>
            <w:highlight w:val="yellow"/>
          </w:rPr>
          <w:delText>(Weir et al.,2012)</w:delText>
        </w:r>
      </w:del>
      <w:r>
        <w:rPr>
          <w:rFonts w:cs="Calibri"/>
          <w:i/>
          <w:iCs/>
          <w:sz w:val="24"/>
          <w:szCs w:val="24"/>
        </w:rPr>
        <w:t xml:space="preserve"> .</w:t>
      </w:r>
    </w:p>
    <w:p>
      <w:pPr>
        <w:pStyle w:val="Normal"/>
        <w:jc w:val="both"/>
        <w:rPr>
          <w:rFonts w:cs="Calibri" w:cstheme="minorHAnsi"/>
          <w:b/>
          <w:b/>
          <w:sz w:val="24"/>
          <w:szCs w:val="24"/>
        </w:rPr>
      </w:pPr>
      <w:r>
        <w:rPr>
          <w:rFonts w:cs="Calibri" w:cstheme="minorHAnsi"/>
          <w:b/>
          <w:sz w:val="24"/>
          <w:szCs w:val="24"/>
        </w:rPr>
      </w:r>
    </w:p>
    <w:p>
      <w:pPr>
        <w:pStyle w:val="Normal"/>
        <w:ind w:left="360" w:hanging="0"/>
        <w:rPr>
          <w:rFonts w:cs="Calibri" w:cstheme="minorHAnsi"/>
          <w:b/>
          <w:b/>
          <w:sz w:val="24"/>
          <w:szCs w:val="24"/>
        </w:rPr>
      </w:pPr>
      <w:r>
        <w:rPr>
          <w:rFonts w:cs="Calibri" w:cstheme="minorHAnsi"/>
          <w:b/>
          <w:sz w:val="24"/>
          <w:szCs w:val="24"/>
        </w:rPr>
        <w:t>3.2 Morphologie, sexualité et identification du champignon</w:t>
      </w:r>
    </w:p>
    <w:p>
      <w:pPr>
        <w:pStyle w:val="Normal"/>
        <w:spacing w:lineRule="auto" w:line="360"/>
        <w:jc w:val="both"/>
        <w:rPr>
          <w:rFonts w:cs="Calibri" w:cstheme="minorHAnsi"/>
          <w:sz w:val="24"/>
          <w:szCs w:val="24"/>
        </w:rPr>
      </w:pPr>
      <w:r>
        <w:rPr>
          <w:rFonts w:cs="Calibri" w:cstheme="minorHAnsi"/>
          <w:sz w:val="24"/>
          <w:szCs w:val="24"/>
        </w:rPr>
        <w:t xml:space="preserve">De nombreux champignons se reproduisent à la fois sexuellement et asexuellement. Souvent, une seule méthode de reproduction est observable à un moment donné ou dans des conditions environnementales particulières. Dans le cas </w:t>
      </w:r>
      <w:del w:id="114" w:author="Sébastien Guyader" w:date="2021-06-18T07:33:29Z">
        <w:r>
          <w:rPr>
            <w:rFonts w:cs="Calibri" w:cstheme="minorHAnsi"/>
            <w:sz w:val="24"/>
            <w:szCs w:val="24"/>
          </w:rPr>
          <w:delText>de notre</w:delText>
        </w:r>
      </w:del>
      <w:ins w:id="115" w:author="Sébastien Guyader" w:date="2021-06-18T07:33:29Z">
        <w:r>
          <w:rPr>
            <w:rFonts w:cs="Calibri" w:cstheme="minorHAnsi"/>
            <w:sz w:val="24"/>
            <w:szCs w:val="24"/>
          </w:rPr>
          <w:t>du</w:t>
        </w:r>
      </w:ins>
      <w:r>
        <w:rPr>
          <w:rFonts w:cs="Calibri" w:cstheme="minorHAnsi"/>
          <w:sz w:val="24"/>
          <w:szCs w:val="24"/>
        </w:rPr>
        <w:t xml:space="preserve"> champignon</w:t>
      </w:r>
      <w:ins w:id="116" w:author="Sébastien Guyader" w:date="2021-06-18T07:33:31Z">
        <w:r>
          <w:rPr>
            <w:rFonts w:cs="Calibri" w:cstheme="minorHAnsi"/>
            <w:sz w:val="24"/>
            <w:szCs w:val="24"/>
          </w:rPr>
          <w:t xml:space="preserve"> </w:t>
        </w:r>
      </w:ins>
      <w:ins w:id="117" w:author="Sébastien Guyader" w:date="2021-06-18T07:33:31Z">
        <w:r>
          <w:rPr>
            <w:rFonts w:cs="Calibri" w:cstheme="minorHAnsi"/>
            <w:sz w:val="24"/>
            <w:szCs w:val="24"/>
          </w:rPr>
          <w:t>qui nous iontéresse</w:t>
        </w:r>
      </w:ins>
      <w:r>
        <w:rPr>
          <w:rFonts w:cs="Calibri" w:cstheme="minorHAnsi"/>
          <w:sz w:val="24"/>
          <w:szCs w:val="24"/>
        </w:rPr>
        <w:t xml:space="preserve">, </w:t>
      </w:r>
      <w:r>
        <w:rPr>
          <w:rFonts w:cs="Calibri" w:cstheme="minorHAnsi"/>
          <w:i/>
          <w:sz w:val="24"/>
          <w:szCs w:val="24"/>
        </w:rPr>
        <w:t>C. gloeosporioides</w:t>
      </w:r>
      <w:r>
        <w:rPr>
          <w:rFonts w:cs="Calibri" w:cstheme="minorHAnsi"/>
          <w:sz w:val="24"/>
          <w:szCs w:val="24"/>
        </w:rPr>
        <w:t xml:space="preserve"> est la forme anamorphe </w:t>
      </w:r>
      <w:del w:id="118" w:author="Sébastien Guyader" w:date="2021-06-18T07:34:13Z">
        <w:r>
          <w:rPr>
            <w:rFonts w:cs="Calibri" w:cstheme="minorHAnsi"/>
            <w:sz w:val="24"/>
            <w:szCs w:val="24"/>
          </w:rPr>
          <w:delText xml:space="preserve">de la </w:delText>
        </w:r>
      </w:del>
      <w:ins w:id="119" w:author="Sébastien Guyader" w:date="2021-06-18T07:34:13Z">
        <w:r>
          <w:rPr>
            <w:rFonts w:cs="Calibri" w:cstheme="minorHAnsi"/>
            <w:sz w:val="24"/>
            <w:szCs w:val="24"/>
          </w:rPr>
          <w:t>(</w:t>
        </w:r>
      </w:ins>
      <w:r>
        <w:rPr>
          <w:rFonts w:cs="Calibri" w:cstheme="minorHAnsi"/>
          <w:sz w:val="24"/>
          <w:szCs w:val="24"/>
        </w:rPr>
        <w:t>phase asexuée</w:t>
      </w:r>
      <w:ins w:id="120" w:author="Sébastien Guyader" w:date="2021-06-18T07:34:15Z">
        <w:r>
          <w:rPr>
            <w:rFonts w:cs="Calibri" w:cstheme="minorHAnsi"/>
            <w:sz w:val="24"/>
            <w:szCs w:val="24"/>
          </w:rPr>
          <w:t>)</w:t>
        </w:r>
      </w:ins>
      <w:r>
        <w:rPr>
          <w:rFonts w:cs="Calibri" w:cstheme="minorHAnsi"/>
          <w:sz w:val="24"/>
          <w:szCs w:val="24"/>
        </w:rPr>
        <w:t xml:space="preserve"> qui présente des </w:t>
      </w:r>
      <w:ins w:id="121" w:author="Sébastien Guyader" w:date="2021-06-18T07:34:22Z">
        <w:r>
          <w:rPr>
            <w:rFonts w:cs="Calibri" w:cstheme="minorHAnsi"/>
            <w:sz w:val="24"/>
            <w:szCs w:val="24"/>
          </w:rPr>
          <w:t xml:space="preserve">spores appelées </w:t>
        </w:r>
      </w:ins>
      <w:r>
        <w:rPr>
          <w:rFonts w:cs="Calibri" w:cstheme="minorHAnsi"/>
          <w:sz w:val="24"/>
          <w:szCs w:val="24"/>
        </w:rPr>
        <w:t>conidies</w:t>
      </w:r>
      <w:del w:id="122" w:author="Sébastien Guyader" w:date="2021-06-18T07:34:30Z">
        <w:r>
          <w:rPr>
            <w:rFonts w:cs="Calibri" w:cstheme="minorHAnsi"/>
            <w:sz w:val="24"/>
            <w:szCs w:val="24"/>
          </w:rPr>
          <w:delText xml:space="preserve"> encore appelée spores</w:delText>
        </w:r>
      </w:del>
      <w:r>
        <w:rPr>
          <w:rFonts w:cs="Calibri" w:cstheme="minorHAnsi"/>
          <w:sz w:val="24"/>
          <w:szCs w:val="24"/>
        </w:rPr>
        <w:t xml:space="preserve"> (Figure a.) et</w:t>
      </w:r>
      <w:del w:id="123" w:author="Sébastien Guyader" w:date="2021-06-18T07:34:34Z">
        <w:r>
          <w:rPr>
            <w:rFonts w:cs="Calibri" w:cstheme="minorHAnsi"/>
            <w:sz w:val="24"/>
            <w:szCs w:val="24"/>
          </w:rPr>
          <w:delText xml:space="preserve"> </w:delText>
        </w:r>
      </w:del>
      <w:r>
        <w:rPr>
          <w:rFonts w:cs="Calibri" w:cstheme="minorHAnsi"/>
          <w:sz w:val="24"/>
          <w:szCs w:val="24"/>
        </w:rPr>
        <w:t xml:space="preserve"> </w:t>
      </w:r>
      <w:r>
        <w:rPr>
          <w:rFonts w:cs="Calibri" w:cstheme="minorHAnsi"/>
          <w:i/>
          <w:sz w:val="24"/>
          <w:szCs w:val="24"/>
        </w:rPr>
        <w:t>Glomerella cingulata</w:t>
      </w:r>
      <w:r>
        <w:rPr>
          <w:rFonts w:cs="Calibri" w:cstheme="minorHAnsi"/>
          <w:sz w:val="24"/>
          <w:szCs w:val="24"/>
        </w:rPr>
        <w:t xml:space="preserve"> désignant la phase sexuée </w:t>
      </w:r>
      <w:del w:id="124" w:author="Sébastien Guyader" w:date="2021-06-18T07:34:42Z">
        <w:r>
          <w:rPr>
            <w:rFonts w:cs="Calibri" w:cstheme="minorHAnsi"/>
            <w:sz w:val="24"/>
            <w:szCs w:val="24"/>
          </w:rPr>
          <w:delText xml:space="preserve">de </w:delText>
        </w:r>
      </w:del>
      <w:ins w:id="125" w:author="Sébastien Guyader" w:date="2021-06-18T07:34:42Z">
        <w:r>
          <w:rPr>
            <w:rFonts w:cs="Calibri" w:cstheme="minorHAnsi"/>
            <w:sz w:val="24"/>
            <w:szCs w:val="24"/>
          </w:rPr>
          <w:t>(</w:t>
        </w:r>
      </w:ins>
      <w:r>
        <w:rPr>
          <w:rFonts w:cs="Calibri" w:cstheme="minorHAnsi"/>
          <w:sz w:val="24"/>
          <w:szCs w:val="24"/>
        </w:rPr>
        <w:t>forme téléomorphe</w:t>
      </w:r>
      <w:ins w:id="126" w:author="Sébastien Guyader" w:date="2021-06-18T07:34:45Z">
        <w:r>
          <w:rPr>
            <w:rFonts w:cs="Calibri" w:cstheme="minorHAnsi"/>
            <w:sz w:val="24"/>
            <w:szCs w:val="24"/>
          </w:rPr>
          <w:t>)</w:t>
        </w:r>
      </w:ins>
      <w:r>
        <w:rPr>
          <w:rFonts w:cs="Calibri" w:cstheme="minorHAnsi"/>
          <w:sz w:val="24"/>
          <w:szCs w:val="24"/>
        </w:rPr>
        <w:t xml:space="preserve"> du champignon qui </w:t>
      </w:r>
      <w:del w:id="127" w:author="Sébastien Guyader" w:date="2021-06-18T07:34:54Z">
        <w:r>
          <w:rPr>
            <w:rFonts w:cs="Calibri" w:cstheme="minorHAnsi"/>
            <w:sz w:val="24"/>
            <w:szCs w:val="24"/>
          </w:rPr>
          <w:delText>présente</w:delText>
        </w:r>
      </w:del>
      <w:ins w:id="128" w:author="Sébastien Guyader" w:date="2021-06-18T07:34:54Z">
        <w:r>
          <w:rPr>
            <w:rFonts w:cs="Calibri" w:cstheme="minorHAnsi"/>
            <w:sz w:val="24"/>
            <w:szCs w:val="24"/>
          </w:rPr>
          <w:t>produit</w:t>
        </w:r>
      </w:ins>
      <w:r>
        <w:rPr>
          <w:rFonts w:cs="Calibri" w:cstheme="minorHAnsi"/>
          <w:sz w:val="24"/>
          <w:szCs w:val="24"/>
        </w:rPr>
        <w:t xml:space="preserve"> des ascospores (Figure b.)(</w:t>
      </w:r>
      <w:r>
        <w:rPr/>
        <w:t>Gama</w:t>
      </w:r>
      <w:r>
        <w:rPr>
          <w:rFonts w:cs="Calibri" w:cstheme="minorHAnsi"/>
          <w:sz w:val="24"/>
          <w:szCs w:val="24"/>
          <w:highlight w:val="yellow"/>
        </w:rPr>
        <w:t>-López et.,2007)</w:t>
      </w:r>
      <w:r>
        <w:rPr>
          <w:rFonts w:cs="Calibri" w:cstheme="minorHAnsi"/>
          <w:sz w:val="24"/>
          <w:szCs w:val="24"/>
        </w:rPr>
        <w:t>.</w:t>
      </w:r>
    </w:p>
    <w:p>
      <w:pPr>
        <w:pStyle w:val="Normal"/>
        <w:rPr>
          <w:rFonts w:cs="Calibri" w:cstheme="minorHAnsi"/>
          <w:b/>
          <w:b/>
          <w:sz w:val="24"/>
          <w:szCs w:val="24"/>
        </w:rPr>
      </w:pPr>
      <w:r>
        <w:rPr>
          <w:rFonts w:cs="Calibri" w:cstheme="minorHAnsi"/>
          <w:b/>
          <w:sz w:val="24"/>
          <w:szCs w:val="24"/>
        </w:rPr>
      </w:r>
    </w:p>
    <w:p>
      <w:pPr>
        <w:pStyle w:val="Normal"/>
        <w:rPr>
          <w:rFonts w:cs="Calibri" w:cstheme="minorHAnsi"/>
          <w:b/>
          <w:b/>
          <w:sz w:val="24"/>
          <w:szCs w:val="24"/>
        </w:rPr>
      </w:pPr>
      <w:r>
        <w:rPr/>
        <w:drawing>
          <wp:inline distT="0" distB="0" distL="0" distR="0">
            <wp:extent cx="2580640" cy="2418715"/>
            <wp:effectExtent l="0" t="0" r="0" b="0"/>
            <wp:docPr id="1"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4" descr=""/>
                    <pic:cNvPicPr>
                      <a:picLocks noChangeAspect="1" noChangeArrowheads="1"/>
                    </pic:cNvPicPr>
                  </pic:nvPicPr>
                  <pic:blipFill>
                    <a:blip r:embed="rId2"/>
                    <a:srcRect l="0" t="3967" r="36502" b="0"/>
                    <a:stretch>
                      <a:fillRect/>
                    </a:stretch>
                  </pic:blipFill>
                  <pic:spPr bwMode="auto">
                    <a:xfrm>
                      <a:off x="0" y="0"/>
                      <a:ext cx="2580640" cy="2418715"/>
                    </a:xfrm>
                    <a:prstGeom prst="rect">
                      <a:avLst/>
                    </a:prstGeom>
                  </pic:spPr>
                </pic:pic>
              </a:graphicData>
            </a:graphic>
          </wp:inline>
        </w:drawing>
      </w:r>
      <w:r>
        <w:rPr>
          <w:rFonts w:cs="Calibri" w:cstheme="minorHAnsi"/>
          <w:b/>
          <w:sz w:val="24"/>
          <w:szCs w:val="24"/>
        </w:rPr>
        <w:t xml:space="preserve">  </w:t>
      </w:r>
      <w:r>
        <w:rPr/>
        <w:drawing>
          <wp:inline distT="0" distB="0" distL="0" distR="0">
            <wp:extent cx="2918460" cy="2409825"/>
            <wp:effectExtent l="0" t="0" r="0" b="0"/>
            <wp:docPr id="2"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5" descr=""/>
                    <pic:cNvPicPr>
                      <a:picLocks noChangeAspect="1" noChangeArrowheads="1"/>
                    </pic:cNvPicPr>
                  </pic:nvPicPr>
                  <pic:blipFill>
                    <a:blip r:embed="rId3"/>
                    <a:srcRect l="0" t="1890" r="0" b="2276"/>
                    <a:stretch>
                      <a:fillRect/>
                    </a:stretch>
                  </pic:blipFill>
                  <pic:spPr bwMode="auto">
                    <a:xfrm>
                      <a:off x="0" y="0"/>
                      <a:ext cx="2918460" cy="2409825"/>
                    </a:xfrm>
                    <a:prstGeom prst="rect">
                      <a:avLst/>
                    </a:prstGeom>
                  </pic:spPr>
                </pic:pic>
              </a:graphicData>
            </a:graphic>
          </wp:inline>
        </w:drawing>
      </w:r>
    </w:p>
    <w:p>
      <w:pPr>
        <w:pStyle w:val="Normal"/>
        <w:rPr>
          <w:rFonts w:cs="Calibri" w:cstheme="minorHAnsi"/>
          <w:b/>
          <w:b/>
          <w:sz w:val="24"/>
          <w:szCs w:val="24"/>
        </w:rPr>
      </w:pPr>
      <w:r>
        <w:rPr>
          <w:rFonts w:cs="Calibri" w:cstheme="minorHAnsi"/>
          <w:b/>
          <w:sz w:val="24"/>
          <w:szCs w:val="24"/>
        </w:rPr>
        <w:t xml:space="preserve">Figure a. </w:t>
      </w:r>
      <w:ins w:id="129" w:author="Sébastien Guyader" w:date="2021-06-18T07:35:00Z">
        <w:r>
          <w:rPr>
            <w:rFonts w:cs="Calibri" w:cstheme="minorHAnsi"/>
            <w:b/>
            <w:sz w:val="24"/>
            <w:szCs w:val="24"/>
          </w:rPr>
          <w:t>Conidies (</w:t>
        </w:r>
      </w:ins>
      <w:del w:id="130" w:author="Sébastien Guyader" w:date="2021-06-18T07:35:09Z">
        <w:r>
          <w:rPr>
            <w:rFonts w:cs="Calibri" w:cstheme="minorHAnsi"/>
            <w:b/>
            <w:sz w:val="24"/>
            <w:szCs w:val="24"/>
          </w:rPr>
          <w:delText>Phase</w:delText>
        </w:r>
      </w:del>
      <w:ins w:id="131" w:author="Sébastien Guyader" w:date="2021-06-18T07:35:10Z">
        <w:r>
          <w:rPr>
            <w:rFonts w:cs="Calibri" w:cstheme="minorHAnsi"/>
            <w:b/>
            <w:sz w:val="24"/>
            <w:szCs w:val="24"/>
          </w:rPr>
          <w:t>spores</w:t>
        </w:r>
      </w:ins>
      <w:r>
        <w:rPr>
          <w:rFonts w:cs="Calibri" w:cstheme="minorHAnsi"/>
          <w:b/>
          <w:sz w:val="24"/>
          <w:szCs w:val="24"/>
        </w:rPr>
        <w:t xml:space="preserve"> asexuée</w:t>
      </w:r>
      <w:ins w:id="132" w:author="Sébastien Guyader" w:date="2021-06-18T07:35:18Z">
        <w:r>
          <w:rPr>
            <w:rFonts w:cs="Calibri" w:cstheme="minorHAnsi"/>
            <w:b/>
            <w:sz w:val="24"/>
            <w:szCs w:val="24"/>
          </w:rPr>
          <w:t>s)</w:t>
        </w:r>
      </w:ins>
      <w:r>
        <w:rPr>
          <w:rFonts w:cs="Calibri" w:cstheme="minorHAnsi"/>
          <w:b/>
          <w:sz w:val="24"/>
          <w:szCs w:val="24"/>
        </w:rPr>
        <w:t xml:space="preserve">  </w:t>
      </w:r>
      <w:del w:id="133" w:author="Sébastien Guyader" w:date="2021-06-18T07:35:22Z">
        <w:r>
          <w:rPr>
            <w:rFonts w:cs="Calibri" w:cstheme="minorHAnsi"/>
            <w:b/>
            <w:sz w:val="24"/>
            <w:szCs w:val="24"/>
          </w:rPr>
          <w:delText xml:space="preserve">   </w:delText>
        </w:r>
      </w:del>
      <w:r>
        <w:rPr>
          <w:rFonts w:cs="Calibri" w:cstheme="minorHAnsi"/>
          <w:b/>
          <w:sz w:val="24"/>
          <w:szCs w:val="24"/>
        </w:rPr>
        <w:t xml:space="preserve">                               Figure b. </w:t>
      </w:r>
      <w:ins w:id="134" w:author="Sébastien Guyader" w:date="2021-06-18T07:35:28Z">
        <w:r>
          <w:rPr>
            <w:rFonts w:cs="Calibri" w:cstheme="minorHAnsi"/>
            <w:b/>
            <w:sz w:val="24"/>
            <w:szCs w:val="24"/>
          </w:rPr>
          <w:t xml:space="preserve">Asques contenant des ascospores </w:t>
        </w:r>
      </w:ins>
      <w:del w:id="135" w:author="Sébastien Guyader" w:date="2021-06-18T07:35:36Z">
        <w:r>
          <w:rPr>
            <w:rFonts w:cs="Calibri" w:cstheme="minorHAnsi"/>
            <w:b/>
            <w:sz w:val="24"/>
            <w:szCs w:val="24"/>
          </w:rPr>
          <w:delText>P</w:delText>
        </w:r>
      </w:del>
      <w:ins w:id="136" w:author="Sébastien Guyader" w:date="2021-06-18T07:35:36Z">
        <w:r>
          <w:rPr>
            <w:rFonts w:cs="Calibri" w:cstheme="minorHAnsi"/>
            <w:b/>
            <w:sz w:val="24"/>
            <w:szCs w:val="24"/>
          </w:rPr>
          <w:t>(</w:t>
        </w:r>
      </w:ins>
      <w:del w:id="137" w:author="Sébastien Guyader" w:date="2021-06-18T07:35:57Z">
        <w:r>
          <w:rPr>
            <w:rFonts w:cs="Calibri" w:cstheme="minorHAnsi"/>
            <w:b/>
            <w:sz w:val="24"/>
            <w:szCs w:val="24"/>
          </w:rPr>
          <w:delText xml:space="preserve">hase </w:delText>
        </w:r>
      </w:del>
      <w:ins w:id="138" w:author="Sébastien Guyader" w:date="2021-06-18T07:35:57Z">
        <w:r>
          <w:rPr>
            <w:rFonts w:cs="Calibri" w:cstheme="minorHAnsi"/>
            <w:b/>
            <w:sz w:val="24"/>
            <w:szCs w:val="24"/>
          </w:rPr>
          <w:t xml:space="preserve">spores </w:t>
        </w:r>
      </w:ins>
      <w:r>
        <w:rPr>
          <w:rFonts w:cs="Calibri" w:cstheme="minorHAnsi"/>
          <w:b/>
          <w:sz w:val="24"/>
          <w:szCs w:val="24"/>
        </w:rPr>
        <w:t>sexuée</w:t>
      </w:r>
      <w:ins w:id="139" w:author="Sébastien Guyader" w:date="2021-06-18T07:35:59Z">
        <w:r>
          <w:rPr>
            <w:rFonts w:cs="Calibri" w:cstheme="minorHAnsi"/>
            <w:b/>
            <w:sz w:val="24"/>
            <w:szCs w:val="24"/>
          </w:rPr>
          <w:t>s)</w:t>
        </w:r>
      </w:ins>
    </w:p>
    <w:p>
      <w:pPr>
        <w:pStyle w:val="Normal"/>
        <w:rPr>
          <w:rFonts w:cs="Calibri" w:cstheme="minorHAnsi"/>
          <w:i/>
          <w:i/>
          <w:sz w:val="24"/>
          <w:szCs w:val="24"/>
        </w:rPr>
      </w:pPr>
      <w:r>
        <w:rPr>
          <w:rFonts w:cs="Calibri" w:cstheme="minorHAnsi"/>
          <w:i/>
          <w:sz w:val="24"/>
          <w:szCs w:val="24"/>
          <w:highlight w:val="yellow"/>
        </w:rPr>
        <w:t>Source : (Jacqua et Bonhomme,2005)</w:t>
      </w:r>
    </w:p>
    <w:p>
      <w:pPr>
        <w:pStyle w:val="Normal"/>
        <w:rPr>
          <w:rFonts w:cs="Calibri" w:cstheme="minorHAnsi"/>
          <w:b/>
          <w:b/>
          <w:sz w:val="24"/>
          <w:szCs w:val="24"/>
        </w:rPr>
      </w:pPr>
      <w:r>
        <w:rPr>
          <w:rFonts w:cs="Calibri" w:cstheme="minorHAnsi"/>
          <w:b/>
          <w:sz w:val="24"/>
          <w:szCs w:val="24"/>
        </w:rPr>
      </w:r>
    </w:p>
    <w:p>
      <w:pPr>
        <w:pStyle w:val="Normal"/>
        <w:spacing w:lineRule="auto" w:line="360"/>
        <w:jc w:val="both"/>
        <w:rPr>
          <w:rFonts w:ascii="Corbel" w:hAnsi="Corbel"/>
          <w:sz w:val="28"/>
        </w:rPr>
      </w:pPr>
      <w:r>
        <w:rPr>
          <w:rFonts w:cs="Calibri" w:cstheme="minorHAnsi"/>
          <w:sz w:val="24"/>
          <w:szCs w:val="24"/>
        </w:rPr>
        <w:t>Sur la gélose dextrose de pomme de terre (PDA), le mycélium est principalement blanc grisâtre à gris foncé. La face inférieure des colonies varie du blanc au vert foncé ou au brun, devenant plus foncée avec le temps. Les conidies (spores) sont généralement produites sous forme d</w:t>
      </w:r>
      <w:del w:id="140" w:author="Sébastien Guyader" w:date="2021-06-18T07:36:21Z">
        <w:r>
          <w:rPr>
            <w:rFonts w:cs="Calibri" w:cstheme="minorHAnsi"/>
            <w:sz w:val="24"/>
            <w:szCs w:val="24"/>
          </w:rPr>
          <w:delText>e</w:delText>
        </w:r>
      </w:del>
      <w:ins w:id="141" w:author="Sébastien Guyader" w:date="2021-06-18T07:36:21Z">
        <w:r>
          <w:rPr>
            <w:rFonts w:cs="Calibri" w:cstheme="minorHAnsi"/>
            <w:sz w:val="24"/>
            <w:szCs w:val="24"/>
          </w:rPr>
          <w:t>’</w:t>
        </w:r>
      </w:ins>
      <w:ins w:id="142" w:author="Sébastien Guyader" w:date="2021-06-18T07:36:21Z">
        <w:r>
          <w:rPr>
            <w:rFonts w:cs="Calibri" w:cstheme="minorHAnsi"/>
            <w:sz w:val="24"/>
            <w:szCs w:val="24"/>
          </w:rPr>
          <w:t>une</w:t>
        </w:r>
      </w:ins>
      <w:r>
        <w:rPr>
          <w:rFonts w:cs="Calibri" w:cstheme="minorHAnsi"/>
          <w:sz w:val="24"/>
          <w:szCs w:val="24"/>
        </w:rPr>
        <w:t xml:space="preserve"> masse</w:t>
      </w:r>
      <w:del w:id="143" w:author="Sébastien Guyader" w:date="2021-06-18T07:36:24Z">
        <w:r>
          <w:rPr>
            <w:rFonts w:cs="Calibri" w:cstheme="minorHAnsi"/>
            <w:sz w:val="24"/>
            <w:szCs w:val="24"/>
          </w:rPr>
          <w:delText>s</w:delText>
        </w:r>
      </w:del>
      <w:ins w:id="144" w:author="Sébastien Guyader" w:date="2021-06-18T07:36:27Z">
        <w:r>
          <w:rPr>
            <w:rFonts w:cs="Calibri" w:cstheme="minorHAnsi"/>
            <w:sz w:val="24"/>
            <w:szCs w:val="24"/>
          </w:rPr>
          <w:t xml:space="preserve"> </w:t>
        </w:r>
      </w:ins>
      <w:ins w:id="145" w:author="Sébastien Guyader" w:date="2021-06-18T07:36:27Z">
        <w:r>
          <w:rPr>
            <w:rFonts w:cs="Calibri" w:cstheme="minorHAnsi"/>
            <w:sz w:val="24"/>
            <w:szCs w:val="24"/>
          </w:rPr>
          <w:t>(gelée sporifère)</w:t>
        </w:r>
      </w:ins>
      <w:r>
        <w:rPr>
          <w:rFonts w:cs="Calibri" w:cstheme="minorHAnsi"/>
          <w:sz w:val="24"/>
          <w:szCs w:val="24"/>
        </w:rPr>
        <w:t xml:space="preserve"> de couleur saumon pâle.  </w:t>
      </w:r>
    </w:p>
    <w:p>
      <w:pPr>
        <w:pStyle w:val="ListParagraph"/>
        <w:rPr>
          <w:rFonts w:cs="Calibri" w:cstheme="minorHAnsi"/>
          <w:b/>
          <w:b/>
          <w:sz w:val="24"/>
          <w:szCs w:val="24"/>
        </w:rPr>
      </w:pPr>
      <w:r>
        <w:rPr>
          <w:rFonts w:cs="Calibri" w:cstheme="minorHAnsi"/>
          <w:b/>
          <w:sz w:val="24"/>
          <w:szCs w:val="24"/>
        </w:rPr>
      </w:r>
    </w:p>
    <w:p>
      <w:pPr>
        <w:pStyle w:val="ListParagraph"/>
        <w:rPr>
          <w:rFonts w:cs="Calibri" w:cstheme="minorHAnsi"/>
          <w:b/>
          <w:b/>
          <w:sz w:val="24"/>
          <w:szCs w:val="24"/>
        </w:rPr>
      </w:pPr>
      <w:r>
        <w:rPr>
          <w:rFonts w:cs="Calibri" w:cstheme="minorHAnsi"/>
          <w:b/>
          <w:sz w:val="24"/>
          <w:szCs w:val="24"/>
        </w:rPr>
        <w:t xml:space="preserve">4. L’anthracnose chez l’igname </w:t>
      </w:r>
      <w:r>
        <w:rPr>
          <w:rFonts w:cs="Calibri" w:cstheme="minorHAnsi"/>
          <w:b/>
          <w:i/>
          <w:sz w:val="24"/>
          <w:szCs w:val="24"/>
        </w:rPr>
        <w:t>D.alata</w:t>
      </w:r>
    </w:p>
    <w:p>
      <w:pPr>
        <w:pStyle w:val="ListParagraph"/>
        <w:rPr>
          <w:rFonts w:cs="Calibri" w:cstheme="minorHAnsi"/>
          <w:b/>
          <w:b/>
          <w:sz w:val="24"/>
          <w:szCs w:val="24"/>
        </w:rPr>
      </w:pPr>
      <w:r>
        <w:rPr>
          <w:rFonts w:cs="Calibri" w:cstheme="minorHAnsi"/>
          <w:b/>
          <w:sz w:val="24"/>
          <w:szCs w:val="24"/>
        </w:rPr>
      </w:r>
    </w:p>
    <w:p>
      <w:pPr>
        <w:pStyle w:val="Normal"/>
        <w:spacing w:lineRule="auto" w:line="360"/>
        <w:jc w:val="both"/>
        <w:rPr>
          <w:rFonts w:cs="Calibri" w:cstheme="minorHAnsi"/>
          <w:sz w:val="24"/>
          <w:szCs w:val="24"/>
        </w:rPr>
      </w:pPr>
      <w:r>
        <w:rPr>
          <w:rFonts w:cs="Calibri" w:cstheme="minorHAnsi"/>
          <w:sz w:val="24"/>
          <w:szCs w:val="24"/>
        </w:rPr>
        <w:t xml:space="preserve">L'anthracnose de l'igname, causée par </w:t>
      </w:r>
      <w:r>
        <w:rPr>
          <w:rFonts w:cs="Calibri" w:cstheme="minorHAnsi"/>
          <w:i/>
          <w:sz w:val="24"/>
          <w:szCs w:val="24"/>
        </w:rPr>
        <w:t>Colletotrichum gloeosporioides</w:t>
      </w:r>
      <w:r>
        <w:rPr>
          <w:rFonts w:cs="Calibri" w:cstheme="minorHAnsi"/>
          <w:sz w:val="24"/>
          <w:szCs w:val="24"/>
        </w:rPr>
        <w:t xml:space="preserve">, est la maladie foliaire la plus importante des ignames mais aussi une contrainte majeure à la production d'igname </w:t>
      </w:r>
      <w:r>
        <w:rPr>
          <w:rFonts w:cs="Calibri" w:cstheme="minorHAnsi"/>
          <w:i/>
          <w:iCs/>
          <w:sz w:val="24"/>
          <w:szCs w:val="24"/>
        </w:rPr>
        <w:t>D. alata</w:t>
      </w:r>
      <w:r>
        <w:rPr>
          <w:rFonts w:cs="Calibri" w:cstheme="minorHAnsi"/>
          <w:sz w:val="24"/>
          <w:szCs w:val="24"/>
        </w:rPr>
        <w:t>, espèce la plus répandue, particulièrement sensible à la maladie (Abang et al.,2002).</w:t>
      </w:r>
    </w:p>
    <w:p>
      <w:pPr>
        <w:pStyle w:val="Normal"/>
        <w:spacing w:lineRule="auto" w:line="360"/>
        <w:jc w:val="both"/>
        <w:rPr>
          <w:rFonts w:cs="Calibri" w:cstheme="minorHAnsi"/>
          <w:b/>
          <w:b/>
          <w:sz w:val="24"/>
          <w:szCs w:val="24"/>
        </w:rPr>
      </w:pPr>
      <w:r>
        <w:rPr>
          <w:rFonts w:cs="Calibri" w:cstheme="minorHAnsi"/>
          <w:b/>
          <w:sz w:val="24"/>
          <w:szCs w:val="24"/>
        </w:rPr>
        <w:t xml:space="preserve">         </w:t>
      </w:r>
      <w:r>
        <w:rPr>
          <w:rFonts w:cs="Calibri" w:cstheme="minorHAnsi"/>
          <w:b/>
          <w:sz w:val="24"/>
          <w:szCs w:val="24"/>
        </w:rPr>
        <w:t>4.1 Les symptômes de l’anthracnose de D.alata</w:t>
      </w:r>
    </w:p>
    <w:p>
      <w:pPr>
        <w:pStyle w:val="Normal"/>
        <w:spacing w:lineRule="auto" w:line="360"/>
        <w:jc w:val="both"/>
        <w:rPr>
          <w:rFonts w:cs="Calibri" w:cstheme="minorHAnsi"/>
          <w:color w:val="1C1D1E"/>
          <w:sz w:val="24"/>
          <w:szCs w:val="24"/>
          <w:highlight w:val="white"/>
        </w:rPr>
      </w:pPr>
      <w:r>
        <w:rPr>
          <w:rFonts w:cs="Calibri" w:cstheme="minorHAnsi"/>
          <w:sz w:val="24"/>
          <w:szCs w:val="24"/>
        </w:rPr>
        <w:t xml:space="preserve">L’anthracnose peut impacté à la fois la partie aérienne ainsi que la partie souterraine de la plante. Les symptômes diffèrent en fonction de l’âge de la feuille, de la quantité de pluie et de la variété d’igname considérée. Les attaques légères se traduisent par l’apparition de très petites taches brunes sur les nouvelles feuilles ; ces taches s’agrandissent en même temps que la feuille. Les taches brunes peuvent être entourées de jaune pâle (Figure c.) et au fur et à mesure se rejoignent pour former de grandes taches de forme irrégulière, dont le centre peut tomber, donnant ainsi à la feuille un aspect criblé. Lorsque de jeunes plants sont atteints d’anthracnose, quelques-unes des feuilles inférieures peuvent survivre bien qu’en général, la plante tout entière meurt. Le fragment planté émet parfois de nouvelles pousses et peut donner ainsi naissance à une igname à tige multiple, alors que l’igname qui n’a pas été attaquée n’en a généralement qu’une ou deux entrainant ainsi plusieurs tubercules de petite taille au lieu d’un ou de deux tubercules. Concernant la partie souterraine, le champignon provoque une pourriture du tubercule de couleur brun-orangé qui se développe dans la chair du tubercule juste sous la couche .De petites boursouflures naissent à la surface de l’igname et la peau se détache facilement de la couche inférieure. Par la suite, une pourriture plus profonde se développe, jusqu’à ce qu’il ne reste plus qu’une enveloppe ridée autour du noyau pourri </w:t>
      </w:r>
      <w:r>
        <w:rPr>
          <w:rFonts w:cs="Calibri" w:cstheme="minorHAnsi"/>
          <w:sz w:val="24"/>
          <w:szCs w:val="24"/>
          <w:highlight w:val="yellow"/>
        </w:rPr>
        <w:t>(Jackson et al.,2002).</w:t>
      </w:r>
    </w:p>
    <w:p>
      <w:pPr>
        <w:pStyle w:val="Normal"/>
        <w:spacing w:lineRule="auto" w:line="360"/>
        <w:jc w:val="both"/>
        <w:rPr>
          <w:rFonts w:ascii="Corbel" w:hAnsi="Corbel"/>
          <w:b/>
          <w:b/>
          <w:sz w:val="28"/>
        </w:rPr>
      </w:pPr>
      <w:r>
        <w:rPr/>
        <w:drawing>
          <wp:inline distT="0" distB="0" distL="0" distR="0">
            <wp:extent cx="2428875" cy="2013585"/>
            <wp:effectExtent l="0" t="0" r="0" b="0"/>
            <wp:docPr id="3" name="Image 7" descr="https://www6.inrae.fr/var/internet6_national_epiarch/storage/images/media/blocs-libres/digname-anthracnose/igname-anthracnose/33001-1-fre-FR/igname-anthracn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7" descr="https://www6.inrae.fr/var/internet6_national_epiarch/storage/images/media/blocs-libres/digname-anthracnose/igname-anthracnose/33001-1-fre-FR/igname-anthracnose.jpg"/>
                    <pic:cNvPicPr>
                      <a:picLocks noChangeAspect="1" noChangeArrowheads="1"/>
                    </pic:cNvPicPr>
                  </pic:nvPicPr>
                  <pic:blipFill>
                    <a:blip r:embed="rId4"/>
                    <a:srcRect l="2275" t="6619" r="1195" b="0"/>
                    <a:stretch>
                      <a:fillRect/>
                    </a:stretch>
                  </pic:blipFill>
                  <pic:spPr bwMode="auto">
                    <a:xfrm>
                      <a:off x="0" y="0"/>
                      <a:ext cx="2428875" cy="2013585"/>
                    </a:xfrm>
                    <a:prstGeom prst="rect">
                      <a:avLst/>
                    </a:prstGeom>
                  </pic:spPr>
                </pic:pic>
              </a:graphicData>
            </a:graphic>
          </wp:inline>
        </w:drawing>
      </w:r>
      <w:r>
        <w:rPr>
          <w:rFonts w:cs="Calibri" w:cstheme="minorHAnsi"/>
          <w:b/>
          <w:i/>
          <w:sz w:val="20"/>
          <w:szCs w:val="24"/>
        </w:rPr>
        <w:t>Fig</w:t>
      </w:r>
      <w:r>
        <w:rPr>
          <w:rFonts w:cs="Calibri" w:cstheme="minorHAnsi"/>
          <w:b/>
          <w:sz w:val="20"/>
          <w:szCs w:val="24"/>
        </w:rPr>
        <w:t>ure c</w:t>
      </w:r>
      <w:r>
        <w:rPr>
          <w:rFonts w:cs="Calibri" w:cstheme="minorHAnsi"/>
          <w:sz w:val="20"/>
          <w:szCs w:val="24"/>
        </w:rPr>
        <w:t>. Feuille de D.alata touché par l’anthracnose(INRAE)</w:t>
      </w:r>
    </w:p>
    <w:p>
      <w:pPr>
        <w:pStyle w:val="Normal"/>
        <w:spacing w:lineRule="auto" w:line="360"/>
        <w:rPr>
          <w:rFonts w:ascii="Corbel" w:hAnsi="Corbel"/>
          <w:b/>
          <w:b/>
          <w:sz w:val="28"/>
        </w:rPr>
      </w:pPr>
      <w:r>
        <w:rPr>
          <w:rFonts w:ascii="Corbel" w:hAnsi="Corbel"/>
          <w:b/>
          <w:sz w:val="28"/>
        </w:rPr>
      </w:r>
    </w:p>
    <w:p>
      <w:pPr>
        <w:pStyle w:val="Normal"/>
        <w:spacing w:lineRule="auto" w:line="360"/>
        <w:jc w:val="both"/>
        <w:rPr>
          <w:rFonts w:cs="Calibri" w:cstheme="minorHAnsi"/>
          <w:color w:val="1C1D1E"/>
          <w:sz w:val="24"/>
          <w:szCs w:val="24"/>
          <w:highlight w:val="white"/>
        </w:rPr>
      </w:pPr>
      <w:r>
        <w:rPr>
          <w:rFonts w:cs="Calibri" w:cstheme="minorHAnsi"/>
          <w:color w:val="1C1D1E"/>
          <w:sz w:val="24"/>
          <w:szCs w:val="24"/>
          <w:shd w:fill="FFFFFF" w:val="clear"/>
        </w:rPr>
        <w:t>La nécrose des feuilles et le dépérissement des tiges entraînent une réduction de la surface photosynthétique (Abang et al.,2002).</w:t>
      </w:r>
    </w:p>
    <w:p>
      <w:pPr>
        <w:pStyle w:val="Normal"/>
        <w:spacing w:lineRule="auto" w:line="360"/>
        <w:jc w:val="both"/>
        <w:rPr>
          <w:rFonts w:cs="Calibri" w:cstheme="minorHAnsi"/>
          <w:color w:val="1C1D1E"/>
          <w:sz w:val="24"/>
          <w:szCs w:val="24"/>
          <w:highlight w:val="white"/>
        </w:rPr>
      </w:pPr>
      <w:r>
        <w:rPr>
          <w:rFonts w:cs="Calibri" w:cstheme="minorHAnsi"/>
          <w:color w:val="1C1D1E"/>
          <w:sz w:val="24"/>
          <w:szCs w:val="24"/>
          <w:shd w:fill="FFFFFF" w:val="clear"/>
        </w:rPr>
      </w:r>
    </w:p>
    <w:p>
      <w:pPr>
        <w:pStyle w:val="Normal"/>
        <w:spacing w:lineRule="auto" w:line="360"/>
        <w:jc w:val="both"/>
        <w:rPr>
          <w:rFonts w:cs="Calibri" w:cstheme="minorHAnsi"/>
          <w:b/>
          <w:b/>
          <w:color w:val="1C1D1E"/>
          <w:sz w:val="24"/>
          <w:szCs w:val="24"/>
          <w:highlight w:val="white"/>
        </w:rPr>
      </w:pPr>
      <w:r>
        <w:rPr>
          <w:rFonts w:cs="Calibri" w:cstheme="minorHAnsi"/>
          <w:b/>
          <w:color w:val="1C1D1E"/>
          <w:sz w:val="24"/>
          <w:szCs w:val="24"/>
          <w:shd w:fill="FFFFFF" w:val="clear"/>
        </w:rPr>
        <w:t xml:space="preserve">  </w:t>
      </w:r>
      <w:r>
        <w:rPr>
          <w:rFonts w:cs="Calibri" w:cstheme="minorHAnsi"/>
          <w:b/>
          <w:color w:val="1C1D1E"/>
          <w:sz w:val="24"/>
          <w:szCs w:val="24"/>
          <w:shd w:fill="FFFFFF" w:val="clear"/>
        </w:rPr>
        <w:t>4.2 Conditions météorologiques propice</w:t>
      </w:r>
      <w:ins w:id="146" w:author="Sébastien Guyader" w:date="2021-06-18T07:37:09Z">
        <w:r>
          <w:rPr>
            <w:rFonts w:cs="Calibri" w:cstheme="minorHAnsi"/>
            <w:b/>
            <w:color w:val="1C1D1E"/>
            <w:sz w:val="24"/>
            <w:szCs w:val="24"/>
            <w:shd w:fill="FFFFFF" w:val="clear"/>
          </w:rPr>
          <w:t>s</w:t>
        </w:r>
      </w:ins>
      <w:r>
        <w:rPr>
          <w:rFonts w:cs="Calibri" w:cstheme="minorHAnsi"/>
          <w:b/>
          <w:color w:val="1C1D1E"/>
          <w:sz w:val="24"/>
          <w:szCs w:val="24"/>
          <w:shd w:fill="FFFFFF" w:val="clear"/>
        </w:rPr>
        <w:t xml:space="preserve"> à l’anthracnose</w:t>
      </w:r>
    </w:p>
    <w:p>
      <w:pPr>
        <w:pStyle w:val="Normal"/>
        <w:spacing w:lineRule="auto" w:line="360"/>
        <w:jc w:val="both"/>
        <w:rPr>
          <w:rFonts w:cs="Calibri" w:cstheme="minorHAnsi"/>
          <w:color w:val="1C1D1E"/>
          <w:sz w:val="24"/>
          <w:szCs w:val="24"/>
          <w:highlight w:val="white"/>
        </w:rPr>
      </w:pPr>
      <w:commentRangeStart w:id="3"/>
      <w:r>
        <w:rPr>
          <w:rFonts w:cs="Calibri" w:cstheme="minorHAnsi"/>
          <w:color w:val="1C1D1E"/>
          <w:sz w:val="24"/>
          <w:szCs w:val="24"/>
          <w:shd w:fill="FFFFFF" w:val="clear"/>
        </w:rPr>
        <w:t xml:space="preserve">La pluie par le moyen des éclaboussures encourage la propagation du champignon  </w:t>
      </w:r>
      <w:del w:id="147" w:author="Sébastien Guyader" w:date="2021-06-18T07:37:22Z">
        <w:r>
          <w:rPr>
            <w:rFonts w:cs="Calibri" w:cstheme="minorHAnsi"/>
            <w:color w:val="1C1D1E"/>
            <w:sz w:val="24"/>
            <w:szCs w:val="24"/>
            <w:shd w:fill="FFFFFF" w:val="clear"/>
          </w:rPr>
          <w:delText xml:space="preserve">par </w:delText>
        </w:r>
      </w:del>
      <w:ins w:id="148" w:author="Sébastien Guyader" w:date="2021-06-18T07:37:23Z">
        <w:r>
          <w:rPr>
            <w:rFonts w:cs="Calibri" w:cstheme="minorHAnsi"/>
            <w:color w:val="1C1D1E"/>
            <w:sz w:val="24"/>
            <w:szCs w:val="24"/>
            <w:shd w:fill="FFFFFF" w:val="clear"/>
          </w:rPr>
          <w:t>(</w:t>
        </w:r>
      </w:ins>
      <w:r>
        <w:rPr>
          <w:rFonts w:cs="Calibri" w:cstheme="minorHAnsi"/>
          <w:color w:val="1C1D1E"/>
          <w:sz w:val="24"/>
          <w:szCs w:val="24"/>
          <w:shd w:fill="FFFFFF" w:val="clear"/>
        </w:rPr>
        <w:t>« splashing »</w:t>
      </w:r>
      <w:ins w:id="149" w:author="Sébastien Guyader" w:date="2021-06-18T07:37:28Z">
        <w:r>
          <w:rPr>
            <w:rFonts w:cs="Calibri" w:cstheme="minorHAnsi"/>
            <w:color w:val="1C1D1E"/>
            <w:sz w:val="24"/>
            <w:szCs w:val="24"/>
            <w:shd w:fill="FFFFFF" w:val="clear"/>
          </w:rPr>
          <w:t>)</w:t>
        </w:r>
      </w:ins>
      <w:r>
        <w:rPr>
          <w:rFonts w:cs="Calibri" w:cstheme="minorHAnsi"/>
          <w:color w:val="1C1D1E"/>
          <w:sz w:val="24"/>
          <w:szCs w:val="24"/>
          <w:shd w:fill="FFFFFF" w:val="clear"/>
        </w:rPr>
        <w:t xml:space="preserve">, ce qui laisse la présence d’eau libre sur la feuille entrainant le début de l’infection </w:t>
      </w:r>
      <w:r>
        <w:rPr>
          <w:rFonts w:cs="Calibri" w:cstheme="minorHAnsi"/>
          <w:color w:val="1C1D1E"/>
          <w:sz w:val="24"/>
          <w:szCs w:val="24"/>
          <w:highlight w:val="yellow"/>
          <w:shd w:fill="FFFFFF" w:val="clear"/>
        </w:rPr>
        <w:t>(Guyader et al.,2013).</w:t>
      </w:r>
      <w:ins w:id="150" w:author="Sébastien Guyader" w:date="2021-06-18T07:37:41Z">
        <w:commentRangeEnd w:id="3"/>
        <w:r>
          <w:commentReference w:id="3"/>
        </w:r>
        <w:r>
          <w:rPr>
            <w:rFonts w:cs="Calibri" w:cstheme="minorHAnsi"/>
            <w:color w:val="1C1D1E"/>
            <w:sz w:val="24"/>
            <w:szCs w:val="24"/>
            <w:highlight w:val="yellow"/>
            <w:shd w:fill="FFFFFF" w:val="clear"/>
          </w:rPr>
        </w:r>
      </w:ins>
    </w:p>
    <w:p>
      <w:pPr>
        <w:pStyle w:val="Normal"/>
        <w:spacing w:lineRule="auto" w:line="360"/>
        <w:jc w:val="both"/>
        <w:rPr>
          <w:rFonts w:cs="Calibri" w:cstheme="minorHAnsi"/>
          <w:b/>
          <w:b/>
          <w:i/>
          <w:i/>
          <w:iCs/>
          <w:color w:val="1C1D1E"/>
          <w:sz w:val="24"/>
          <w:szCs w:val="24"/>
          <w:highlight w:val="white"/>
        </w:rPr>
      </w:pPr>
      <w:r>
        <w:rPr>
          <w:rFonts w:cs="Calibri" w:cstheme="minorHAnsi"/>
          <w:b/>
          <w:color w:val="1C1D1E"/>
          <w:sz w:val="24"/>
          <w:szCs w:val="24"/>
          <w:shd w:fill="FFFFFF" w:val="clear"/>
        </w:rPr>
        <w:t xml:space="preserve">4.3 Processus infectieux du champignon </w:t>
      </w:r>
      <w:r>
        <w:rPr>
          <w:rFonts w:cs="Calibri" w:cstheme="minorHAnsi"/>
          <w:b/>
          <w:i/>
          <w:color w:val="1C1D1E"/>
          <w:sz w:val="24"/>
          <w:szCs w:val="24"/>
          <w:shd w:fill="FFFFFF" w:val="clear"/>
        </w:rPr>
        <w:t>C.</w:t>
      </w:r>
      <w:r>
        <w:rPr>
          <w:rFonts w:cs="Arial" w:ascii="Arial" w:hAnsi="Arial"/>
          <w:i/>
          <w:iCs/>
          <w:color w:val="222222"/>
          <w:shd w:fill="FFFFFF" w:val="clear"/>
        </w:rPr>
        <w:t xml:space="preserve"> </w:t>
      </w:r>
      <w:r>
        <w:rPr>
          <w:rFonts w:cs="Calibri" w:cstheme="minorHAnsi"/>
          <w:b/>
          <w:i/>
          <w:iCs/>
          <w:color w:val="1C1D1E"/>
          <w:sz w:val="24"/>
          <w:szCs w:val="24"/>
          <w:shd w:fill="FFFFFF" w:val="clear"/>
        </w:rPr>
        <w:t>gloeosporioides</w:t>
      </w:r>
    </w:p>
    <w:p>
      <w:pPr>
        <w:pStyle w:val="Normal"/>
        <w:spacing w:lineRule="auto" w:line="360"/>
        <w:jc w:val="both"/>
        <w:rPr>
          <w:rFonts w:cs="Calibri" w:cstheme="minorHAnsi"/>
          <w:color w:val="1C1D1E"/>
          <w:sz w:val="24"/>
          <w:szCs w:val="24"/>
          <w:highlight w:val="white"/>
        </w:rPr>
      </w:pPr>
      <w:r>
        <w:rPr>
          <w:rFonts w:cs="Calibri" w:cstheme="minorHAnsi"/>
          <w:color w:val="1C1D1E"/>
          <w:sz w:val="24"/>
          <w:szCs w:val="24"/>
          <w:shd w:fill="FFFFFF" w:val="clear"/>
        </w:rPr>
        <w:t>Le processus infectieux du champignon est cyclique. Les feuilles matures  de la plante d’igname sont infectées par diffusion soit de spore asexuées soit de ascospores (asymptomatique) qui peuvent provenir de plusieurs hôte (exemple : plantes adventice).Une fois la période de latence  3 à 5 passée, la plante est infectieuse .Ses acervules (contenant les conidies secondaires) apparaissent au niveau des nécroses naissantes à la surface des feuilles. Les conidies vont être dispersées possiblement par dissémination du vent ou lors de pluie  par humectation ou bien par éclaboussure («splashing») puis l’action est répétée depuis le début (INRAE).</w:t>
      </w:r>
    </w:p>
    <w:p>
      <w:pPr>
        <w:pStyle w:val="Normal"/>
        <w:spacing w:lineRule="auto" w:line="360"/>
        <w:jc w:val="both"/>
        <w:rPr>
          <w:rFonts w:cs="Calibri" w:cstheme="minorHAnsi"/>
          <w:color w:val="1C1D1E"/>
          <w:sz w:val="24"/>
          <w:szCs w:val="24"/>
          <w:highlight w:val="white"/>
        </w:rPr>
      </w:pPr>
      <w:r>
        <w:rPr>
          <w:rFonts w:cs="Calibri" w:cstheme="minorHAnsi"/>
          <w:color w:val="1C1D1E"/>
          <w:sz w:val="24"/>
          <w:szCs w:val="24"/>
          <w:shd w:fill="FFFFFF" w:val="clear"/>
        </w:rPr>
      </w:r>
    </w:p>
    <w:p>
      <w:pPr>
        <w:pStyle w:val="Normal"/>
        <w:spacing w:lineRule="auto" w:line="360"/>
        <w:rPr>
          <w:rFonts w:cs="Calibri" w:cstheme="minorHAnsi"/>
          <w:b/>
          <w:b/>
          <w:sz w:val="24"/>
          <w:szCs w:val="24"/>
        </w:rPr>
      </w:pPr>
      <w:r>
        <w:rPr>
          <w:rFonts w:cs="Calibri" w:cstheme="minorHAnsi"/>
          <w:b/>
          <w:sz w:val="24"/>
          <w:szCs w:val="24"/>
        </w:rPr>
        <w:t>4.4 Méthodes de lutte</w:t>
      </w:r>
      <w:del w:id="151" w:author="Sébastien Guyader" w:date="2021-06-18T07:43:00Z">
        <w:r>
          <w:rPr>
            <w:rFonts w:cs="Calibri" w:cstheme="minorHAnsi"/>
            <w:b/>
            <w:sz w:val="24"/>
            <w:szCs w:val="24"/>
          </w:rPr>
          <w:delText>s</w:delText>
        </w:r>
      </w:del>
      <w:r>
        <w:rPr>
          <w:rFonts w:cs="Calibri" w:cstheme="minorHAnsi"/>
          <w:b/>
          <w:sz w:val="24"/>
          <w:szCs w:val="24"/>
        </w:rPr>
        <w:t xml:space="preserve"> contre l’antharcnose </w:t>
      </w:r>
    </w:p>
    <w:p>
      <w:pPr>
        <w:pStyle w:val="Normal"/>
        <w:spacing w:lineRule="auto" w:line="360"/>
        <w:jc w:val="both"/>
        <w:rPr>
          <w:rFonts w:cs="Calibri" w:cstheme="minorHAnsi"/>
          <w:sz w:val="24"/>
          <w:szCs w:val="24"/>
        </w:rPr>
      </w:pPr>
      <w:r>
        <w:rPr>
          <w:rFonts w:cs="Calibri" w:cstheme="minorHAnsi"/>
          <w:sz w:val="24"/>
          <w:szCs w:val="24"/>
        </w:rPr>
        <w:t>En Guadeloupe, deux grands moyens de luttes ont été déployé</w:t>
      </w:r>
      <w:del w:id="152" w:author="Sébastien Guyader" w:date="2021-06-18T07:43:06Z">
        <w:r>
          <w:rPr>
            <w:rFonts w:cs="Calibri" w:cstheme="minorHAnsi"/>
            <w:sz w:val="24"/>
            <w:szCs w:val="24"/>
          </w:rPr>
          <w:delText>e</w:delText>
        </w:r>
      </w:del>
      <w:r>
        <w:rPr>
          <w:rFonts w:cs="Calibri" w:cstheme="minorHAnsi"/>
          <w:sz w:val="24"/>
          <w:szCs w:val="24"/>
        </w:rPr>
        <w:t xml:space="preserve">s, la lutte chimique par fongicides comme le bénomyl </w:t>
      </w:r>
      <w:r>
        <w:rPr>
          <w:rFonts w:cs="Calibri" w:cstheme="minorHAnsi"/>
          <w:sz w:val="24"/>
          <w:szCs w:val="24"/>
          <w:highlight w:val="yellow"/>
        </w:rPr>
        <w:t>(Fournet et al., 1975</w:t>
      </w:r>
      <w:r>
        <w:rPr>
          <w:rFonts w:cs="Calibri" w:cstheme="minorHAnsi"/>
          <w:sz w:val="24"/>
          <w:szCs w:val="24"/>
        </w:rPr>
        <w:t>), retiré du marché car inefficace face à l’apparition de souches résistantes</w:t>
      </w:r>
      <w:ins w:id="153" w:author="Sébastien Guyader" w:date="2021-06-18T07:43:12Z">
        <w:r>
          <w:rPr>
            <w:rFonts w:cs="Calibri" w:cstheme="minorHAnsi"/>
            <w:sz w:val="24"/>
            <w:szCs w:val="24"/>
          </w:rPr>
          <w:t xml:space="preserve"> </w:t>
        </w:r>
      </w:ins>
      <w:r>
        <w:rPr>
          <w:rFonts w:cs="Calibri" w:cstheme="minorHAnsi"/>
          <w:sz w:val="24"/>
          <w:szCs w:val="24"/>
        </w:rPr>
        <w:t xml:space="preserve">(INRAE) et par introduction de variétés </w:t>
      </w:r>
      <w:del w:id="154" w:author="Sébastien Guyader" w:date="2021-06-18T07:43:24Z">
        <w:r>
          <w:rPr>
            <w:rFonts w:cs="Calibri" w:cstheme="minorHAnsi"/>
            <w:sz w:val="24"/>
            <w:szCs w:val="24"/>
          </w:rPr>
          <w:delText>extérieures</w:delText>
        </w:r>
      </w:del>
      <w:r>
        <w:rPr>
          <w:rFonts w:cs="Calibri" w:cstheme="minorHAnsi"/>
          <w:sz w:val="24"/>
          <w:szCs w:val="24"/>
        </w:rPr>
        <w:t xml:space="preserve"> résistantes à l’anthracnose</w:t>
      </w:r>
      <w:ins w:id="155" w:author="Sébastien Guyader" w:date="2021-06-18T07:43:29Z">
        <w:r>
          <w:rPr>
            <w:rFonts w:cs="Calibri" w:cstheme="minorHAnsi"/>
            <w:sz w:val="24"/>
            <w:szCs w:val="24"/>
          </w:rPr>
          <w:t xml:space="preserve"> </w:t>
        </w:r>
      </w:ins>
      <w:r>
        <w:rPr>
          <w:rFonts w:cs="Calibri" w:cstheme="minorHAnsi"/>
          <w:sz w:val="24"/>
          <w:szCs w:val="24"/>
          <w:highlight w:val="yellow"/>
        </w:rPr>
        <w:t>(Ano et al., 2002).</w:t>
      </w:r>
      <w:r>
        <w:rPr>
          <w:rFonts w:cs="Calibri" w:cstheme="minorHAnsi"/>
          <w:sz w:val="24"/>
          <w:szCs w:val="24"/>
        </w:rPr>
        <w:t xml:space="preserve"> Malgré cela ces mêmes variétés au fil du temps sont devenues à leur tour sensible</w:t>
      </w:r>
      <w:ins w:id="156" w:author="Sébastien Guyader" w:date="2021-06-18T07:43:36Z">
        <w:r>
          <w:rPr>
            <w:rFonts w:cs="Calibri" w:cstheme="minorHAnsi"/>
            <w:sz w:val="24"/>
            <w:szCs w:val="24"/>
          </w:rPr>
          <w:t>s</w:t>
        </w:r>
      </w:ins>
      <w:r>
        <w:rPr>
          <w:rFonts w:cs="Calibri" w:cstheme="minorHAnsi"/>
          <w:sz w:val="24"/>
          <w:szCs w:val="24"/>
        </w:rPr>
        <w:t xml:space="preserve"> à l’anthracnose</w:t>
      </w:r>
      <w:ins w:id="157" w:author="Sébastien Guyader" w:date="2021-06-18T07:43:39Z">
        <w:r>
          <w:rPr>
            <w:rFonts w:cs="Calibri" w:cstheme="minorHAnsi"/>
            <w:sz w:val="24"/>
            <w:szCs w:val="24"/>
          </w:rPr>
          <w:t xml:space="preserve"> </w:t>
        </w:r>
      </w:ins>
      <w:ins w:id="158" w:author="Sébastien Guyader" w:date="2021-06-18T07:43:39Z">
        <w:r>
          <w:rPr>
            <w:rFonts w:cs="Calibri" w:cstheme="minorHAnsi"/>
            <w:sz w:val="24"/>
            <w:szCs w:val="24"/>
          </w:rPr>
          <w:t>et il faut constamment renouveler les variétés</w:t>
        </w:r>
      </w:ins>
      <w:r>
        <w:rPr>
          <w:rFonts w:cs="Calibri" w:cstheme="minorHAnsi"/>
          <w:sz w:val="24"/>
          <w:szCs w:val="24"/>
        </w:rPr>
        <w:t>.</w:t>
      </w:r>
    </w:p>
    <w:p>
      <w:pPr>
        <w:pStyle w:val="Normal"/>
        <w:spacing w:lineRule="auto" w:line="360"/>
        <w:rPr>
          <w:rFonts w:ascii="Corbel" w:hAnsi="Corbel"/>
          <w:sz w:val="28"/>
        </w:rPr>
      </w:pPr>
      <w:r>
        <w:rPr>
          <w:rFonts w:ascii="Corbel" w:hAnsi="Corbel"/>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cs="Calibri" w:cstheme="minorHAnsi"/>
          <w:b/>
          <w:b/>
          <w:sz w:val="24"/>
          <w:szCs w:val="24"/>
        </w:rPr>
      </w:pPr>
      <w:r>
        <w:rPr>
          <w:rFonts w:cs="Calibri" w:cstheme="minorHAnsi"/>
          <w:b/>
          <w:sz w:val="24"/>
          <w:szCs w:val="24"/>
        </w:rPr>
        <w:t>5. Techniques de biologie moléculaire</w:t>
      </w:r>
    </w:p>
    <w:p>
      <w:pPr>
        <w:pStyle w:val="Normal"/>
        <w:rPr>
          <w:rFonts w:cs="Calibri" w:cstheme="minorHAnsi"/>
          <w:sz w:val="24"/>
          <w:szCs w:val="24"/>
        </w:rPr>
      </w:pPr>
      <w:r>
        <w:rPr>
          <w:rFonts w:cs="Calibri" w:cstheme="minorHAnsi"/>
          <w:sz w:val="24"/>
          <w:szCs w:val="24"/>
        </w:rPr>
        <w:t xml:space="preserve">Deux  techniques d’amplification différentes sont utilisées pour développer le test de détection de </w:t>
      </w:r>
      <w:r>
        <w:rPr>
          <w:rFonts w:cs="Calibri" w:cstheme="minorHAnsi"/>
          <w:i/>
          <w:sz w:val="24"/>
          <w:szCs w:val="24"/>
        </w:rPr>
        <w:t xml:space="preserve">Colletotrichum </w:t>
      </w:r>
      <w:r>
        <w:rPr>
          <w:rFonts w:cs="Calibri" w:cstheme="minorHAnsi"/>
          <w:i/>
          <w:iCs/>
          <w:sz w:val="24"/>
          <w:szCs w:val="24"/>
        </w:rPr>
        <w:t>gloeosporioides.</w:t>
      </w:r>
    </w:p>
    <w:p>
      <w:pPr>
        <w:pStyle w:val="Normal"/>
        <w:rPr>
          <w:rFonts w:ascii="Corbel" w:hAnsi="Corbel"/>
          <w:b/>
          <w:b/>
          <w:sz w:val="28"/>
        </w:rPr>
      </w:pPr>
      <w:r>
        <w:rPr>
          <w:rFonts w:ascii="Corbel" w:hAnsi="Corbel"/>
          <w:b/>
          <w:sz w:val="28"/>
        </w:rPr>
      </w:r>
    </w:p>
    <w:p>
      <w:pPr>
        <w:pStyle w:val="Normal"/>
        <w:spacing w:lineRule="auto" w:line="360"/>
        <w:jc w:val="both"/>
        <w:rPr>
          <w:rFonts w:cs="Calibri" w:cstheme="minorHAnsi"/>
          <w:b/>
          <w:b/>
          <w:sz w:val="28"/>
          <w:szCs w:val="28"/>
          <w:u w:val="single"/>
        </w:rPr>
      </w:pPr>
      <w:r>
        <w:rPr>
          <w:rFonts w:cs="Calibri" w:cstheme="minorHAnsi"/>
          <w:b/>
          <w:sz w:val="28"/>
          <w:szCs w:val="28"/>
          <w:u w:val="single"/>
        </w:rPr>
        <w:t>La PCR</w:t>
      </w:r>
    </w:p>
    <w:p>
      <w:pPr>
        <w:pStyle w:val="Normal"/>
        <w:spacing w:lineRule="auto" w:line="360"/>
        <w:jc w:val="both"/>
        <w:rPr>
          <w:rFonts w:cs="Calibri" w:cstheme="minorHAnsi"/>
          <w:sz w:val="24"/>
          <w:szCs w:val="24"/>
        </w:rPr>
      </w:pPr>
      <w:r>
        <w:rPr>
          <w:rFonts w:cs="Calibri" w:cstheme="minorHAnsi"/>
          <w:sz w:val="24"/>
          <w:szCs w:val="28"/>
        </w:rPr>
        <w:t xml:space="preserve">La PCR ou réaction en chaîne par polymérase, </w:t>
      </w:r>
      <w:r>
        <w:rPr>
          <w:sz w:val="24"/>
          <w:szCs w:val="24"/>
        </w:rPr>
        <w:t xml:space="preserve">est une technique utilisant une ADN polymérase </w:t>
      </w:r>
      <w:r>
        <w:rPr/>
        <w:t xml:space="preserve"> </w:t>
      </w:r>
      <w:r>
        <w:rPr>
          <w:sz w:val="24"/>
        </w:rPr>
        <w:t xml:space="preserve">thermostable (la Taq polymérase) </w:t>
      </w:r>
      <w:r>
        <w:rPr>
          <w:sz w:val="24"/>
          <w:szCs w:val="24"/>
        </w:rPr>
        <w:t xml:space="preserve">afin d’amplifier </w:t>
      </w:r>
      <w:r>
        <w:rPr>
          <w:i/>
          <w:sz w:val="24"/>
          <w:szCs w:val="24"/>
        </w:rPr>
        <w:t>in vitro</w:t>
      </w:r>
      <w:r>
        <w:rPr>
          <w:sz w:val="24"/>
          <w:szCs w:val="24"/>
        </w:rPr>
        <w:t xml:space="preserve"> des séquences d’ADN par répétition de réactions d’élongation médiées par des amorces nucléotidiques. L’amplification repose sur une succession cyclique de trois étapes : la dénaturation des deux brins d’ADN, l’hybridation des amorces et la réaction d’élongation.</w:t>
      </w:r>
      <w:r>
        <w:rPr>
          <w:sz w:val="28"/>
          <w:szCs w:val="24"/>
        </w:rPr>
        <w:t xml:space="preserve"> </w:t>
      </w:r>
      <w:r>
        <w:rPr>
          <w:sz w:val="24"/>
        </w:rPr>
        <w:t>Pour n cycles, 2</w:t>
      </w:r>
      <w:r>
        <w:rPr>
          <w:sz w:val="24"/>
          <w:vertAlign w:val="superscript"/>
        </w:rPr>
        <w:t>n</w:t>
      </w:r>
      <w:r>
        <w:rPr>
          <w:sz w:val="24"/>
        </w:rPr>
        <w:t xml:space="preserve">  molécules sont ainsi obtenues le nombre de copies du fragment d’ADN est doublé à chaque cycle, ce qui correspond à une augmentation exponentielle du nombre de molécules </w:t>
      </w:r>
      <w:r>
        <w:rPr>
          <w:sz w:val="24"/>
          <w:highlight w:val="yellow"/>
        </w:rPr>
        <w:t>(édition Quae,2018).</w:t>
      </w:r>
    </w:p>
    <w:p>
      <w:pPr>
        <w:pStyle w:val="Normal"/>
        <w:jc w:val="both"/>
        <w:rPr>
          <w:rFonts w:cs="Calibri" w:cstheme="minorHAnsi"/>
          <w:b/>
          <w:b/>
          <w:sz w:val="28"/>
          <w:szCs w:val="28"/>
          <w:u w:val="single"/>
        </w:rPr>
      </w:pPr>
      <w:r>
        <w:rPr>
          <w:rFonts w:cs="Calibri" w:cstheme="minorHAnsi"/>
          <w:b/>
          <w:sz w:val="28"/>
          <w:szCs w:val="28"/>
          <w:u w:val="single"/>
        </w:rPr>
      </w:r>
    </w:p>
    <w:p>
      <w:pPr>
        <w:pStyle w:val="Normal"/>
        <w:spacing w:lineRule="auto" w:line="360"/>
        <w:jc w:val="both"/>
        <w:rPr>
          <w:rFonts w:cs="Calibri" w:cstheme="minorHAnsi"/>
          <w:b/>
          <w:b/>
          <w:sz w:val="28"/>
          <w:szCs w:val="28"/>
          <w:u w:val="single"/>
        </w:rPr>
      </w:pPr>
      <w:r>
        <w:rPr>
          <w:rFonts w:cs="Calibri" w:cstheme="minorHAnsi"/>
          <w:b/>
          <w:sz w:val="28"/>
          <w:szCs w:val="28"/>
          <w:u w:val="single"/>
        </w:rPr>
        <w:t>La LAMP</w:t>
      </w:r>
    </w:p>
    <w:p>
      <w:pPr>
        <w:pStyle w:val="Normal"/>
        <w:spacing w:lineRule="auto" w:line="360"/>
        <w:jc w:val="both"/>
        <w:rPr>
          <w:rFonts w:cs="Calibri" w:cstheme="minorHAnsi"/>
          <w:sz w:val="24"/>
          <w:szCs w:val="28"/>
        </w:rPr>
      </w:pPr>
      <w:r>
        <w:rPr>
          <w:rFonts w:cs="Calibri" w:cstheme="minorHAnsi"/>
          <w:sz w:val="24"/>
          <w:szCs w:val="28"/>
        </w:rPr>
        <w:t xml:space="preserve">L’amplification isothermale par boucle (LAMP) est une technique d’amplification qui fait appel à un minimum de quatre amorces et jusqu'à six amorces - deux amorces externes (F3 et B3), deux amorces internes (FIP et BIP) et des amorces optionnelles de boucle (LF et LB) - ciblant six à huit régions de la séquence spécifique cible </w:t>
      </w:r>
      <w:r>
        <w:rPr>
          <w:rFonts w:cs="Calibri" w:cstheme="minorHAnsi"/>
          <w:sz w:val="24"/>
          <w:szCs w:val="28"/>
          <w:highlight w:val="yellow"/>
        </w:rPr>
        <w:t>(Srividya et al.2019</w:t>
      </w:r>
      <w:r>
        <w:rPr>
          <w:rFonts w:cs="Calibri" w:cstheme="minorHAnsi"/>
          <w:sz w:val="24"/>
          <w:szCs w:val="28"/>
        </w:rPr>
        <w:t>). Les amorces de boucle bien qu’elles soient</w:t>
      </w:r>
      <w:r>
        <w:rPr/>
        <w:t xml:space="preserve"> </w:t>
      </w:r>
      <w:r>
        <w:rPr>
          <w:rFonts w:cs="Calibri" w:cstheme="minorHAnsi"/>
          <w:sz w:val="24"/>
          <w:szCs w:val="28"/>
        </w:rPr>
        <w:t xml:space="preserve">facultatives, peuvent accélérer le processus d'amplification </w:t>
      </w:r>
      <w:r>
        <w:rPr>
          <w:rFonts w:cs="Calibri" w:cstheme="minorHAnsi"/>
          <w:sz w:val="24"/>
          <w:szCs w:val="28"/>
          <w:highlight w:val="yellow"/>
        </w:rPr>
        <w:t xml:space="preserve"> (Nagamine et al.,2002</w:t>
      </w:r>
      <w:r>
        <w:rPr>
          <w:rFonts w:cs="Calibri" w:cstheme="minorHAnsi"/>
          <w:sz w:val="24"/>
          <w:szCs w:val="28"/>
        </w:rPr>
        <w:t>). Cette technique permet de  générer jusqu’à 10</w:t>
      </w:r>
      <w:r>
        <w:rPr>
          <w:rFonts w:cs="Calibri" w:cstheme="minorHAnsi"/>
          <w:sz w:val="24"/>
          <w:szCs w:val="28"/>
          <w:vertAlign w:val="superscript"/>
        </w:rPr>
        <w:t>9</w:t>
      </w:r>
      <w:r>
        <w:rPr>
          <w:rFonts w:cs="Calibri" w:cstheme="minorHAnsi"/>
          <w:sz w:val="24"/>
          <w:szCs w:val="28"/>
        </w:rPr>
        <w:t xml:space="preserve"> copies de l’ADN cible en moins d’une heure </w:t>
      </w:r>
      <w:r>
        <w:rPr>
          <w:rFonts w:cs="Calibri" w:cstheme="minorHAnsi"/>
          <w:sz w:val="24"/>
          <w:szCs w:val="28"/>
          <w:highlight w:val="yellow"/>
        </w:rPr>
        <w:t>(Notomi et al.,2000)</w:t>
      </w:r>
      <w:r>
        <w:rPr>
          <w:rFonts w:cs="Calibri" w:cstheme="minorHAnsi"/>
          <w:sz w:val="24"/>
          <w:szCs w:val="28"/>
        </w:rPr>
        <w:t>.Ce qui distingue la LAMP des autres techniques d'amplification des acides nucléiques c’est l'utilisation d’une polymérase à déplacement de brin, qui est une enzyme dépourvue d'activité 5′-3′ exonucléase et qui peut amplifier les acides nucléiques avec une activité d'auto-cyclage à une température constante de 60-75°C. La</w:t>
      </w:r>
      <w:r>
        <w:rPr/>
        <w:t xml:space="preserve"> </w:t>
      </w:r>
      <w:r>
        <w:rPr>
          <w:rFonts w:cs="Calibri" w:cstheme="minorHAnsi"/>
          <w:sz w:val="24"/>
          <w:szCs w:val="28"/>
        </w:rPr>
        <w:t xml:space="preserve">LAMP est donc une technique de détection simple (température constante), rapide, à haute sensibilité, qui peut être utilisée efficacement pour la détection d'un large éventail de micro-organismes, tels que les bactéries, les virus, les champignons, pouvant être agents pathogènes dans les maladies infectieuses (Srividya et al.2019). </w:t>
      </w:r>
    </w:p>
    <w:p>
      <w:pPr>
        <w:pStyle w:val="Normal"/>
        <w:rPr>
          <w:rFonts w:ascii="Corbel" w:hAnsi="Corbel"/>
          <w:b/>
          <w:b/>
          <w:sz w:val="28"/>
        </w:rPr>
      </w:pPr>
      <w:r>
        <w:rPr>
          <w:rFonts w:ascii="Corbel" w:hAnsi="Corbel"/>
          <w:b/>
          <w:sz w:val="28"/>
        </w:rPr>
      </w:r>
      <w:bookmarkStart w:id="0" w:name="_GoBack"/>
      <w:bookmarkStart w:id="1" w:name="_GoBack"/>
      <w:bookmarkEnd w:id="1"/>
    </w:p>
    <w:p>
      <w:pPr>
        <w:pStyle w:val="Normal"/>
        <w:rPr>
          <w:rFonts w:ascii="Corbel" w:hAnsi="Corbel"/>
          <w:b/>
          <w:b/>
          <w:sz w:val="28"/>
        </w:rPr>
      </w:pPr>
      <w:r>
        <w:rPr>
          <w:rFonts w:ascii="Corbel" w:hAnsi="Corbel"/>
          <w:b/>
          <w:sz w:val="28"/>
        </w:rPr>
      </w:r>
    </w:p>
    <w:p>
      <w:pPr>
        <w:pStyle w:val="ListParagraph"/>
        <w:numPr>
          <w:ilvl w:val="0"/>
          <w:numId w:val="7"/>
        </w:numPr>
        <w:rPr>
          <w:rFonts w:cs="Calibri" w:cstheme="minorHAnsi"/>
          <w:b/>
          <w:b/>
          <w:sz w:val="36"/>
        </w:rPr>
      </w:pPr>
      <w:r>
        <w:rPr>
          <w:rFonts w:cs="Calibri" w:cstheme="minorHAnsi"/>
          <w:b/>
          <w:sz w:val="36"/>
        </w:rPr>
        <w:t>MATERIEL ET METHODES</w:t>
      </w:r>
    </w:p>
    <w:p>
      <w:pPr>
        <w:pStyle w:val="Normal"/>
        <w:spacing w:lineRule="auto" w:line="360"/>
        <w:rPr>
          <w:rFonts w:ascii="Calibri" w:hAnsi="Calibri" w:cs="Calibri"/>
          <w:sz w:val="28"/>
          <w:szCs w:val="28"/>
          <w:u w:val="single"/>
        </w:rPr>
      </w:pPr>
      <w:r>
        <w:rPr>
          <w:rFonts w:cs="Calibri"/>
          <w:sz w:val="28"/>
          <w:szCs w:val="28"/>
          <w:u w:val="single"/>
        </w:rPr>
        <w:t>Echantillonnage des isolats fongiques</w:t>
      </w:r>
    </w:p>
    <w:p>
      <w:pPr>
        <w:pStyle w:val="Normal"/>
        <w:spacing w:lineRule="auto" w:line="360"/>
        <w:jc w:val="both"/>
        <w:rPr>
          <w:rFonts w:ascii="Calibri" w:hAnsi="Calibri" w:cs="Calibri"/>
          <w:sz w:val="24"/>
        </w:rPr>
      </w:pPr>
      <w:r>
        <w:rPr>
          <w:rFonts w:cs="Calibri"/>
          <w:sz w:val="24"/>
        </w:rPr>
        <w:t xml:space="preserve">Lors de cette étude, des souches de </w:t>
      </w:r>
      <w:r>
        <w:rPr>
          <w:rFonts w:cs="Calibri"/>
          <w:i/>
          <w:sz w:val="24"/>
        </w:rPr>
        <w:t>Colletotrichum gloeosporioides</w:t>
      </w:r>
      <w:r>
        <w:rPr>
          <w:rFonts w:cs="Calibri"/>
          <w:sz w:val="24"/>
        </w:rPr>
        <w:t xml:space="preserve"> de trois sources différentes, ont été utilisées, toutes provenant d’igname. 12 souches issues de plusieurs variétés appartiennent à la collection « historique » de l’INRAE (souches isolées entre les années 1990 et 2010 ; Tableau 1). 188 souches datant de 2015 proviennent de l’expérimentation du projet de Durayam, prélevées sur quatre variétés : Pyramide, BP 142, BP 154, PB 145. Les autres souches, prélevées chez des agriculteurs lors du projet Gapyam, n’ont pas pu être utilisées pour la suite.</w:t>
      </w:r>
    </w:p>
    <w:tbl>
      <w:tblPr>
        <w:tblStyle w:val="Grilledutableau"/>
        <w:tblW w:w="915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25"/>
        <w:gridCol w:w="1525"/>
        <w:gridCol w:w="1525"/>
        <w:gridCol w:w="1524"/>
        <w:gridCol w:w="1527"/>
        <w:gridCol w:w="1525"/>
      </w:tblGrid>
      <w:tr>
        <w:trPr>
          <w:trHeight w:val="260" w:hRule="atLeast"/>
        </w:trPr>
        <w:tc>
          <w:tcPr>
            <w:tcW w:w="1525" w:type="dxa"/>
            <w:tcBorders/>
          </w:tcPr>
          <w:p>
            <w:pPr>
              <w:pStyle w:val="Normal"/>
              <w:widowControl/>
              <w:spacing w:lineRule="auto" w:line="240" w:before="0" w:after="0"/>
              <w:jc w:val="left"/>
              <w:rPr>
                <w:rFonts w:ascii="Calibri" w:hAnsi="Calibri" w:cs="Calibri"/>
              </w:rPr>
            </w:pPr>
            <w:r>
              <w:rPr>
                <w:rFonts w:eastAsia="Calibri" w:cs="Calibri"/>
                <w:kern w:val="0"/>
                <w:sz w:val="22"/>
                <w:szCs w:val="22"/>
                <w:lang w:val="fr-FR" w:eastAsia="en-US" w:bidi="ar-SA"/>
              </w:rPr>
              <w:t>Référence</w:t>
            </w:r>
          </w:p>
        </w:tc>
        <w:tc>
          <w:tcPr>
            <w:tcW w:w="1525" w:type="dxa"/>
            <w:tcBorders/>
          </w:tcPr>
          <w:p>
            <w:pPr>
              <w:pStyle w:val="Normal"/>
              <w:widowControl/>
              <w:spacing w:lineRule="auto" w:line="240" w:before="0" w:after="0"/>
              <w:jc w:val="left"/>
              <w:rPr>
                <w:rFonts w:ascii="Calibri" w:hAnsi="Calibri" w:cs="Calibri"/>
              </w:rPr>
            </w:pPr>
            <w:r>
              <w:rPr>
                <w:rFonts w:eastAsia="Calibri" w:cs="Calibri"/>
                <w:kern w:val="0"/>
                <w:sz w:val="22"/>
                <w:szCs w:val="22"/>
                <w:lang w:val="fr-FR" w:eastAsia="en-US" w:bidi="ar-SA"/>
              </w:rPr>
              <w:t>Identification</w:t>
            </w:r>
          </w:p>
        </w:tc>
        <w:tc>
          <w:tcPr>
            <w:tcW w:w="1525" w:type="dxa"/>
            <w:tcBorders/>
          </w:tcPr>
          <w:p>
            <w:pPr>
              <w:pStyle w:val="Normal"/>
              <w:widowControl/>
              <w:spacing w:lineRule="auto" w:line="240" w:before="0" w:after="0"/>
              <w:jc w:val="left"/>
              <w:rPr>
                <w:rFonts w:ascii="Calibri" w:hAnsi="Calibri" w:cs="Calibri"/>
              </w:rPr>
            </w:pPr>
            <w:r>
              <w:rPr>
                <w:rFonts w:eastAsia="Calibri" w:cs="Calibri"/>
                <w:kern w:val="0"/>
                <w:sz w:val="22"/>
                <w:szCs w:val="22"/>
                <w:lang w:val="fr-FR" w:eastAsia="en-US" w:bidi="ar-SA"/>
              </w:rPr>
              <w:t>Commune</w:t>
            </w:r>
          </w:p>
        </w:tc>
        <w:tc>
          <w:tcPr>
            <w:tcW w:w="1524" w:type="dxa"/>
            <w:tcBorders/>
          </w:tcPr>
          <w:p>
            <w:pPr>
              <w:pStyle w:val="Normal"/>
              <w:widowControl/>
              <w:spacing w:lineRule="auto" w:line="240" w:before="0" w:after="0"/>
              <w:jc w:val="left"/>
              <w:rPr>
                <w:rFonts w:ascii="Calibri" w:hAnsi="Calibri" w:cs="Calibri"/>
              </w:rPr>
            </w:pPr>
            <w:r>
              <w:rPr>
                <w:rFonts w:eastAsia="Calibri" w:cs="Calibri"/>
                <w:kern w:val="0"/>
                <w:sz w:val="22"/>
                <w:szCs w:val="22"/>
                <w:lang w:val="fr-FR" w:eastAsia="en-US" w:bidi="ar-SA"/>
              </w:rPr>
              <w:t>Section</w:t>
            </w:r>
          </w:p>
        </w:tc>
        <w:tc>
          <w:tcPr>
            <w:tcW w:w="1527" w:type="dxa"/>
            <w:tcBorders/>
          </w:tcPr>
          <w:p>
            <w:pPr>
              <w:pStyle w:val="Normal"/>
              <w:widowControl/>
              <w:spacing w:lineRule="auto" w:line="240" w:before="0" w:after="0"/>
              <w:jc w:val="left"/>
              <w:rPr>
                <w:rFonts w:ascii="Calibri" w:hAnsi="Calibri" w:cs="Calibri"/>
              </w:rPr>
            </w:pPr>
            <w:r>
              <w:rPr>
                <w:rFonts w:eastAsia="Calibri" w:cs="Calibri"/>
                <w:kern w:val="0"/>
                <w:sz w:val="22"/>
                <w:szCs w:val="22"/>
                <w:lang w:val="fr-FR" w:eastAsia="en-US" w:bidi="ar-SA"/>
              </w:rPr>
              <w:t>Hôte</w:t>
            </w:r>
          </w:p>
        </w:tc>
        <w:tc>
          <w:tcPr>
            <w:tcW w:w="1525" w:type="dxa"/>
            <w:tcBorders/>
          </w:tcPr>
          <w:p>
            <w:pPr>
              <w:pStyle w:val="Normal"/>
              <w:widowControl/>
              <w:spacing w:lineRule="auto" w:line="240" w:before="0" w:after="0"/>
              <w:jc w:val="left"/>
              <w:rPr>
                <w:rFonts w:ascii="Calibri" w:hAnsi="Calibri" w:cs="Calibri"/>
              </w:rPr>
            </w:pPr>
            <w:r>
              <w:rPr>
                <w:rFonts w:eastAsia="Calibri" w:cs="Calibri"/>
                <w:kern w:val="0"/>
                <w:sz w:val="22"/>
                <w:szCs w:val="22"/>
                <w:lang w:val="fr-FR" w:eastAsia="en-US" w:bidi="ar-SA"/>
              </w:rPr>
              <w:t>Variété</w:t>
            </w:r>
          </w:p>
        </w:tc>
      </w:tr>
      <w:tr>
        <w:trPr>
          <w:trHeight w:val="247" w:hRule="atLeast"/>
        </w:trPr>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13</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C.gl</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Petit-Bourg</w:t>
            </w:r>
          </w:p>
        </w:tc>
        <w:tc>
          <w:tcPr>
            <w:tcW w:w="1524"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Prise d’eau</w:t>
            </w:r>
          </w:p>
        </w:tc>
        <w:tc>
          <w:tcPr>
            <w:tcW w:w="1527"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D.alata</w:t>
            </w:r>
          </w:p>
        </w:tc>
        <w:tc>
          <w:tcPr>
            <w:tcW w:w="1525" w:type="dxa"/>
            <w:tcBorders/>
          </w:tcPr>
          <w:p>
            <w:pPr>
              <w:pStyle w:val="Normal"/>
              <w:widowControl/>
              <w:spacing w:lineRule="auto" w:line="240" w:before="0" w:after="0"/>
              <w:jc w:val="center"/>
              <w:rPr>
                <w:b/>
                <w:b/>
              </w:rPr>
            </w:pPr>
            <w:r>
              <w:rPr>
                <w:rFonts w:eastAsia="Calibri" w:cs=""/>
                <w:b/>
                <w:kern w:val="0"/>
                <w:sz w:val="22"/>
                <w:szCs w:val="22"/>
                <w:lang w:val="fr-FR" w:eastAsia="en-US" w:bidi="ar-SA"/>
              </w:rPr>
              <w:t>Ste Cath/Pyr</w:t>
            </w:r>
          </w:p>
        </w:tc>
      </w:tr>
      <w:tr>
        <w:trPr>
          <w:trHeight w:val="260" w:hRule="atLeast"/>
        </w:trPr>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35</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C.gl/G.cing</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Morne à l‘Eau</w:t>
            </w:r>
          </w:p>
        </w:tc>
        <w:tc>
          <w:tcPr>
            <w:tcW w:w="1524"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Saint-cyr</w:t>
            </w:r>
          </w:p>
        </w:tc>
        <w:tc>
          <w:tcPr>
            <w:tcW w:w="1527"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D.alata</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r>
          </w:p>
        </w:tc>
      </w:tr>
      <w:tr>
        <w:trPr>
          <w:trHeight w:val="247" w:hRule="atLeast"/>
        </w:trPr>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51</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Saint Esprit</w:t>
            </w:r>
          </w:p>
        </w:tc>
        <w:tc>
          <w:tcPr>
            <w:tcW w:w="1524"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r>
          </w:p>
        </w:tc>
        <w:tc>
          <w:tcPr>
            <w:tcW w:w="1527"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D.alata</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Pyramide</w:t>
            </w:r>
          </w:p>
        </w:tc>
      </w:tr>
      <w:tr>
        <w:trPr>
          <w:trHeight w:val="260" w:hRule="atLeast"/>
        </w:trPr>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101</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C.gl</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Moule</w:t>
            </w:r>
          </w:p>
        </w:tc>
        <w:tc>
          <w:tcPr>
            <w:tcW w:w="1524"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L’Ecluse</w:t>
            </w:r>
          </w:p>
        </w:tc>
        <w:tc>
          <w:tcPr>
            <w:tcW w:w="1527"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D.alata</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White lisbon</w:t>
            </w:r>
          </w:p>
        </w:tc>
      </w:tr>
      <w:tr>
        <w:trPr>
          <w:trHeight w:val="247" w:hRule="atLeast"/>
        </w:trPr>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118</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C.gl</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Moule</w:t>
            </w:r>
          </w:p>
        </w:tc>
        <w:tc>
          <w:tcPr>
            <w:tcW w:w="1524"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L’Ecluse</w:t>
            </w:r>
          </w:p>
        </w:tc>
        <w:tc>
          <w:tcPr>
            <w:tcW w:w="1527"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D.alata</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r>
          </w:p>
        </w:tc>
      </w:tr>
      <w:tr>
        <w:trPr>
          <w:trHeight w:val="260" w:hRule="atLeast"/>
        </w:trPr>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154</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C.gl</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Baie-Mahault</w:t>
            </w:r>
          </w:p>
        </w:tc>
        <w:tc>
          <w:tcPr>
            <w:tcW w:w="1524"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Birmingham</w:t>
            </w:r>
          </w:p>
        </w:tc>
        <w:tc>
          <w:tcPr>
            <w:tcW w:w="1527"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D.alata</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Plimbite</w:t>
            </w:r>
          </w:p>
        </w:tc>
      </w:tr>
      <w:tr>
        <w:trPr>
          <w:trHeight w:val="247" w:hRule="atLeast"/>
        </w:trPr>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208</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A.C</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Goyave</w:t>
            </w:r>
          </w:p>
        </w:tc>
        <w:tc>
          <w:tcPr>
            <w:tcW w:w="1524"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Barthélémy</w:t>
            </w:r>
          </w:p>
        </w:tc>
        <w:tc>
          <w:tcPr>
            <w:tcW w:w="1527"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D.alata</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Pacala</w:t>
            </w:r>
          </w:p>
        </w:tc>
      </w:tr>
      <w:tr>
        <w:trPr>
          <w:trHeight w:val="260" w:hRule="atLeast"/>
        </w:trPr>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221</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C.gl</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Morne à l’eau</w:t>
            </w:r>
          </w:p>
        </w:tc>
        <w:tc>
          <w:tcPr>
            <w:tcW w:w="1524"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Blanchet</w:t>
            </w:r>
          </w:p>
        </w:tc>
        <w:tc>
          <w:tcPr>
            <w:tcW w:w="1527"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D.alata</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Plimbite</w:t>
            </w:r>
          </w:p>
        </w:tc>
      </w:tr>
      <w:tr>
        <w:trPr>
          <w:trHeight w:val="247" w:hRule="atLeast"/>
        </w:trPr>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224</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Lamentin</w:t>
            </w:r>
          </w:p>
        </w:tc>
        <w:tc>
          <w:tcPr>
            <w:tcW w:w="1524"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Brefort</w:t>
            </w:r>
          </w:p>
        </w:tc>
        <w:tc>
          <w:tcPr>
            <w:tcW w:w="1527"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D.alata</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Tahiti</w:t>
            </w:r>
          </w:p>
        </w:tc>
      </w:tr>
      <w:tr>
        <w:trPr>
          <w:trHeight w:val="260" w:hRule="atLeast"/>
        </w:trPr>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245</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C.g</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Trois Rivières</w:t>
            </w:r>
          </w:p>
        </w:tc>
        <w:tc>
          <w:tcPr>
            <w:tcW w:w="1524"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r>
          </w:p>
        </w:tc>
        <w:tc>
          <w:tcPr>
            <w:tcW w:w="1527"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Gazon</w:t>
            </w:r>
          </w:p>
        </w:tc>
      </w:tr>
      <w:tr>
        <w:trPr>
          <w:trHeight w:val="247" w:hRule="atLeast"/>
        </w:trPr>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250</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C.g</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Petit-Bourg</w:t>
            </w:r>
          </w:p>
        </w:tc>
        <w:tc>
          <w:tcPr>
            <w:tcW w:w="1524"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Duclos</w:t>
            </w:r>
          </w:p>
        </w:tc>
        <w:tc>
          <w:tcPr>
            <w:tcW w:w="1527"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Sol</w:t>
            </w:r>
          </w:p>
        </w:tc>
      </w:tr>
      <w:tr>
        <w:trPr>
          <w:trHeight w:val="260" w:hRule="atLeast"/>
        </w:trPr>
        <w:tc>
          <w:tcPr>
            <w:tcW w:w="1525" w:type="dxa"/>
            <w:tcBorders/>
          </w:tcPr>
          <w:p>
            <w:pPr>
              <w:pStyle w:val="Normal"/>
              <w:widowControl/>
              <w:spacing w:lineRule="auto" w:line="240" w:before="0" w:after="0"/>
              <w:jc w:val="center"/>
              <w:rPr>
                <w:rFonts w:ascii="Calibri" w:hAnsi="Calibri" w:cs="Calibri"/>
                <w:b/>
                <w:b/>
                <w:highlight w:val="yellow"/>
              </w:rPr>
            </w:pPr>
            <w:r>
              <w:rPr>
                <w:rFonts w:eastAsia="Calibri" w:cs="Calibri"/>
                <w:b/>
                <w:kern w:val="0"/>
                <w:sz w:val="22"/>
                <w:szCs w:val="22"/>
                <w:lang w:val="fr-FR" w:eastAsia="en-US" w:bidi="ar-SA"/>
              </w:rPr>
              <w:t>296</w:t>
            </w:r>
          </w:p>
        </w:tc>
        <w:tc>
          <w:tcPr>
            <w:tcW w:w="1525" w:type="dxa"/>
            <w:tcBorders/>
          </w:tcPr>
          <w:p>
            <w:pPr>
              <w:pStyle w:val="Normal"/>
              <w:widowControl/>
              <w:spacing w:lineRule="auto" w:line="240" w:before="0" w:after="0"/>
              <w:jc w:val="left"/>
              <w:rPr>
                <w:rFonts w:ascii="Calibri" w:hAnsi="Calibri" w:cs="Calibri"/>
                <w:b/>
                <w:b/>
              </w:rPr>
            </w:pPr>
            <w:r>
              <w:rPr>
                <w:rFonts w:eastAsia="Calibri" w:cs="Calibri"/>
                <w:b/>
                <w:kern w:val="0"/>
                <w:sz w:val="22"/>
                <w:szCs w:val="22"/>
                <w:lang w:val="fr-FR" w:eastAsia="en-US" w:bidi="ar-SA"/>
              </w:rPr>
            </w:r>
          </w:p>
        </w:tc>
        <w:tc>
          <w:tcPr>
            <w:tcW w:w="1525" w:type="dxa"/>
            <w:tcBorders/>
          </w:tcPr>
          <w:p>
            <w:pPr>
              <w:pStyle w:val="Normal"/>
              <w:widowControl/>
              <w:spacing w:lineRule="auto" w:line="240" w:before="0" w:after="0"/>
              <w:jc w:val="left"/>
              <w:rPr>
                <w:rFonts w:ascii="Calibri" w:hAnsi="Calibri" w:cs="Calibri"/>
                <w:b/>
                <w:b/>
              </w:rPr>
            </w:pPr>
            <w:r>
              <w:rPr>
                <w:rFonts w:eastAsia="Calibri" w:cs="Calibri"/>
                <w:b/>
                <w:kern w:val="0"/>
                <w:sz w:val="22"/>
                <w:szCs w:val="22"/>
                <w:lang w:val="fr-FR" w:eastAsia="en-US" w:bidi="ar-SA"/>
              </w:rPr>
            </w:r>
          </w:p>
        </w:tc>
        <w:tc>
          <w:tcPr>
            <w:tcW w:w="1524" w:type="dxa"/>
            <w:tcBorders/>
          </w:tcPr>
          <w:p>
            <w:pPr>
              <w:pStyle w:val="Normal"/>
              <w:widowControl/>
              <w:spacing w:lineRule="auto" w:line="240" w:before="0" w:after="0"/>
              <w:jc w:val="left"/>
              <w:rPr>
                <w:rFonts w:ascii="Calibri" w:hAnsi="Calibri" w:cs="Calibri"/>
                <w:b/>
                <w:b/>
              </w:rPr>
            </w:pPr>
            <w:r>
              <w:rPr>
                <w:rFonts w:eastAsia="Calibri" w:cs="Calibri"/>
                <w:b/>
                <w:kern w:val="0"/>
                <w:sz w:val="22"/>
                <w:szCs w:val="22"/>
                <w:lang w:val="fr-FR" w:eastAsia="en-US" w:bidi="ar-SA"/>
              </w:rPr>
            </w:r>
          </w:p>
        </w:tc>
        <w:tc>
          <w:tcPr>
            <w:tcW w:w="1527" w:type="dxa"/>
            <w:tcBorders/>
          </w:tcPr>
          <w:p>
            <w:pPr>
              <w:pStyle w:val="Normal"/>
              <w:widowControl/>
              <w:spacing w:lineRule="auto" w:line="240" w:before="0" w:after="0"/>
              <w:jc w:val="left"/>
              <w:rPr>
                <w:rFonts w:ascii="Calibri" w:hAnsi="Calibri" w:cs="Calibri"/>
                <w:b/>
                <w:b/>
              </w:rPr>
            </w:pPr>
            <w:r>
              <w:rPr>
                <w:rFonts w:eastAsia="Calibri" w:cs="Calibri"/>
                <w:b/>
                <w:kern w:val="0"/>
                <w:sz w:val="22"/>
                <w:szCs w:val="22"/>
                <w:lang w:val="fr-FR" w:eastAsia="en-US" w:bidi="ar-SA"/>
              </w:rPr>
            </w:r>
          </w:p>
        </w:tc>
        <w:tc>
          <w:tcPr>
            <w:tcW w:w="1525" w:type="dxa"/>
            <w:tcBorders/>
          </w:tcPr>
          <w:p>
            <w:pPr>
              <w:pStyle w:val="Normal"/>
              <w:widowControl/>
              <w:spacing w:lineRule="auto" w:line="240" w:before="0" w:after="0"/>
              <w:jc w:val="left"/>
              <w:rPr>
                <w:rFonts w:ascii="Calibri" w:hAnsi="Calibri" w:cs="Calibri"/>
                <w:b/>
                <w:b/>
              </w:rPr>
            </w:pPr>
            <w:r>
              <w:rPr>
                <w:rFonts w:eastAsia="Calibri" w:cs="Calibri"/>
                <w:b/>
                <w:kern w:val="0"/>
                <w:sz w:val="22"/>
                <w:szCs w:val="22"/>
                <w:lang w:val="fr-FR" w:eastAsia="en-US" w:bidi="ar-SA"/>
              </w:rPr>
            </w:r>
          </w:p>
        </w:tc>
      </w:tr>
    </w:tbl>
    <w:p>
      <w:pPr>
        <w:pStyle w:val="Normal"/>
        <w:rPr>
          <w:i/>
          <w:i/>
        </w:rPr>
      </w:pPr>
      <w:r>
        <w:rPr/>
        <w:t xml:space="preserve">Tableau 1. Répertoire des souches historiques du complexe d’espèces Colletotrichum </w:t>
      </w:r>
      <w:r>
        <w:rPr>
          <w:i/>
        </w:rPr>
        <w:t xml:space="preserve">gloeosporioides </w:t>
      </w:r>
      <w:r>
        <w:rPr/>
        <w:t xml:space="preserve">collectées sur l’igname </w:t>
      </w:r>
      <w:r>
        <w:rPr>
          <w:i/>
        </w:rPr>
        <w:t>D.alata (source : Base de données INRAE).</w:t>
      </w:r>
    </w:p>
    <w:p>
      <w:pPr>
        <w:pStyle w:val="Normal"/>
        <w:rPr>
          <w:rFonts w:ascii="Calibri" w:hAnsi="Calibri" w:cs="Calibri"/>
          <w:i/>
          <w:i/>
          <w:sz w:val="24"/>
        </w:rPr>
      </w:pPr>
      <w:r>
        <w:rPr>
          <w:rFonts w:cs="Calibri"/>
          <w:i/>
          <w:sz w:val="24"/>
        </w:rPr>
      </w:r>
    </w:p>
    <w:p>
      <w:pPr>
        <w:pStyle w:val="Normal"/>
        <w:jc w:val="both"/>
        <w:rPr>
          <w:rFonts w:ascii="Calibri" w:hAnsi="Calibri" w:cs="Calibri"/>
          <w:sz w:val="28"/>
          <w:u w:val="single"/>
        </w:rPr>
      </w:pPr>
      <w:r>
        <w:rPr>
          <w:rFonts w:cs="Calibri"/>
          <w:sz w:val="28"/>
          <w:u w:val="single"/>
        </w:rPr>
      </w:r>
    </w:p>
    <w:p>
      <w:pPr>
        <w:pStyle w:val="Normal"/>
        <w:jc w:val="both"/>
        <w:rPr>
          <w:rFonts w:ascii="Calibri" w:hAnsi="Calibri" w:cs="Calibri"/>
          <w:sz w:val="28"/>
          <w:u w:val="single"/>
        </w:rPr>
      </w:pPr>
      <w:r>
        <w:rPr>
          <w:rFonts w:cs="Calibri"/>
          <w:sz w:val="28"/>
          <w:u w:val="single"/>
        </w:rPr>
        <w:t>Mise en culture des isolats de la collection INRAE</w:t>
      </w:r>
    </w:p>
    <w:p>
      <w:pPr>
        <w:pStyle w:val="Normal"/>
        <w:spacing w:lineRule="auto" w:line="360"/>
        <w:jc w:val="both"/>
        <w:rPr>
          <w:sz w:val="24"/>
        </w:rPr>
      </w:pPr>
      <w:r>
        <w:rPr>
          <w:sz w:val="24"/>
        </w:rPr>
        <w:t>Afin de disposer de matériel génétique fiable, le repiquage, procédé réalisé sous hotte par lequel un morceau de gélose contenant le champignon est transféré dans une boîte de Pétri contenant un milieu gélosé PDA pour la mise en culture, est réalisé toutes les deux semaines. La mise en culture se fait en milieu contrôlé en reproduisant les conditions optimales à la pousse (Température de 25°C, éclairage 12h par jour, hygrométrie saturante).</w:t>
      </w:r>
    </w:p>
    <w:p>
      <w:pPr>
        <w:pStyle w:val="Normal"/>
        <w:spacing w:lineRule="auto" w:line="360"/>
        <w:jc w:val="both"/>
        <w:rPr>
          <w:sz w:val="24"/>
        </w:rPr>
      </w:pPr>
      <w:r>
        <w:rPr>
          <w:sz w:val="24"/>
        </w:rPr>
        <w:t>Une fois que le mycélium occupe presque toute la boîte de milieu PDA et qu’il n’y a pas de présence de contamination, soit la croissance est ralentie par le biais d’une réfrigération pour une utilisation ultérieure, soit l’ADN génomique est extrait dans la foulée.</w:t>
      </w:r>
    </w:p>
    <w:p>
      <w:pPr>
        <w:pStyle w:val="Normal"/>
        <w:spacing w:lineRule="auto" w:line="360"/>
        <w:jc w:val="both"/>
        <w:rPr>
          <w:sz w:val="28"/>
          <w:u w:val="single"/>
        </w:rPr>
      </w:pPr>
      <w:r>
        <w:rPr>
          <w:sz w:val="28"/>
          <w:u w:val="single"/>
        </w:rPr>
        <w:t>Extraction de l’ADN fongique</w:t>
      </w:r>
    </w:p>
    <w:p>
      <w:pPr>
        <w:pStyle w:val="Normal"/>
        <w:spacing w:lineRule="auto" w:line="360"/>
        <w:jc w:val="both"/>
        <w:rPr>
          <w:sz w:val="24"/>
        </w:rPr>
      </w:pPr>
      <w:r>
        <w:rPr>
          <w:sz w:val="24"/>
        </w:rPr>
        <w:t xml:space="preserve">C’est avec un kit «  Fast prep MP Bio » que l’ADN est extrait. Il suffit de gratter délicatement la surface de </w:t>
      </w:r>
      <w:r>
        <w:rPr>
          <w:sz w:val="24"/>
          <w:highlight w:val="cyan"/>
        </w:rPr>
        <w:t>la boîte (image),</w:t>
      </w:r>
      <w:r>
        <w:rPr>
          <w:sz w:val="24"/>
        </w:rPr>
        <w:t xml:space="preserve"> afin de récupérer le maximum de matériel et de le transférer dans des tubes contenant une matrice de lyse facilitant la libération de l’ADN génomique. Après l’application du protocole expérimental, la qualité de l’ADN extrait est vérifiée par électrophorèse sur gel d’agarose à 0.8 %, puis à l’aide d’un appareil Nanodrop.</w:t>
      </w:r>
    </w:p>
    <w:p>
      <w:pPr>
        <w:pStyle w:val="Normal"/>
        <w:jc w:val="both"/>
        <w:rPr>
          <w:sz w:val="28"/>
          <w:szCs w:val="24"/>
          <w:u w:val="single"/>
        </w:rPr>
      </w:pPr>
      <w:r>
        <w:rPr>
          <w:sz w:val="28"/>
          <w:szCs w:val="24"/>
          <w:u w:val="single"/>
        </w:rPr>
        <w:t>Concentration et contrôle par Nanodrop 8000</w:t>
      </w:r>
    </w:p>
    <w:p>
      <w:pPr>
        <w:pStyle w:val="Normal"/>
        <w:spacing w:lineRule="auto" w:line="360"/>
        <w:jc w:val="both"/>
        <w:rPr>
          <w:sz w:val="24"/>
          <w:szCs w:val="24"/>
        </w:rPr>
      </w:pPr>
      <w:r>
        <w:rPr>
          <w:sz w:val="24"/>
          <w:szCs w:val="24"/>
        </w:rPr>
        <w:t>Le Nanodrop 8000 est un instrument de spectrophotométrie qui permet de quantifier et d'évaluer rapidement et facilement la pureté d'échantillons tels que les protéines et les acides nucléiques sans avoir à faire de dilution (</w:t>
      </w:r>
      <w:r>
        <w:rPr>
          <w:i/>
          <w:sz w:val="24"/>
          <w:szCs w:val="24"/>
        </w:rPr>
        <w:t>ThermoFisher scientific</w:t>
      </w:r>
      <w:r>
        <w:rPr>
          <w:sz w:val="24"/>
          <w:szCs w:val="24"/>
        </w:rPr>
        <w:t>).</w:t>
      </w:r>
    </w:p>
    <w:p>
      <w:pPr>
        <w:pStyle w:val="Normal"/>
        <w:spacing w:lineRule="auto" w:line="360"/>
        <w:jc w:val="both"/>
        <w:rPr>
          <w:sz w:val="24"/>
          <w:szCs w:val="24"/>
        </w:rPr>
      </w:pPr>
      <w:r>
        <w:rPr>
          <w:sz w:val="24"/>
          <w:szCs w:val="24"/>
        </w:rPr>
        <w:t>Les données du Nanodrop ont permis de connaître la concentration des échantillons purs d’ADN (en ng/µL) pour procéder aux dilutions.</w:t>
      </w:r>
    </w:p>
    <w:p>
      <w:pPr>
        <w:pStyle w:val="Normal"/>
        <w:jc w:val="both"/>
        <w:rPr>
          <w:sz w:val="28"/>
          <w:szCs w:val="24"/>
          <w:u w:val="single"/>
        </w:rPr>
      </w:pPr>
      <w:r>
        <w:rPr>
          <w:sz w:val="28"/>
          <w:szCs w:val="24"/>
          <w:u w:val="single"/>
        </w:rPr>
        <w:t>Dilution en cascade</w:t>
      </w:r>
    </w:p>
    <w:p>
      <w:pPr>
        <w:pStyle w:val="Normal"/>
        <w:spacing w:lineRule="auto" w:line="360"/>
        <w:jc w:val="both"/>
        <w:rPr>
          <w:sz w:val="24"/>
          <w:szCs w:val="24"/>
        </w:rPr>
      </w:pPr>
      <w:r>
        <w:rPr>
          <w:sz w:val="24"/>
          <w:szCs w:val="24"/>
        </w:rPr>
        <w:t>En fonction de leurs concentrations initiales les ADN ont été standardisés à 100 ng/µL puis dilués en au 1/10</w:t>
      </w:r>
      <w:r>
        <w:rPr>
          <w:sz w:val="24"/>
          <w:szCs w:val="24"/>
          <w:vertAlign w:val="superscript"/>
        </w:rPr>
        <w:t>ème</w:t>
      </w:r>
      <w:r>
        <w:rPr>
          <w:sz w:val="24"/>
          <w:szCs w:val="24"/>
        </w:rPr>
        <w:t xml:space="preserve">  et 1/100</w:t>
      </w:r>
      <w:r>
        <w:rPr>
          <w:sz w:val="24"/>
          <w:szCs w:val="24"/>
          <w:vertAlign w:val="superscript"/>
        </w:rPr>
        <w:t>ème</w:t>
      </w:r>
      <w:r>
        <w:rPr>
          <w:sz w:val="24"/>
          <w:szCs w:val="24"/>
        </w:rPr>
        <w:t xml:space="preserve"> car une trop forte concentration risquerait de fausser la PCR et de surcroît la visibilité à l’électrophorèse sur gel.</w:t>
      </w:r>
    </w:p>
    <w:p>
      <w:pPr>
        <w:pStyle w:val="Normal"/>
        <w:spacing w:lineRule="auto" w:line="360"/>
        <w:rPr>
          <w:sz w:val="24"/>
          <w:szCs w:val="24"/>
        </w:rPr>
      </w:pPr>
      <w:r>
        <w:rPr>
          <w:sz w:val="24"/>
          <w:szCs w:val="24"/>
        </w:rPr>
      </w:r>
    </w:p>
    <w:p>
      <w:pPr>
        <w:pStyle w:val="Normal"/>
        <w:jc w:val="both"/>
        <w:rPr>
          <w:sz w:val="28"/>
          <w:szCs w:val="24"/>
          <w:u w:val="single"/>
        </w:rPr>
      </w:pPr>
      <w:r>
        <w:rPr>
          <w:sz w:val="28"/>
          <w:szCs w:val="24"/>
          <w:u w:val="single"/>
        </w:rPr>
        <w:t>Réaction en chaîne par polymérase</w:t>
      </w:r>
    </w:p>
    <w:p>
      <w:pPr>
        <w:pStyle w:val="Normal"/>
        <w:spacing w:lineRule="auto" w:line="360"/>
        <w:jc w:val="both"/>
        <w:rPr>
          <w:sz w:val="24"/>
          <w:szCs w:val="24"/>
        </w:rPr>
      </w:pPr>
      <w:r>
        <w:rPr>
          <w:sz w:val="24"/>
          <w:szCs w:val="24"/>
        </w:rPr>
        <w:t>La réaction en chaîne par polymérase a été réalisée sur les 12 souches de la collection INRAE.</w:t>
      </w:r>
    </w:p>
    <w:p>
      <w:pPr>
        <w:pStyle w:val="Normal"/>
        <w:spacing w:lineRule="auto" w:line="360"/>
        <w:jc w:val="both"/>
        <w:rPr>
          <w:sz w:val="24"/>
          <w:szCs w:val="24"/>
        </w:rPr>
      </w:pPr>
      <w:r>
        <w:rPr>
          <w:sz w:val="24"/>
          <w:szCs w:val="24"/>
        </w:rPr>
        <w:t xml:space="preserve">Les études sur la région ITS généralement utilisée pour la phylogénie des champignons, ne permettent pas de déterminer avec fiabilité l’appartenance à l’espèce dans le cas du complexe </w:t>
      </w:r>
      <w:r>
        <w:rPr>
          <w:i/>
          <w:iCs/>
          <w:sz w:val="24"/>
          <w:szCs w:val="24"/>
        </w:rPr>
        <w:t>C. gloeosporioides,</w:t>
      </w:r>
      <w:r>
        <w:rPr>
          <w:sz w:val="24"/>
          <w:szCs w:val="24"/>
        </w:rPr>
        <w:t xml:space="preserve"> tel que l’agent responsable de l’anthracnose (</w:t>
      </w:r>
      <w:r>
        <w:rPr>
          <w:sz w:val="24"/>
          <w:szCs w:val="24"/>
          <w:highlight w:val="yellow"/>
        </w:rPr>
        <w:t>Rojas et al., 2010</w:t>
      </w:r>
      <w:r>
        <w:rPr>
          <w:sz w:val="24"/>
          <w:szCs w:val="24"/>
        </w:rPr>
        <w:t>).</w:t>
      </w:r>
      <w:r>
        <w:rPr>
          <w:rFonts w:cs="Arial" w:ascii="Arial" w:hAnsi="Arial"/>
          <w:color w:val="333333"/>
          <w:sz w:val="24"/>
          <w:szCs w:val="24"/>
        </w:rPr>
        <w:t xml:space="preserve"> </w:t>
      </w:r>
      <w:r>
        <w:rPr>
          <w:sz w:val="24"/>
          <w:szCs w:val="24"/>
        </w:rPr>
        <w:t>Les amorces pour le locus </w:t>
      </w:r>
      <w:r>
        <w:rPr>
          <w:iCs/>
          <w:sz w:val="24"/>
          <w:szCs w:val="24"/>
        </w:rPr>
        <w:t>Apn2/MAT</w:t>
      </w:r>
      <w:r>
        <w:rPr>
          <w:i/>
          <w:iCs/>
          <w:sz w:val="24"/>
          <w:szCs w:val="24"/>
        </w:rPr>
        <w:t xml:space="preserve"> </w:t>
      </w:r>
      <w:r>
        <w:rPr>
          <w:iCs/>
          <w:sz w:val="24"/>
          <w:szCs w:val="24"/>
        </w:rPr>
        <w:t>ont en revanche permis</w:t>
      </w:r>
      <w:r>
        <w:rPr>
          <w:sz w:val="24"/>
          <w:szCs w:val="24"/>
        </w:rPr>
        <w:t xml:space="preserve"> d'améliorer la résolution phylogénétique et la connaissance du complexe </w:t>
      </w:r>
      <w:r>
        <w:rPr>
          <w:i/>
          <w:iCs/>
          <w:sz w:val="24"/>
          <w:szCs w:val="24"/>
        </w:rPr>
        <w:t xml:space="preserve">C. gloeosporioides </w:t>
      </w:r>
      <w:r>
        <w:rPr>
          <w:iCs/>
          <w:sz w:val="24"/>
          <w:szCs w:val="24"/>
          <w:highlight w:val="yellow"/>
        </w:rPr>
        <w:t>(Nuno Silva et al</w:t>
      </w:r>
      <w:r>
        <w:rPr>
          <w:sz w:val="24"/>
          <w:szCs w:val="24"/>
          <w:highlight w:val="yellow"/>
        </w:rPr>
        <w:t>.,2011).</w:t>
      </w:r>
      <w:r>
        <w:rPr>
          <w:rFonts w:eastAsia="Times New Roman" w:cs="Calibri" w:cstheme="minorHAnsi"/>
          <w:color w:val="212121"/>
          <w:sz w:val="24"/>
          <w:szCs w:val="24"/>
          <w:lang w:eastAsia="fr-FR"/>
        </w:rPr>
        <w:t>Les amorces CgDL_F6 (fwd_seq) et CgMAT1_F2 (rev_seq) sont celles qui ont étés utilisées pour amplifier ce locus dans le cas de l’anthracnose de l’igname.</w:t>
      </w:r>
    </w:p>
    <w:p>
      <w:pPr>
        <w:pStyle w:val="Normal"/>
        <w:shd w:val="clear" w:color="auto" w:fill="FFFFFF"/>
        <w:spacing w:lineRule="auto" w:line="240" w:before="0" w:after="0"/>
        <w:jc w:val="both"/>
        <w:rPr>
          <w:rFonts w:eastAsia="Times New Roman" w:cs="Calibri" w:cstheme="minorHAnsi"/>
          <w:color w:val="212121"/>
          <w:sz w:val="24"/>
          <w:szCs w:val="24"/>
          <w:lang w:eastAsia="fr-FR"/>
        </w:rPr>
      </w:pPr>
      <w:r>
        <w:rPr>
          <w:rFonts w:eastAsia="Times New Roman" w:cs="Calibri" w:cstheme="minorHAnsi"/>
          <w:color w:val="212121"/>
          <w:sz w:val="24"/>
          <w:szCs w:val="24"/>
          <w:lang w:eastAsia="fr-FR"/>
        </w:rPr>
      </w:r>
    </w:p>
    <w:p>
      <w:pPr>
        <w:pStyle w:val="Normal"/>
        <w:spacing w:lineRule="auto" w:line="360"/>
        <w:jc w:val="both"/>
        <w:rPr>
          <w:sz w:val="24"/>
          <w:szCs w:val="24"/>
        </w:rPr>
      </w:pPr>
      <w:r>
        <w:rPr>
          <w:sz w:val="24"/>
          <w:szCs w:val="24"/>
        </w:rPr>
        <w:t>a) Milieu réactionnel</w:t>
      </w:r>
    </w:p>
    <w:p>
      <w:pPr>
        <w:pStyle w:val="Normal"/>
        <w:spacing w:lineRule="auto" w:line="360"/>
        <w:jc w:val="both"/>
        <w:rPr>
          <w:sz w:val="24"/>
          <w:szCs w:val="24"/>
        </w:rPr>
      </w:pPr>
      <w:r>
        <w:rPr>
          <w:sz w:val="24"/>
          <w:szCs w:val="24"/>
        </w:rPr>
        <w:t>Ne disposant pas d'un kit Promega GoTaq MasterMix comme dans l’article de Rojas et al.2010, le protocole a dû être réajusté de la manière suivante : pour un volume de milieu réactionnel total de 25 µL, 11.95 µL de H20 ultra pure ,5 µL  de tampon Green Gotaq 5X, 3 µL de MgCl</w:t>
      </w:r>
      <w:r>
        <w:rPr>
          <w:sz w:val="24"/>
          <w:szCs w:val="24"/>
          <w:vertAlign w:val="subscript"/>
        </w:rPr>
        <w:t>2</w:t>
      </w:r>
      <w:r>
        <w:rPr>
          <w:sz w:val="24"/>
          <w:szCs w:val="24"/>
        </w:rPr>
        <w:t xml:space="preserve"> 25 mM,1.25 µL de chacune des amorces</w:t>
      </w:r>
      <w:r>
        <w:rPr>
          <w:rFonts w:eastAsia="Times New Roman" w:cs="Calibri" w:cstheme="minorHAnsi"/>
          <w:color w:val="212121"/>
          <w:sz w:val="24"/>
          <w:szCs w:val="24"/>
          <w:lang w:eastAsia="fr-FR"/>
        </w:rPr>
        <w:t xml:space="preserve"> CgDL_F6 et CgMAT1_</w:t>
      </w:r>
      <w:r>
        <w:rPr>
          <w:sz w:val="24"/>
          <w:szCs w:val="24"/>
        </w:rPr>
        <w:t xml:space="preserve"> F2, 0.5 µL de dNTP 10 mM, 0.05 µL de GoTaq  polymérase et 2 µL d’ADN de </w:t>
      </w:r>
      <w:r>
        <w:rPr>
          <w:i/>
          <w:sz w:val="24"/>
          <w:szCs w:val="24"/>
        </w:rPr>
        <w:t>Colletotrichum gloeosporioides.</w:t>
      </w:r>
    </w:p>
    <w:p>
      <w:pPr>
        <w:pStyle w:val="Normal"/>
        <w:spacing w:lineRule="auto" w:line="360"/>
        <w:jc w:val="both"/>
        <w:rPr>
          <w:sz w:val="24"/>
          <w:szCs w:val="24"/>
        </w:rPr>
      </w:pPr>
      <w:r>
        <w:rPr>
          <w:sz w:val="24"/>
          <w:szCs w:val="24"/>
        </w:rPr>
        <w:t>b) Déroulement de la réaction PCR</w:t>
      </w:r>
    </w:p>
    <w:p>
      <w:pPr>
        <w:pStyle w:val="Normal"/>
        <w:spacing w:lineRule="auto" w:line="360"/>
        <w:jc w:val="both"/>
        <w:rPr>
          <w:sz w:val="24"/>
          <w:szCs w:val="24"/>
        </w:rPr>
      </w:pPr>
      <w:r>
        <w:rPr>
          <w:sz w:val="24"/>
          <w:szCs w:val="24"/>
        </w:rPr>
        <w:t>Une fois les tubes insérés dans le thermocycleur, la première étape correspond à un chauffage des milieux réactionnels à 95°C pendant 5 min, puis un cycle de 35 répétitions qui comprend la phase dénaturation des brins d’ADN à 95°C pendant 30 secondes, la phase d’hybridation à 62 °C pour 45 secondes et la phase d’élongation à 72°C durant 1 min. Hors cycles une étape finale de 10 minutes à 72°C. Les produits PCR peuvent être gardés à une température de -20°C ou directement observés par électrophorèse sur gel d’agarose à 1.2%.</w:t>
      </w:r>
    </w:p>
    <w:p>
      <w:pPr>
        <w:pStyle w:val="ListParagraph"/>
        <w:numPr>
          <w:ilvl w:val="0"/>
          <w:numId w:val="9"/>
        </w:numPr>
        <w:jc w:val="both"/>
        <w:rPr>
          <w:sz w:val="28"/>
          <w:szCs w:val="24"/>
          <w:u w:val="single"/>
        </w:rPr>
      </w:pPr>
      <w:r>
        <w:rPr>
          <w:sz w:val="28"/>
          <w:szCs w:val="24"/>
          <w:u w:val="single"/>
        </w:rPr>
        <w:t>Analyse de la diversité génétique</w:t>
      </w:r>
    </w:p>
    <w:p>
      <w:pPr>
        <w:pStyle w:val="ListParagraph"/>
        <w:jc w:val="both"/>
        <w:rPr>
          <w:sz w:val="28"/>
          <w:szCs w:val="24"/>
          <w:u w:val="single"/>
        </w:rPr>
      </w:pPr>
      <w:r>
        <w:rPr>
          <w:sz w:val="28"/>
          <w:szCs w:val="24"/>
          <w:u w:val="single"/>
        </w:rPr>
      </w:r>
    </w:p>
    <w:p>
      <w:pPr>
        <w:pStyle w:val="Normal"/>
        <w:spacing w:lineRule="auto" w:line="360"/>
        <w:jc w:val="both"/>
        <w:rPr>
          <w:i/>
          <w:i/>
          <w:sz w:val="24"/>
        </w:rPr>
      </w:pPr>
      <w:r>
        <w:rPr>
          <w:i/>
          <w:sz w:val="24"/>
        </w:rPr>
        <w:t>Séquençage</w:t>
      </w:r>
    </w:p>
    <w:p>
      <w:pPr>
        <w:pStyle w:val="Normal"/>
        <w:spacing w:lineRule="auto" w:line="360"/>
        <w:jc w:val="both"/>
        <w:rPr>
          <w:sz w:val="24"/>
          <w:szCs w:val="24"/>
        </w:rPr>
      </w:pPr>
      <w:r>
        <w:rPr>
          <w:sz w:val="24"/>
          <w:szCs w:val="24"/>
        </w:rPr>
        <w:t xml:space="preserve">Les douze produits PCR obtenus précédemment, quelques échantillons de la collection Durayam ainsi que les souches prélevées chez des agriculteurs devraient être envoyés à séquencer dans un laboratoire externe spécialisé afin de savoir à quelles espèces de </w:t>
      </w:r>
      <w:r>
        <w:rPr>
          <w:i/>
          <w:sz w:val="24"/>
          <w:szCs w:val="24"/>
        </w:rPr>
        <w:t xml:space="preserve">Collectotrichum gloeosporioides </w:t>
      </w:r>
      <w:r>
        <w:rPr>
          <w:sz w:val="24"/>
          <w:szCs w:val="24"/>
        </w:rPr>
        <w:t>ils appartiennent.</w:t>
      </w:r>
    </w:p>
    <w:p>
      <w:pPr>
        <w:pStyle w:val="Normal"/>
        <w:spacing w:lineRule="auto" w:line="360"/>
        <w:jc w:val="both"/>
        <w:rPr>
          <w:i/>
          <w:i/>
          <w:sz w:val="24"/>
          <w:szCs w:val="24"/>
        </w:rPr>
      </w:pPr>
      <w:r>
        <w:rPr>
          <w:i/>
          <w:sz w:val="24"/>
          <w:szCs w:val="24"/>
        </w:rPr>
      </w:r>
    </w:p>
    <w:p>
      <w:pPr>
        <w:pStyle w:val="Normal"/>
        <w:spacing w:lineRule="auto" w:line="360"/>
        <w:jc w:val="both"/>
        <w:rPr>
          <w:i/>
          <w:i/>
          <w:sz w:val="24"/>
          <w:szCs w:val="24"/>
        </w:rPr>
      </w:pPr>
      <w:r>
        <w:rPr>
          <w:i/>
          <w:sz w:val="24"/>
          <w:szCs w:val="24"/>
        </w:rPr>
      </w:r>
    </w:p>
    <w:p>
      <w:pPr>
        <w:pStyle w:val="Normal"/>
        <w:spacing w:lineRule="auto" w:line="360"/>
        <w:jc w:val="both"/>
        <w:rPr>
          <w:i/>
          <w:i/>
          <w:sz w:val="24"/>
          <w:szCs w:val="24"/>
        </w:rPr>
      </w:pPr>
      <w:r>
        <w:rPr>
          <w:i/>
          <w:sz w:val="24"/>
          <w:szCs w:val="24"/>
        </w:rPr>
        <w:t>Microsatellites</w:t>
      </w:r>
    </w:p>
    <w:p>
      <w:pPr>
        <w:pStyle w:val="Normal"/>
        <w:spacing w:lineRule="auto" w:line="360"/>
        <w:jc w:val="both"/>
        <w:rPr>
          <w:sz w:val="24"/>
          <w:szCs w:val="24"/>
        </w:rPr>
      </w:pPr>
      <w:r>
        <w:rPr>
          <w:sz w:val="24"/>
          <w:szCs w:val="24"/>
        </w:rPr>
        <w:t xml:space="preserve">Les recherches de </w:t>
      </w:r>
      <w:r>
        <w:rPr>
          <w:i/>
          <w:sz w:val="24"/>
          <w:szCs w:val="24"/>
        </w:rPr>
        <w:t>Penet et al</w:t>
      </w:r>
      <w:r>
        <w:rPr>
          <w:sz w:val="24"/>
          <w:szCs w:val="24"/>
        </w:rPr>
        <w:t xml:space="preserve">., ont permis l’élaboration d’amorces microsatellites à partir de souches de </w:t>
      </w:r>
      <w:r>
        <w:rPr>
          <w:i/>
          <w:sz w:val="24"/>
          <w:szCs w:val="24"/>
        </w:rPr>
        <w:t>C. gloeosporioides</w:t>
      </w:r>
      <w:r>
        <w:rPr>
          <w:sz w:val="24"/>
          <w:szCs w:val="24"/>
        </w:rPr>
        <w:t xml:space="preserve"> de la collection INRAE de Guadeloupe. Les microsatellites, marqueurs génomiques, servent à obtenir une caractérisation génétique de </w:t>
      </w:r>
      <w:r>
        <w:rPr>
          <w:i/>
          <w:sz w:val="24"/>
          <w:szCs w:val="24"/>
        </w:rPr>
        <w:t>C. gloeosporioides</w:t>
      </w:r>
      <w:r>
        <w:rPr>
          <w:sz w:val="24"/>
          <w:szCs w:val="24"/>
        </w:rPr>
        <w:t xml:space="preserve"> par analyses de la diversité des marqueurs microsatellites </w:t>
      </w:r>
      <w:r>
        <w:rPr>
          <w:sz w:val="24"/>
          <w:szCs w:val="24"/>
          <w:highlight w:val="yellow"/>
        </w:rPr>
        <w:t>(Penet et al.,2017);</w:t>
      </w:r>
      <w:r>
        <w:rPr>
          <w:sz w:val="24"/>
          <w:szCs w:val="24"/>
        </w:rPr>
        <w:t xml:space="preserve"> de ce fait nous en avons sélectionnés quelques-unes devant théoriquement permettre d’obtenir à la fois  une bonne diversité allélique par marqueur et un bon taux de réussite d’amplification (Tableau 2). Ces marqueurs sont utilisés ici pour étudier la diversité des souches issues de l’expérimentation Durayam.</w:t>
      </w:r>
    </w:p>
    <w:tbl>
      <w:tblPr>
        <w:tblStyle w:val="Grilledutableau"/>
        <w:tblpPr w:bottomFromText="0" w:horzAnchor="margin" w:leftFromText="141" w:rightFromText="141" w:tblpX="0" w:tblpXSpec="center" w:tblpY="119" w:topFromText="0" w:vertAnchor="text"/>
        <w:tblW w:w="9550"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2387"/>
        <w:gridCol w:w="2387"/>
        <w:gridCol w:w="2388"/>
        <w:gridCol w:w="2387"/>
      </w:tblGrid>
      <w:tr>
        <w:trPr>
          <w:trHeight w:val="484" w:hRule="atLeast"/>
        </w:trPr>
        <w:tc>
          <w:tcPr>
            <w:tcW w:w="2387" w:type="dxa"/>
            <w:tcBorders/>
          </w:tcPr>
          <w:p>
            <w:pPr>
              <w:pStyle w:val="Normal"/>
              <w:widowControl/>
              <w:spacing w:lineRule="auto" w:line="240" w:before="0" w:after="0"/>
              <w:jc w:val="left"/>
              <w:rPr>
                <w:szCs w:val="24"/>
              </w:rPr>
            </w:pPr>
            <w:r>
              <w:rPr>
                <w:rFonts w:eastAsia="Calibri" w:cs=""/>
                <w:kern w:val="0"/>
                <w:sz w:val="22"/>
                <w:szCs w:val="24"/>
                <w:lang w:val="fr-FR" w:eastAsia="en-US" w:bidi="ar-SA"/>
              </w:rPr>
              <w:t>Nom du locus d’amorce</w:t>
            </w:r>
          </w:p>
          <w:p>
            <w:pPr>
              <w:pStyle w:val="Normal"/>
              <w:widowControl/>
              <w:spacing w:lineRule="auto" w:line="240" w:before="0" w:after="0"/>
              <w:jc w:val="left"/>
              <w:rPr>
                <w:szCs w:val="24"/>
              </w:rPr>
            </w:pPr>
            <w:r>
              <w:rPr>
                <w:rFonts w:eastAsia="Calibri" w:cs=""/>
                <w:kern w:val="0"/>
                <w:sz w:val="22"/>
                <w:szCs w:val="24"/>
                <w:lang w:val="fr-FR" w:eastAsia="en-US" w:bidi="ar-SA"/>
              </w:rPr>
              <w:t>(Couple r et f)</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 xml:space="preserve">Référence sonde </w:t>
            </w:r>
          </w:p>
          <w:p>
            <w:pPr>
              <w:pStyle w:val="Normal"/>
              <w:widowControl/>
              <w:spacing w:lineRule="auto" w:line="240" w:before="0" w:after="0"/>
              <w:jc w:val="left"/>
              <w:rPr>
                <w:sz w:val="24"/>
                <w:szCs w:val="24"/>
              </w:rPr>
            </w:pPr>
            <w:r>
              <w:rPr>
                <w:rFonts w:eastAsia="Calibri" w:cs=""/>
                <w:kern w:val="0"/>
                <w:sz w:val="24"/>
                <w:szCs w:val="24"/>
                <w:lang w:val="fr-FR" w:eastAsia="en-US" w:bidi="ar-SA"/>
              </w:rPr>
              <w:t>(NCBI)</w:t>
            </w:r>
          </w:p>
        </w:tc>
        <w:tc>
          <w:tcPr>
            <w:tcW w:w="2388"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Taux d’amplification réussie</w:t>
            </w:r>
          </w:p>
          <w:p>
            <w:pPr>
              <w:pStyle w:val="Normal"/>
              <w:widowControl/>
              <w:spacing w:lineRule="auto" w:line="240" w:before="0" w:after="0"/>
              <w:jc w:val="left"/>
              <w:rPr>
                <w:sz w:val="24"/>
                <w:szCs w:val="24"/>
              </w:rPr>
            </w:pPr>
            <w:r>
              <w:rPr>
                <w:rFonts w:eastAsia="Calibri" w:cs=""/>
                <w:kern w:val="0"/>
                <w:sz w:val="24"/>
                <w:szCs w:val="24"/>
                <w:lang w:val="fr-FR" w:eastAsia="en-US" w:bidi="ar-SA"/>
              </w:rPr>
              <w:t>(en %)</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Gamme de taille</w:t>
            </w:r>
          </w:p>
        </w:tc>
      </w:tr>
      <w:tr>
        <w:trPr>
          <w:trHeight w:val="484" w:hRule="atLeast"/>
        </w:trPr>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Cg 57</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Pr032825029</w:t>
            </w:r>
          </w:p>
        </w:tc>
        <w:tc>
          <w:tcPr>
            <w:tcW w:w="2388"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100</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197–239</w:t>
            </w:r>
          </w:p>
        </w:tc>
      </w:tr>
      <w:tr>
        <w:trPr>
          <w:trHeight w:val="504" w:hRule="atLeast"/>
        </w:trPr>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 xml:space="preserve">Cg 68 </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Pr032825030</w:t>
            </w:r>
          </w:p>
        </w:tc>
        <w:tc>
          <w:tcPr>
            <w:tcW w:w="2388"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87</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109–325</w:t>
            </w:r>
          </w:p>
        </w:tc>
      </w:tr>
      <w:tr>
        <w:trPr>
          <w:trHeight w:val="484" w:hRule="atLeast"/>
        </w:trPr>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 xml:space="preserve">Cg 71 </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Pr032825031</w:t>
            </w:r>
          </w:p>
        </w:tc>
        <w:tc>
          <w:tcPr>
            <w:tcW w:w="2388"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47</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91–250</w:t>
            </w:r>
          </w:p>
        </w:tc>
      </w:tr>
      <w:tr>
        <w:trPr>
          <w:trHeight w:val="484" w:hRule="atLeast"/>
        </w:trPr>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Cg 92</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Pr032825035</w:t>
            </w:r>
          </w:p>
        </w:tc>
        <w:tc>
          <w:tcPr>
            <w:tcW w:w="2388"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82</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92–250</w:t>
            </w:r>
          </w:p>
        </w:tc>
      </w:tr>
      <w:tr>
        <w:trPr>
          <w:trHeight w:val="484" w:hRule="atLeast"/>
        </w:trPr>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Cg 120</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Pr032825008</w:t>
            </w:r>
          </w:p>
        </w:tc>
        <w:tc>
          <w:tcPr>
            <w:tcW w:w="2388"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80</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86–176</w:t>
            </w:r>
          </w:p>
        </w:tc>
      </w:tr>
      <w:tr>
        <w:trPr>
          <w:trHeight w:val="504" w:hRule="atLeast"/>
        </w:trPr>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Cg 127</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Pr032825010</w:t>
            </w:r>
          </w:p>
        </w:tc>
        <w:tc>
          <w:tcPr>
            <w:tcW w:w="2388"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98</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208–268</w:t>
            </w:r>
          </w:p>
        </w:tc>
      </w:tr>
      <w:tr>
        <w:trPr>
          <w:trHeight w:val="484" w:hRule="atLeast"/>
        </w:trPr>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Cg 129</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Pr032825011</w:t>
            </w:r>
          </w:p>
        </w:tc>
        <w:tc>
          <w:tcPr>
            <w:tcW w:w="2388"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94</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72–240</w:t>
            </w:r>
          </w:p>
        </w:tc>
      </w:tr>
      <w:tr>
        <w:trPr>
          <w:trHeight w:val="484" w:hRule="atLeast"/>
        </w:trPr>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Cg 150</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Pr032825018</w:t>
            </w:r>
          </w:p>
        </w:tc>
        <w:tc>
          <w:tcPr>
            <w:tcW w:w="2388"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75</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90–232</w:t>
            </w:r>
          </w:p>
        </w:tc>
      </w:tr>
    </w:tbl>
    <w:p>
      <w:pPr>
        <w:pStyle w:val="Normal"/>
        <w:rPr>
          <w:i/>
          <w:i/>
          <w:sz w:val="24"/>
          <w:szCs w:val="24"/>
        </w:rPr>
      </w:pPr>
      <w:r>
        <w:rPr>
          <w:szCs w:val="24"/>
        </w:rPr>
        <w:t xml:space="preserve">Tableau 2. Description listée des amorces microsatellites provenant de souches de Guadeloupe isolés sur des ignames et utilisées dans le travail présent. </w:t>
      </w:r>
      <w:r>
        <w:rPr>
          <w:i/>
          <w:szCs w:val="24"/>
        </w:rPr>
        <w:t>(Source : Penet et al.,2017)</w:t>
        <w:tab/>
      </w:r>
    </w:p>
    <w:p>
      <w:pPr>
        <w:pStyle w:val="Normal"/>
        <w:rPr>
          <w:i/>
          <w:i/>
          <w:sz w:val="24"/>
          <w:szCs w:val="24"/>
        </w:rPr>
      </w:pPr>
      <w:r>
        <w:rPr>
          <w:i/>
          <w:sz w:val="24"/>
          <w:szCs w:val="24"/>
        </w:rPr>
      </w:r>
    </w:p>
    <w:p>
      <w:pPr>
        <w:pStyle w:val="ListParagraph"/>
        <w:numPr>
          <w:ilvl w:val="0"/>
          <w:numId w:val="10"/>
        </w:numPr>
        <w:spacing w:lineRule="auto" w:line="360"/>
        <w:jc w:val="both"/>
        <w:rPr>
          <w:sz w:val="28"/>
          <w:szCs w:val="28"/>
        </w:rPr>
      </w:pPr>
      <w:r>
        <w:rPr>
          <w:sz w:val="28"/>
          <w:szCs w:val="28"/>
        </w:rPr>
        <w:t>Test de détection par l’application de la technique d’amplification isothermique (LAMP)</w:t>
      </w:r>
    </w:p>
    <w:p>
      <w:pPr>
        <w:pStyle w:val="Normal"/>
        <w:spacing w:lineRule="auto" w:line="360"/>
        <w:jc w:val="both"/>
        <w:rPr>
          <w:sz w:val="24"/>
          <w:szCs w:val="24"/>
        </w:rPr>
      </w:pPr>
      <w:r>
        <w:rPr>
          <w:sz w:val="24"/>
          <w:szCs w:val="24"/>
        </w:rPr>
        <w:t xml:space="preserve">Les résultats du séquençage auraient servi pour la conception d’amorces spécifiques à l’aide d’un logiciel informatique. La composition du milieu réactionnel comprendrait les amorces, un indicateur colorimétrique (changement de couleur du milieu réactionnel quand l’amplification a réussi), l’H2O ultra pure et l’ADN de </w:t>
      </w:r>
      <w:r>
        <w:rPr>
          <w:i/>
          <w:sz w:val="24"/>
          <w:szCs w:val="24"/>
        </w:rPr>
        <w:t>C.gloeosporioides</w:t>
      </w:r>
      <w:r>
        <w:rPr>
          <w:sz w:val="24"/>
          <w:szCs w:val="24"/>
        </w:rPr>
        <w:t>.</w:t>
      </w:r>
    </w:p>
    <w:p>
      <w:pPr>
        <w:pStyle w:val="Normal"/>
        <w:spacing w:lineRule="auto" w:line="360"/>
        <w:jc w:val="both"/>
        <w:rPr>
          <w:i/>
          <w:i/>
          <w:sz w:val="24"/>
          <w:szCs w:val="24"/>
        </w:rPr>
      </w:pPr>
      <w:r>
        <w:rPr>
          <w:i/>
          <w:sz w:val="24"/>
          <w:szCs w:val="24"/>
        </w:rPr>
        <w:t>Mécanisme attendue pour la LAMP (Figure 2)</w:t>
      </w:r>
    </w:p>
    <w:p>
      <w:pPr>
        <w:pStyle w:val="Normal"/>
        <w:jc w:val="both"/>
        <w:rPr>
          <w:i/>
          <w:i/>
          <w:sz w:val="24"/>
          <w:szCs w:val="24"/>
        </w:rPr>
      </w:pPr>
      <w:r>
        <w:rPr>
          <w:rFonts w:cs="Calibri" w:cstheme="minorHAnsi"/>
          <w:sz w:val="24"/>
          <w:szCs w:val="28"/>
        </w:rPr>
        <w:t>Amorces internes (FIP et BIP) ; amorces externes (F3 et B3)</w:t>
      </w:r>
    </w:p>
    <w:p>
      <w:pPr>
        <w:pStyle w:val="Normal"/>
        <w:spacing w:lineRule="auto" w:line="276"/>
        <w:jc w:val="both"/>
        <w:rPr>
          <w:sz w:val="24"/>
          <w:szCs w:val="24"/>
        </w:rPr>
      </w:pPr>
      <w:r>
        <w:rPr>
          <w:sz w:val="24"/>
          <w:szCs w:val="24"/>
        </w:rPr>
        <w:t xml:space="preserve">Initiation </w:t>
      </w:r>
    </w:p>
    <w:p>
      <w:pPr>
        <w:pStyle w:val="ListParagraph"/>
        <w:numPr>
          <w:ilvl w:val="0"/>
          <w:numId w:val="11"/>
        </w:numPr>
        <w:spacing w:lineRule="auto" w:line="276"/>
        <w:jc w:val="both"/>
        <w:rPr>
          <w:sz w:val="24"/>
          <w:szCs w:val="24"/>
        </w:rPr>
      </w:pPr>
      <w:r>
        <w:rPr>
          <w:sz w:val="24"/>
          <w:szCs w:val="24"/>
        </w:rPr>
        <w:t>FIP s’hybride à F2c dans l’ADN cible-&gt; début de synthèse du brin complémentaire</w:t>
      </w:r>
    </w:p>
    <w:p>
      <w:pPr>
        <w:pStyle w:val="ListParagraph"/>
        <w:numPr>
          <w:ilvl w:val="0"/>
          <w:numId w:val="11"/>
        </w:numPr>
        <w:spacing w:lineRule="auto" w:line="276"/>
        <w:jc w:val="both"/>
        <w:rPr>
          <w:sz w:val="24"/>
          <w:szCs w:val="24"/>
        </w:rPr>
      </w:pPr>
      <w:r>
        <w:rPr>
          <w:sz w:val="24"/>
          <w:szCs w:val="24"/>
        </w:rPr>
        <w:t xml:space="preserve">F3 s’hybride lentement à F3c -&gt; synthèse d’ADN par déplacement de brin </w:t>
      </w:r>
    </w:p>
    <w:p>
      <w:pPr>
        <w:pStyle w:val="ListParagraph"/>
        <w:numPr>
          <w:ilvl w:val="0"/>
          <w:numId w:val="11"/>
        </w:numPr>
        <w:spacing w:lineRule="auto" w:line="276"/>
        <w:jc w:val="both"/>
        <w:rPr>
          <w:sz w:val="24"/>
          <w:szCs w:val="24"/>
        </w:rPr>
      </w:pPr>
      <w:r>
        <w:rPr>
          <w:sz w:val="24"/>
          <w:szCs w:val="24"/>
        </w:rPr>
        <w:t>Libération d’un brin complémentaire lié à FIP -&gt; Forme structure en boucle à une extrémité</w:t>
      </w:r>
    </w:p>
    <w:p>
      <w:pPr>
        <w:pStyle w:val="ListParagraph"/>
        <w:numPr>
          <w:ilvl w:val="0"/>
          <w:numId w:val="11"/>
        </w:numPr>
        <w:spacing w:lineRule="auto" w:line="276"/>
        <w:jc w:val="both"/>
        <w:rPr>
          <w:sz w:val="24"/>
          <w:szCs w:val="24"/>
        </w:rPr>
      </w:pPr>
      <w:r>
        <w:rPr>
          <w:sz w:val="24"/>
          <w:szCs w:val="24"/>
        </w:rPr>
        <w:t>L’ADN simple brin sert de matrice pour la synthèse d'ADN initiée par BIP et la synthèse d'ADN par déplacement de brin amorcée par B3</w:t>
      </w:r>
    </w:p>
    <w:p>
      <w:pPr>
        <w:pStyle w:val="ListParagraph"/>
        <w:numPr>
          <w:ilvl w:val="0"/>
          <w:numId w:val="11"/>
        </w:numPr>
        <w:spacing w:lineRule="auto" w:line="276"/>
        <w:jc w:val="both"/>
        <w:rPr>
          <w:sz w:val="24"/>
          <w:szCs w:val="24"/>
        </w:rPr>
      </w:pPr>
      <w:r>
        <w:rPr>
          <w:sz w:val="24"/>
          <w:szCs w:val="24"/>
        </w:rPr>
        <w:t>Production d’un ADN en forme d’haltère (6) -&gt; convertie en ADN tige-boucle par synthèse d’ADN auto-amorcée(7)</w:t>
      </w:r>
    </w:p>
    <w:p>
      <w:pPr>
        <w:pStyle w:val="Normal"/>
        <w:spacing w:lineRule="auto" w:line="276"/>
        <w:jc w:val="both"/>
        <w:rPr>
          <w:i/>
          <w:i/>
          <w:sz w:val="24"/>
          <w:szCs w:val="24"/>
        </w:rPr>
      </w:pPr>
      <w:r>
        <w:rPr>
          <w:i/>
          <w:sz w:val="24"/>
          <w:szCs w:val="24"/>
        </w:rPr>
      </w:r>
    </w:p>
    <w:p>
      <w:pPr>
        <w:pStyle w:val="Normal"/>
        <w:jc w:val="both"/>
        <w:rPr>
          <w:sz w:val="24"/>
          <w:szCs w:val="24"/>
        </w:rPr>
      </w:pPr>
      <w:r>
        <w:rPr>
          <w:sz w:val="24"/>
          <w:szCs w:val="24"/>
        </w:rPr>
        <w:t xml:space="preserve">Cycle LAMP </w:t>
      </w:r>
    </w:p>
    <w:p>
      <w:pPr>
        <w:pStyle w:val="ListParagraph"/>
        <w:numPr>
          <w:ilvl w:val="0"/>
          <w:numId w:val="12"/>
        </w:numPr>
        <w:spacing w:lineRule="auto" w:line="276"/>
        <w:jc w:val="both"/>
        <w:rPr>
          <w:i/>
          <w:i/>
          <w:sz w:val="24"/>
          <w:szCs w:val="24"/>
        </w:rPr>
      </w:pPr>
      <w:r>
        <w:rPr>
          <w:sz w:val="24"/>
          <w:szCs w:val="24"/>
        </w:rPr>
        <w:t xml:space="preserve">ADN tige-boucle </w:t>
      </w:r>
    </w:p>
    <w:p>
      <w:pPr>
        <w:pStyle w:val="ListParagraph"/>
        <w:numPr>
          <w:ilvl w:val="0"/>
          <w:numId w:val="12"/>
        </w:numPr>
        <w:spacing w:lineRule="auto" w:line="276"/>
        <w:jc w:val="both"/>
        <w:rPr>
          <w:i/>
          <w:i/>
          <w:sz w:val="24"/>
          <w:szCs w:val="24"/>
        </w:rPr>
      </w:pPr>
      <w:r>
        <w:rPr>
          <w:sz w:val="24"/>
          <w:szCs w:val="24"/>
        </w:rPr>
        <w:t>FIP s’hybride à la boucle de l'ADN tige-boucle (</w:t>
      </w:r>
      <w:r>
        <w:rPr>
          <w:b/>
          <w:bCs/>
          <w:sz w:val="24"/>
          <w:szCs w:val="24"/>
        </w:rPr>
        <w:t>7</w:t>
      </w:r>
      <w:r>
        <w:rPr>
          <w:sz w:val="24"/>
          <w:szCs w:val="24"/>
        </w:rPr>
        <w:t>) et amorce la synthèse d'ADN par déplacement de brin -&gt;</w:t>
      </w:r>
      <w:r>
        <w:rPr>
          <w:color w:val="2A2A2A"/>
          <w:sz w:val="23"/>
          <w:szCs w:val="23"/>
          <w:shd w:fill="FFFFFF" w:val="clear"/>
        </w:rPr>
        <w:t xml:space="preserve"> </w:t>
      </w:r>
      <w:r>
        <w:rPr>
          <w:color w:val="2A2A2A"/>
          <w:sz w:val="24"/>
          <w:szCs w:val="24"/>
          <w:shd w:fill="FFFFFF" w:val="clear"/>
        </w:rPr>
        <w:t xml:space="preserve">génère </w:t>
      </w:r>
      <w:r>
        <w:rPr>
          <w:sz w:val="24"/>
          <w:szCs w:val="24"/>
        </w:rPr>
        <w:t>un ADN tige-boucle intermédiaire avec une copie inversée supplémentaire de la séquence cible dans la tige et une boucle formée à l'extrémité opposée via la séquence BIP (</w:t>
      </w:r>
      <w:r>
        <w:rPr>
          <w:b/>
          <w:bCs/>
          <w:sz w:val="24"/>
          <w:szCs w:val="24"/>
        </w:rPr>
        <w:t>8</w:t>
      </w:r>
      <w:r>
        <w:rPr>
          <w:sz w:val="24"/>
          <w:szCs w:val="24"/>
        </w:rPr>
        <w:t>)</w:t>
      </w:r>
    </w:p>
    <w:p>
      <w:pPr>
        <w:pStyle w:val="ListParagraph"/>
        <w:numPr>
          <w:ilvl w:val="0"/>
          <w:numId w:val="12"/>
        </w:numPr>
        <w:spacing w:lineRule="auto" w:line="276"/>
        <w:jc w:val="both"/>
        <w:rPr>
          <w:sz w:val="24"/>
          <w:szCs w:val="24"/>
        </w:rPr>
      </w:pPr>
      <w:r>
        <w:rPr>
          <w:sz w:val="24"/>
          <w:szCs w:val="24"/>
        </w:rPr>
        <w:t>Synthèse d'ADN par déplacement de brin auto-amorcée -&gt;</w:t>
      </w:r>
      <w:r>
        <w:rPr>
          <w:color w:val="2A2A2A"/>
          <w:sz w:val="23"/>
          <w:szCs w:val="23"/>
          <w:shd w:fill="FFFFFF" w:val="clear"/>
        </w:rPr>
        <w:t xml:space="preserve"> s</w:t>
      </w:r>
      <w:r>
        <w:rPr>
          <w:sz w:val="24"/>
          <w:szCs w:val="24"/>
        </w:rPr>
        <w:t>tructure complémentaire de l'ADN tige-boucle d'origine(10)/</w:t>
      </w:r>
      <w:r>
        <w:rPr>
          <w:color w:val="2A2A2A"/>
          <w:sz w:val="23"/>
          <w:szCs w:val="23"/>
          <w:shd w:fill="FFFFFF" w:val="clear"/>
        </w:rPr>
        <w:t xml:space="preserve"> un </w:t>
      </w:r>
      <w:r>
        <w:rPr>
          <w:sz w:val="24"/>
          <w:szCs w:val="24"/>
        </w:rPr>
        <w:t>ADN tige-boucle réparé avec une tige allongée/une boucle à l'extrémité opposée (9)</w:t>
      </w:r>
    </w:p>
    <w:p>
      <w:pPr>
        <w:pStyle w:val="Normal"/>
        <w:spacing w:lineRule="auto" w:line="276"/>
        <w:ind w:left="411" w:hanging="0"/>
        <w:jc w:val="both"/>
        <w:rPr>
          <w:sz w:val="24"/>
          <w:szCs w:val="24"/>
        </w:rPr>
      </w:pPr>
      <w:r>
        <w:rPr>
          <w:sz w:val="24"/>
          <w:szCs w:val="24"/>
        </w:rPr>
        <w:t xml:space="preserve">Elongation et recyclage </w:t>
      </w:r>
    </w:p>
    <w:p>
      <w:pPr>
        <w:pStyle w:val="ListParagraph"/>
        <w:numPr>
          <w:ilvl w:val="0"/>
          <w:numId w:val="13"/>
        </w:numPr>
        <w:spacing w:lineRule="auto" w:line="276"/>
        <w:jc w:val="both"/>
        <w:rPr>
          <w:sz w:val="24"/>
          <w:szCs w:val="24"/>
        </w:rPr>
      </w:pPr>
      <w:r>
        <w:rPr>
          <w:sz w:val="24"/>
          <w:szCs w:val="24"/>
        </w:rPr>
        <w:t xml:space="preserve">Obtention de modèle pour réaction de déplacement de brin amorcée par BIP pour les cycles suivants </w:t>
      </w:r>
    </w:p>
    <w:p>
      <w:pPr>
        <w:pStyle w:val="Normal"/>
        <w:spacing w:lineRule="auto" w:line="360"/>
        <w:jc w:val="both"/>
        <w:rPr>
          <w:sz w:val="24"/>
          <w:szCs w:val="24"/>
        </w:rPr>
      </w:pPr>
      <w:r>
        <w:rPr>
          <w:sz w:val="24"/>
          <w:szCs w:val="24"/>
        </w:rPr>
        <w:t>La LAMP devrait permettre d’obtenir comme produits finaux des ADN tige-boucle de longueurs différentes, de forme « chou-fleur » et boucles formées par hybridation entre des répétitions inversées alternativement de la séquence cible dans le même brin (Notomi et al.,2000).</w:t>
      </w:r>
    </w:p>
    <w:p>
      <w:pPr>
        <w:pStyle w:val="Normal"/>
        <w:jc w:val="both"/>
        <w:rPr>
          <w:sz w:val="24"/>
          <w:szCs w:val="24"/>
        </w:rPr>
      </w:pPr>
      <w:r>
        <w:rPr>
          <w:sz w:val="24"/>
          <w:szCs w:val="24"/>
        </w:rPr>
      </w:r>
    </w:p>
    <w:p>
      <w:pPr>
        <w:pStyle w:val="Normal"/>
        <w:jc w:val="both"/>
        <w:rPr>
          <w:sz w:val="24"/>
          <w:szCs w:val="24"/>
        </w:rPr>
      </w:pPr>
      <w:r>
        <w:drawing>
          <wp:anchor behindDoc="0" distT="0" distB="0" distL="114300" distR="114300" simplePos="0" locked="0" layoutInCell="0" allowOverlap="1" relativeHeight="9">
            <wp:simplePos x="0" y="0"/>
            <wp:positionH relativeFrom="column">
              <wp:posOffset>-518795</wp:posOffset>
            </wp:positionH>
            <wp:positionV relativeFrom="paragraph">
              <wp:posOffset>14605</wp:posOffset>
            </wp:positionV>
            <wp:extent cx="6650990" cy="7760970"/>
            <wp:effectExtent l="0" t="0" r="0" b="0"/>
            <wp:wrapTight wrapText="bothSides">
              <wp:wrapPolygon edited="0">
                <wp:start x="-2" y="0"/>
                <wp:lineTo x="-2" y="21523"/>
                <wp:lineTo x="21527" y="21523"/>
                <wp:lineTo x="21527" y="0"/>
                <wp:lineTo x="-2" y="0"/>
              </wp:wrapPolygon>
            </wp:wrapTight>
            <wp:docPr id="4"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descr=""/>
                    <pic:cNvPicPr>
                      <a:picLocks noChangeAspect="1" noChangeArrowheads="1"/>
                    </pic:cNvPicPr>
                  </pic:nvPicPr>
                  <pic:blipFill>
                    <a:blip r:embed="rId5"/>
                    <a:srcRect l="0" t="0" r="0" b="1245"/>
                    <a:stretch>
                      <a:fillRect/>
                    </a:stretch>
                  </pic:blipFill>
                  <pic:spPr bwMode="auto">
                    <a:xfrm>
                      <a:off x="0" y="0"/>
                      <a:ext cx="6650990" cy="7760970"/>
                    </a:xfrm>
                    <a:prstGeom prst="rect">
                      <a:avLst/>
                    </a:prstGeom>
                  </pic:spPr>
                </pic:pic>
              </a:graphicData>
            </a:graphic>
          </wp:anchor>
        </w:drawing>
      </w:r>
      <w:r>
        <w:rPr>
          <w:sz w:val="24"/>
          <w:szCs w:val="24"/>
        </w:rPr>
        <w:t xml:space="preserve">Figure 2. Représentation du mécanisme attendu de LAMP. </w:t>
      </w:r>
      <w:r>
        <w:rPr>
          <w:i/>
          <w:sz w:val="24"/>
          <w:szCs w:val="24"/>
        </w:rPr>
        <w:t>(Source Notomi et al.2000)</w:t>
      </w:r>
    </w:p>
    <w:p>
      <w:pPr>
        <w:pStyle w:val="Normal"/>
        <w:rPr>
          <w:sz w:val="24"/>
          <w:szCs w:val="24"/>
        </w:rPr>
      </w:pPr>
      <w:r>
        <w:rPr>
          <w:sz w:val="24"/>
          <w:szCs w:val="24"/>
        </w:rPr>
      </w:r>
    </w:p>
    <w:p>
      <w:pPr>
        <w:pStyle w:val="Normal"/>
        <w:rPr>
          <w:rFonts w:ascii="Calibri Light" w:hAnsi="Calibri Light" w:cs="Calibri Light" w:asciiTheme="majorHAnsi" w:cstheme="majorHAnsi" w:hAnsiTheme="majorHAnsi"/>
          <w:b/>
          <w:b/>
          <w:sz w:val="36"/>
        </w:rPr>
      </w:pPr>
      <w:r>
        <w:rPr>
          <w:rFonts w:cs="Calibri Light" w:ascii="Calibri Light" w:hAnsi="Calibri Light" w:asciiTheme="majorHAnsi" w:cstheme="majorHAnsi" w:hAnsiTheme="majorHAnsi"/>
          <w:b/>
          <w:sz w:val="36"/>
        </w:rPr>
        <w:t>RESULTATS</w:t>
      </w:r>
    </w:p>
    <w:p>
      <w:pPr>
        <w:pStyle w:val="ListParagraph"/>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ListParagraph"/>
        <w:ind w:left="1440" w:hanging="0"/>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cs="Calibri" w:cstheme="minorHAnsi"/>
          <w:b/>
          <w:b/>
          <w:sz w:val="36"/>
        </w:rPr>
      </w:pPr>
      <w:r>
        <w:rPr>
          <w:rFonts w:cs="Calibri" w:cstheme="minorHAnsi"/>
          <w:b/>
          <w:sz w:val="36"/>
        </w:rPr>
        <w:t>DISCUSSION</w:t>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alibri" w:hAnsi="Calibri" w:cs="Calibri"/>
          <w:b/>
          <w:b/>
          <w:sz w:val="36"/>
        </w:rPr>
      </w:pPr>
      <w:r>
        <w:rPr>
          <w:rFonts w:cs="Calibri"/>
          <w:b/>
          <w:sz w:val="36"/>
        </w:rPr>
        <w:t>CONCLUSION</w:t>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alibri" w:hAnsi="Calibri" w:cs="Calibri"/>
          <w:b/>
          <w:b/>
          <w:sz w:val="36"/>
        </w:rPr>
      </w:pPr>
      <w:r>
        <w:rPr>
          <w:rFonts w:cs="Calibri"/>
          <w:b/>
          <w:sz w:val="36"/>
        </w:rPr>
        <w:t>RESUME</w:t>
      </w:r>
    </w:p>
    <w:p>
      <w:pPr>
        <w:pStyle w:val="Normal"/>
        <w:rPr>
          <w:rFonts w:ascii="Corbel" w:hAnsi="Corbel"/>
          <w:b/>
          <w:b/>
          <w:sz w:val="28"/>
        </w:rPr>
      </w:pPr>
      <w:r>
        <w:rPr>
          <w:rFonts w:ascii="Corbel" w:hAnsi="Corbel"/>
          <w:b/>
          <w:sz w:val="28"/>
        </w:rPr>
      </w:r>
    </w:p>
    <w:p>
      <w:pPr>
        <w:pStyle w:val="Normal"/>
        <w:rPr>
          <w:rFonts w:ascii="Corbel" w:hAnsi="Corbel"/>
          <w:b/>
          <w:b/>
          <w:sz w:val="32"/>
          <w:u w:val="single"/>
        </w:rPr>
      </w:pPr>
      <w:r>
        <w:rPr>
          <w:rFonts w:ascii="Corbel" w:hAnsi="Corbel"/>
          <w:b/>
          <w:sz w:val="32"/>
          <w:u w:val="single"/>
        </w:rPr>
      </w:r>
    </w:p>
    <w:p>
      <w:pPr>
        <w:pStyle w:val="Normal"/>
        <w:rPr>
          <w:rFonts w:ascii="Corbel" w:hAnsi="Corbel"/>
          <w:b/>
          <w:b/>
          <w:sz w:val="32"/>
          <w:u w:val="single"/>
        </w:rPr>
      </w:pPr>
      <w:r>
        <w:rPr>
          <w:rFonts w:ascii="Corbel" w:hAnsi="Corbel"/>
          <w:b/>
          <w:sz w:val="32"/>
          <w:u w:val="single"/>
        </w:rPr>
      </w:r>
    </w:p>
    <w:p>
      <w:pPr>
        <w:pStyle w:val="Normal"/>
        <w:rPr>
          <w:rFonts w:ascii="Corbel" w:hAnsi="Corbel"/>
          <w:b/>
          <w:b/>
          <w:sz w:val="32"/>
          <w:u w:val="single"/>
        </w:rPr>
      </w:pPr>
      <w:r>
        <w:rPr>
          <w:rFonts w:ascii="Corbel" w:hAnsi="Corbel"/>
          <w:b/>
          <w:sz w:val="32"/>
          <w:u w:val="single"/>
        </w:rPr>
      </w:r>
    </w:p>
    <w:p>
      <w:pPr>
        <w:pStyle w:val="Normal"/>
        <w:rPr>
          <w:rFonts w:ascii="Corbel" w:hAnsi="Corbel"/>
          <w:b/>
          <w:b/>
          <w:sz w:val="32"/>
          <w:u w:val="single"/>
        </w:rPr>
      </w:pPr>
      <w:r>
        <w:rPr>
          <w:rFonts w:ascii="Corbel" w:hAnsi="Corbel"/>
          <w:b/>
          <w:sz w:val="32"/>
          <w:u w:val="single"/>
        </w:rPr>
      </w:r>
    </w:p>
    <w:p>
      <w:pPr>
        <w:pStyle w:val="Normal"/>
        <w:rPr>
          <w:rFonts w:ascii="Corbel" w:hAnsi="Corbel"/>
          <w:b/>
          <w:b/>
          <w:sz w:val="32"/>
          <w:u w:val="single"/>
        </w:rPr>
      </w:pPr>
      <w:r>
        <w:rPr>
          <w:rFonts w:ascii="Corbel" w:hAnsi="Corbel"/>
          <w:b/>
          <w:sz w:val="32"/>
          <w:u w:val="single"/>
        </w:rPr>
      </w:r>
    </w:p>
    <w:p>
      <w:pPr>
        <w:pStyle w:val="Normal"/>
        <w:rPr>
          <w:rFonts w:ascii="Corbel" w:hAnsi="Corbel"/>
          <w:b/>
          <w:b/>
          <w:sz w:val="32"/>
          <w:u w:val="single"/>
        </w:rPr>
      </w:pPr>
      <w:r>
        <w:rPr>
          <w:rFonts w:ascii="Corbel" w:hAnsi="Corbel"/>
          <w:b/>
          <w:sz w:val="32"/>
          <w:u w:val="single"/>
        </w:rPr>
        <w:t>ANNEXES</w:t>
      </w:r>
    </w:p>
    <w:p>
      <w:pPr>
        <w:pStyle w:val="Normal"/>
        <w:rPr>
          <w:rFonts w:ascii="Corbel" w:hAnsi="Corbel"/>
          <w:b/>
          <w:b/>
          <w:sz w:val="28"/>
        </w:rPr>
      </w:pPr>
      <w:r>
        <w:rPr>
          <w:rFonts w:ascii="Corbel" w:hAnsi="Corbel"/>
          <w:b/>
          <w:sz w:val="28"/>
        </w:rPr>
        <w:t>Préparation du milieu de culture PDA (gélose dextrose à la pomme de terre « Potato Dextrose Agar »)</w:t>
      </w:r>
    </w:p>
    <w:p>
      <w:pPr>
        <w:pStyle w:val="Normal"/>
        <w:rPr>
          <w:rFonts w:ascii="Corbel" w:hAnsi="Corbel"/>
          <w:sz w:val="24"/>
        </w:rPr>
      </w:pPr>
      <w:r>
        <w:rPr>
          <w:rFonts w:ascii="Corbel" w:hAnsi="Corbel"/>
          <w:sz w:val="24"/>
        </w:rPr>
        <w:t xml:space="preserve">Matériels </w:t>
      </w:r>
    </w:p>
    <w:p>
      <w:pPr>
        <w:pStyle w:val="ListParagraph"/>
        <w:numPr>
          <w:ilvl w:val="0"/>
          <w:numId w:val="2"/>
        </w:numPr>
        <w:rPr>
          <w:rFonts w:ascii="Corbel" w:hAnsi="Corbel"/>
          <w:sz w:val="24"/>
        </w:rPr>
      </w:pPr>
      <w:r>
        <w:rPr>
          <w:rFonts w:ascii="Corbel" w:hAnsi="Corbel"/>
          <w:sz w:val="24"/>
        </w:rPr>
        <w:t xml:space="preserve">Agitateur magnétique chauffant + barreau aimanté </w:t>
      </w:r>
    </w:p>
    <w:p>
      <w:pPr>
        <w:pStyle w:val="ListParagraph"/>
        <w:numPr>
          <w:ilvl w:val="0"/>
          <w:numId w:val="2"/>
        </w:numPr>
        <w:rPr>
          <w:rFonts w:ascii="Corbel" w:hAnsi="Corbel"/>
          <w:sz w:val="24"/>
        </w:rPr>
      </w:pPr>
      <w:r>
        <w:rPr>
          <w:rFonts w:ascii="Corbel" w:hAnsi="Corbel"/>
          <w:sz w:val="24"/>
        </w:rPr>
        <w:t>Autoclave</w:t>
      </w:r>
    </w:p>
    <w:p>
      <w:pPr>
        <w:pStyle w:val="ListParagraph"/>
        <w:numPr>
          <w:ilvl w:val="0"/>
          <w:numId w:val="2"/>
        </w:numPr>
        <w:rPr>
          <w:rFonts w:ascii="Corbel" w:hAnsi="Corbel"/>
          <w:sz w:val="24"/>
        </w:rPr>
      </w:pPr>
      <w:r>
        <w:rPr>
          <w:rFonts w:ascii="Corbel" w:hAnsi="Corbel"/>
          <w:sz w:val="24"/>
        </w:rPr>
        <w:t>Balance</w:t>
      </w:r>
    </w:p>
    <w:p>
      <w:pPr>
        <w:pStyle w:val="ListParagraph"/>
        <w:numPr>
          <w:ilvl w:val="0"/>
          <w:numId w:val="2"/>
        </w:numPr>
        <w:rPr>
          <w:rFonts w:ascii="Corbel" w:hAnsi="Corbel"/>
          <w:sz w:val="24"/>
        </w:rPr>
      </w:pPr>
      <w:r>
        <w:rPr>
          <w:rFonts w:ascii="Corbel" w:hAnsi="Corbel"/>
          <w:sz w:val="24"/>
        </w:rPr>
        <w:t>Boite de pétri vierge</w:t>
      </w:r>
    </w:p>
    <w:p>
      <w:pPr>
        <w:pStyle w:val="ListParagraph"/>
        <w:numPr>
          <w:ilvl w:val="0"/>
          <w:numId w:val="2"/>
        </w:numPr>
        <w:rPr>
          <w:rFonts w:ascii="Corbel" w:hAnsi="Corbel"/>
          <w:sz w:val="24"/>
        </w:rPr>
      </w:pPr>
      <w:r>
        <w:rPr>
          <w:rFonts w:ascii="Corbel" w:hAnsi="Corbel"/>
          <w:sz w:val="24"/>
        </w:rPr>
        <w:t xml:space="preserve">Eau distillée </w:t>
      </w:r>
    </w:p>
    <w:p>
      <w:pPr>
        <w:pStyle w:val="ListParagraph"/>
        <w:numPr>
          <w:ilvl w:val="0"/>
          <w:numId w:val="2"/>
        </w:numPr>
        <w:rPr>
          <w:rFonts w:ascii="Corbel" w:hAnsi="Corbel"/>
          <w:sz w:val="24"/>
        </w:rPr>
      </w:pPr>
      <w:r>
        <w:rPr>
          <w:rFonts w:ascii="Corbel" w:hAnsi="Corbel"/>
          <w:sz w:val="24"/>
        </w:rPr>
        <w:t>Erlenmeyer de 2L</w:t>
      </w:r>
    </w:p>
    <w:p>
      <w:pPr>
        <w:pStyle w:val="ListParagraph"/>
        <w:numPr>
          <w:ilvl w:val="0"/>
          <w:numId w:val="2"/>
        </w:numPr>
        <w:rPr>
          <w:rFonts w:ascii="Corbel" w:hAnsi="Corbel"/>
          <w:sz w:val="24"/>
        </w:rPr>
      </w:pPr>
      <w:r>
        <w:rPr>
          <w:rFonts w:ascii="Corbel" w:hAnsi="Corbel"/>
          <w:sz w:val="24"/>
        </w:rPr>
        <w:t xml:space="preserve">Flacon Duran </w:t>
      </w:r>
    </w:p>
    <w:p>
      <w:pPr>
        <w:pStyle w:val="ListParagraph"/>
        <w:numPr>
          <w:ilvl w:val="0"/>
          <w:numId w:val="2"/>
        </w:numPr>
        <w:rPr>
          <w:rFonts w:ascii="Corbel" w:hAnsi="Corbel"/>
          <w:sz w:val="24"/>
        </w:rPr>
      </w:pPr>
      <w:r>
        <w:rPr>
          <w:rFonts w:ascii="Corbel" w:hAnsi="Corbel"/>
          <w:sz w:val="24"/>
        </w:rPr>
        <w:t>Micro-onde</w:t>
      </w:r>
    </w:p>
    <w:p>
      <w:pPr>
        <w:pStyle w:val="ListParagraph"/>
        <w:numPr>
          <w:ilvl w:val="0"/>
          <w:numId w:val="2"/>
        </w:numPr>
        <w:rPr>
          <w:rFonts w:ascii="Corbel" w:hAnsi="Corbel"/>
          <w:sz w:val="24"/>
        </w:rPr>
      </w:pPr>
      <w:r>
        <w:rPr>
          <w:rFonts w:ascii="Corbel" w:hAnsi="Corbel"/>
          <w:sz w:val="24"/>
        </w:rPr>
        <w:t>Poudre de potato dextrose agar (PDA)</w:t>
      </w:r>
    </w:p>
    <w:p>
      <w:pPr>
        <w:pStyle w:val="ListParagraph"/>
        <w:numPr>
          <w:ilvl w:val="0"/>
          <w:numId w:val="2"/>
        </w:numPr>
        <w:rPr>
          <w:rFonts w:ascii="Corbel" w:hAnsi="Corbel"/>
          <w:sz w:val="24"/>
        </w:rPr>
      </w:pPr>
      <w:r>
        <w:rPr>
          <w:rFonts w:ascii="Corbel" w:hAnsi="Corbel"/>
          <w:sz w:val="24"/>
        </w:rPr>
        <w:t xml:space="preserve">Papier Aluminium </w:t>
      </w:r>
    </w:p>
    <w:p>
      <w:pPr>
        <w:pStyle w:val="ListParagraph"/>
        <w:numPr>
          <w:ilvl w:val="0"/>
          <w:numId w:val="2"/>
        </w:numPr>
        <w:rPr>
          <w:rFonts w:ascii="Corbel" w:hAnsi="Corbel"/>
          <w:sz w:val="24"/>
        </w:rPr>
      </w:pPr>
      <w:r>
        <w:rPr>
          <w:rFonts w:ascii="Corbel" w:hAnsi="Corbel"/>
          <w:sz w:val="24"/>
        </w:rPr>
        <w:t>Réfrigérateur</w:t>
      </w:r>
    </w:p>
    <w:p>
      <w:pPr>
        <w:pStyle w:val="ListParagraph"/>
        <w:numPr>
          <w:ilvl w:val="0"/>
          <w:numId w:val="2"/>
        </w:numPr>
        <w:rPr>
          <w:rFonts w:ascii="Corbel" w:hAnsi="Corbel"/>
          <w:sz w:val="24"/>
        </w:rPr>
      </w:pPr>
      <w:r>
        <w:rPr>
          <w:rFonts w:ascii="Corbel" w:hAnsi="Corbel"/>
          <w:sz w:val="24"/>
        </w:rPr>
        <w:t>Spatule</w:t>
      </w:r>
    </w:p>
    <w:p>
      <w:pPr>
        <w:pStyle w:val="Normal"/>
        <w:rPr>
          <w:rFonts w:ascii="Corbel" w:hAnsi="Corbel"/>
          <w:sz w:val="24"/>
        </w:rPr>
      </w:pPr>
      <w:r>
        <w:rPr>
          <w:rFonts w:ascii="Corbel" w:hAnsi="Corbel"/>
          <w:sz w:val="24"/>
        </w:rPr>
        <w:t xml:space="preserve">Protocole pour un volume de 1L </w:t>
      </w:r>
    </w:p>
    <w:p>
      <w:pPr>
        <w:pStyle w:val="Normal"/>
        <w:rPr>
          <w:rFonts w:ascii="Corbel" w:hAnsi="Corbel"/>
          <w:sz w:val="24"/>
        </w:rPr>
      </w:pPr>
      <w:r>
        <w:rPr>
          <w:rFonts w:ascii="Corbel" w:hAnsi="Corbel"/>
          <w:sz w:val="24"/>
        </w:rPr>
        <w:t>Déposer le barreau aimanté au fond de l’erlenmeyer.</w:t>
      </w:r>
    </w:p>
    <w:p>
      <w:pPr>
        <w:pStyle w:val="Normal"/>
        <w:rPr>
          <w:rFonts w:ascii="Corbel" w:hAnsi="Corbel"/>
          <w:sz w:val="24"/>
        </w:rPr>
      </w:pPr>
      <w:r>
        <w:rPr>
          <w:rFonts w:ascii="Corbel" w:hAnsi="Corbel"/>
          <w:sz w:val="24"/>
        </w:rPr>
        <w:t>Ajouter 1L d’eau distillée dans l’erlenmeyer puis peser et verser 39 g de poudre de PDA.</w:t>
      </w:r>
    </w:p>
    <w:p>
      <w:pPr>
        <w:pStyle w:val="Normal"/>
        <w:rPr>
          <w:rFonts w:ascii="Corbel" w:hAnsi="Corbel"/>
          <w:sz w:val="24"/>
        </w:rPr>
      </w:pPr>
      <w:r>
        <w:rPr>
          <w:rFonts w:ascii="Corbel" w:hAnsi="Corbel"/>
          <w:sz w:val="24"/>
        </w:rPr>
        <w:t>Régler l’agitateur magnétique à une température de 150°C, poser l’erlenmeyer.</w:t>
      </w:r>
    </w:p>
    <w:p>
      <w:pPr>
        <w:pStyle w:val="Normal"/>
        <w:rPr>
          <w:rFonts w:ascii="Corbel" w:hAnsi="Corbel"/>
          <w:sz w:val="24"/>
        </w:rPr>
      </w:pPr>
      <w:r>
        <w:rPr>
          <w:rFonts w:ascii="Corbel" w:hAnsi="Corbel"/>
          <w:sz w:val="24"/>
        </w:rPr>
        <w:t>Laisser chauffer entre 1H et 1h30 jusqu’à ce que le milieu devienne homogène.</w:t>
      </w:r>
    </w:p>
    <w:p>
      <w:pPr>
        <w:pStyle w:val="Normal"/>
        <w:rPr>
          <w:rFonts w:ascii="Corbel" w:hAnsi="Corbel"/>
          <w:sz w:val="24"/>
        </w:rPr>
      </w:pPr>
      <w:r>
        <w:rPr>
          <w:rFonts w:ascii="Corbel" w:hAnsi="Corbel"/>
          <w:sz w:val="24"/>
        </w:rPr>
        <w:t>Répartir 250 mL de milieu dans 4 flacons Duran et envoyer à l’autoclave.</w:t>
      </w:r>
    </w:p>
    <w:p>
      <w:pPr>
        <w:pStyle w:val="Normal"/>
        <w:rPr>
          <w:rFonts w:ascii="Corbel" w:hAnsi="Corbel"/>
          <w:sz w:val="24"/>
        </w:rPr>
      </w:pPr>
      <w:r>
        <w:rPr>
          <w:rFonts w:ascii="Corbel" w:hAnsi="Corbel"/>
          <w:sz w:val="24"/>
        </w:rPr>
        <w:t>Pour une utilisation immédiate, couler le milieu dans les boîtes de pétri en étalant tout le fond enfin, laisser sécher 45 min. Conserver les boites au réfrigérateur.</w:t>
      </w:r>
    </w:p>
    <w:p>
      <w:pPr>
        <w:pStyle w:val="Normal"/>
        <w:rPr>
          <w:rFonts w:ascii="Corbel" w:hAnsi="Corbel"/>
          <w:sz w:val="24"/>
        </w:rPr>
      </w:pPr>
      <w:r>
        <w:rPr>
          <w:rFonts w:ascii="Corbel" w:hAnsi="Corbel"/>
          <w:sz w:val="24"/>
        </w:rPr>
        <w:t>Pour une utilisation ultérieure, garder les flacons au frais et réchauffer au micro-onde avant de couler.</w:t>
      </w:r>
    </w:p>
    <w:p>
      <w:pPr>
        <w:pStyle w:val="Normal"/>
        <w:rPr>
          <w:rFonts w:ascii="Corbel" w:hAnsi="Corbel"/>
          <w:sz w:val="24"/>
        </w:rPr>
      </w:pPr>
      <w:r>
        <w:rPr>
          <w:rFonts w:ascii="Corbel" w:hAnsi="Corbel"/>
          <w:sz w:val="24"/>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t>Extraction d’ADN à l’aide du Kit «FastPrep (bio101) »</w:t>
      </w:r>
    </w:p>
    <w:p>
      <w:pPr>
        <w:pStyle w:val="Normal"/>
        <w:rPr>
          <w:rFonts w:ascii="Corbel" w:hAnsi="Corbel"/>
          <w:b/>
          <w:b/>
          <w:sz w:val="28"/>
        </w:rPr>
      </w:pPr>
      <w:r>
        <w:rPr>
          <w:rFonts w:ascii="Corbel" w:hAnsi="Corbel"/>
          <w:b/>
          <w:sz w:val="28"/>
        </w:rPr>
      </w:r>
    </w:p>
    <w:p>
      <w:pPr>
        <w:pStyle w:val="Normal"/>
        <w:rPr>
          <w:rFonts w:ascii="Corbel" w:hAnsi="Corbel"/>
          <w:sz w:val="24"/>
        </w:rPr>
      </w:pPr>
      <w:r>
        <w:rPr>
          <w:rFonts w:ascii="Corbel" w:hAnsi="Corbel"/>
          <w:sz w:val="24"/>
        </w:rPr>
        <w:t>Matériel</w:t>
      </w:r>
    </w:p>
    <w:p>
      <w:pPr>
        <w:pStyle w:val="Normal"/>
        <w:rPr>
          <w:rFonts w:ascii="Corbel" w:hAnsi="Corbel"/>
          <w:sz w:val="24"/>
        </w:rPr>
      </w:pPr>
      <w:r>
        <w:rPr>
          <w:rFonts w:ascii="Corbel" w:hAnsi="Corbel"/>
          <w:sz w:val="24"/>
        </w:rPr>
      </w:r>
    </w:p>
    <w:p>
      <w:pPr>
        <w:pStyle w:val="ListParagraph"/>
        <w:numPr>
          <w:ilvl w:val="0"/>
          <w:numId w:val="1"/>
        </w:numPr>
        <w:rPr>
          <w:rFonts w:ascii="Corbel" w:hAnsi="Corbel"/>
          <w:sz w:val="24"/>
        </w:rPr>
      </w:pPr>
      <w:r>
        <w:rPr>
          <w:rFonts w:ascii="Corbel" w:hAnsi="Corbel"/>
          <w:sz w:val="24"/>
        </w:rPr>
        <w:t xml:space="preserve">Boite Kit complet </w:t>
      </w:r>
    </w:p>
    <w:p>
      <w:pPr>
        <w:pStyle w:val="ListParagraph"/>
        <w:numPr>
          <w:ilvl w:val="0"/>
          <w:numId w:val="1"/>
        </w:numPr>
        <w:rPr>
          <w:rFonts w:ascii="Corbel" w:hAnsi="Corbel"/>
          <w:sz w:val="24"/>
        </w:rPr>
      </w:pPr>
      <w:r>
        <w:rPr>
          <w:rFonts w:ascii="Corbel" w:hAnsi="Corbel"/>
          <w:sz w:val="24"/>
        </w:rPr>
        <w:t>Appareil « Fast Prep Instrument »</w:t>
      </w:r>
    </w:p>
    <w:p>
      <w:pPr>
        <w:pStyle w:val="ListParagraph"/>
        <w:numPr>
          <w:ilvl w:val="0"/>
          <w:numId w:val="1"/>
        </w:numPr>
        <w:rPr>
          <w:rFonts w:ascii="Corbel" w:hAnsi="Corbel"/>
          <w:sz w:val="24"/>
        </w:rPr>
      </w:pPr>
      <w:r>
        <w:rPr>
          <w:rFonts w:ascii="Corbel" w:hAnsi="Corbel"/>
          <w:sz w:val="24"/>
        </w:rPr>
        <w:t>Tampon Tris-EDTA (TE) à pH 8</w:t>
      </w:r>
    </w:p>
    <w:p>
      <w:pPr>
        <w:pStyle w:val="ListParagraph"/>
        <w:numPr>
          <w:ilvl w:val="0"/>
          <w:numId w:val="1"/>
        </w:numPr>
        <w:rPr>
          <w:rFonts w:ascii="Corbel" w:hAnsi="Corbel"/>
          <w:sz w:val="24"/>
        </w:rPr>
      </w:pPr>
      <w:r>
        <w:rPr>
          <w:rFonts w:ascii="Corbel" w:hAnsi="Corbel"/>
          <w:sz w:val="24"/>
        </w:rPr>
        <w:t>Centrifugeuse</w:t>
      </w:r>
    </w:p>
    <w:p>
      <w:pPr>
        <w:pStyle w:val="ListParagraph"/>
        <w:numPr>
          <w:ilvl w:val="0"/>
          <w:numId w:val="1"/>
        </w:numPr>
        <w:rPr>
          <w:rFonts w:ascii="Corbel" w:hAnsi="Corbel"/>
          <w:sz w:val="24"/>
        </w:rPr>
      </w:pPr>
      <w:r>
        <w:rPr>
          <w:rFonts w:ascii="Corbel" w:hAnsi="Corbel"/>
          <w:sz w:val="24"/>
        </w:rPr>
        <w:t>Matériel génétique à extraire</w:t>
      </w:r>
    </w:p>
    <w:p>
      <w:pPr>
        <w:pStyle w:val="ListParagraph"/>
        <w:numPr>
          <w:ilvl w:val="0"/>
          <w:numId w:val="1"/>
        </w:numPr>
        <w:rPr>
          <w:rFonts w:ascii="Corbel" w:hAnsi="Corbel"/>
          <w:sz w:val="24"/>
        </w:rPr>
      </w:pPr>
      <w:r>
        <w:rPr>
          <w:rFonts w:ascii="Corbel" w:hAnsi="Corbel"/>
          <w:sz w:val="24"/>
        </w:rPr>
        <w:t>Eau ultra pure</w:t>
      </w:r>
    </w:p>
    <w:p>
      <w:pPr>
        <w:pStyle w:val="ListParagraph"/>
        <w:numPr>
          <w:ilvl w:val="0"/>
          <w:numId w:val="1"/>
        </w:numPr>
        <w:rPr>
          <w:rFonts w:ascii="Corbel" w:hAnsi="Corbel"/>
          <w:sz w:val="24"/>
        </w:rPr>
      </w:pPr>
      <w:r>
        <w:rPr>
          <w:rFonts w:ascii="Corbel" w:hAnsi="Corbel"/>
          <w:sz w:val="24"/>
        </w:rPr>
        <w:t>Réfrigérateur</w:t>
      </w:r>
    </w:p>
    <w:p>
      <w:pPr>
        <w:pStyle w:val="ListParagraph"/>
        <w:numPr>
          <w:ilvl w:val="0"/>
          <w:numId w:val="1"/>
        </w:numPr>
        <w:rPr>
          <w:rFonts w:ascii="Corbel" w:hAnsi="Corbel"/>
          <w:sz w:val="24"/>
        </w:rPr>
      </w:pPr>
      <w:r>
        <w:rPr>
          <w:rFonts w:ascii="Corbel" w:hAnsi="Corbel"/>
          <w:sz w:val="24"/>
        </w:rPr>
        <w:t>Pipette</w:t>
      </w:r>
    </w:p>
    <w:p>
      <w:pPr>
        <w:pStyle w:val="ListParagraph"/>
        <w:numPr>
          <w:ilvl w:val="0"/>
          <w:numId w:val="1"/>
        </w:numPr>
        <w:rPr>
          <w:rFonts w:ascii="Corbel" w:hAnsi="Corbel"/>
          <w:sz w:val="24"/>
        </w:rPr>
      </w:pPr>
      <w:r>
        <w:rPr>
          <w:rFonts w:ascii="Corbel" w:hAnsi="Corbel"/>
          <w:sz w:val="24"/>
        </w:rPr>
        <w:t>Tubes Eppendorf</w:t>
      </w:r>
    </w:p>
    <w:p>
      <w:pPr>
        <w:pStyle w:val="ListParagraph"/>
        <w:rPr>
          <w:rFonts w:ascii="Corbel" w:hAnsi="Corbel"/>
          <w:sz w:val="24"/>
        </w:rPr>
      </w:pPr>
      <w:r>
        <w:rPr>
          <w:rFonts w:ascii="Corbel" w:hAnsi="Corbel"/>
          <w:sz w:val="24"/>
        </w:rPr>
      </w:r>
    </w:p>
    <w:p>
      <w:pPr>
        <w:pStyle w:val="ListParagraph"/>
        <w:rPr>
          <w:rFonts w:ascii="Corbel" w:hAnsi="Corbel"/>
          <w:sz w:val="24"/>
        </w:rPr>
      </w:pPr>
      <w:r>
        <w:rPr>
          <w:rFonts w:ascii="Corbel" w:hAnsi="Corbel"/>
          <w:sz w:val="24"/>
        </w:rPr>
      </w:r>
    </w:p>
    <w:p>
      <w:pPr>
        <w:pStyle w:val="Normal"/>
        <w:rPr>
          <w:rFonts w:ascii="Corbel" w:hAnsi="Corbel"/>
          <w:sz w:val="24"/>
        </w:rPr>
      </w:pPr>
      <w:r>
        <w:rPr>
          <w:rFonts w:ascii="Corbel" w:hAnsi="Corbel"/>
          <w:sz w:val="24"/>
        </w:rPr>
        <w:t>Protocole extraction ADN fongique</w:t>
      </w:r>
    </w:p>
    <w:p>
      <w:pPr>
        <w:pStyle w:val="ListParagraph"/>
        <w:numPr>
          <w:ilvl w:val="0"/>
          <w:numId w:val="3"/>
        </w:numPr>
        <w:rPr>
          <w:rFonts w:ascii="Corbel" w:hAnsi="Corbel"/>
          <w:sz w:val="24"/>
        </w:rPr>
      </w:pPr>
      <w:r>
        <w:rPr>
          <w:rFonts w:ascii="Corbel" w:hAnsi="Corbel"/>
          <w:sz w:val="24"/>
        </w:rPr>
        <w:t xml:space="preserve">Pour chaque échantillon numéroté un tube avec matrice de lyse. </w:t>
      </w:r>
    </w:p>
    <w:p>
      <w:pPr>
        <w:pStyle w:val="ListParagraph"/>
        <w:numPr>
          <w:ilvl w:val="0"/>
          <w:numId w:val="3"/>
        </w:numPr>
        <w:rPr>
          <w:rFonts w:ascii="Corbel" w:hAnsi="Corbel"/>
          <w:sz w:val="24"/>
        </w:rPr>
      </w:pPr>
      <w:r>
        <w:rPr>
          <w:rFonts w:ascii="Corbel" w:hAnsi="Corbel"/>
          <w:sz w:val="24"/>
        </w:rPr>
        <w:t xml:space="preserve">Ajouter 500 µL de Tampon 1 CLS-Y. </w:t>
      </w:r>
    </w:p>
    <w:p>
      <w:pPr>
        <w:pStyle w:val="ListParagraph"/>
        <w:numPr>
          <w:ilvl w:val="0"/>
          <w:numId w:val="3"/>
        </w:numPr>
        <w:rPr>
          <w:rFonts w:ascii="Corbel" w:hAnsi="Corbel"/>
          <w:sz w:val="24"/>
        </w:rPr>
      </w:pPr>
      <w:r>
        <w:rPr>
          <w:rFonts w:ascii="Corbel" w:hAnsi="Corbel"/>
          <w:sz w:val="24"/>
        </w:rPr>
        <w:t>Ajouter le matériel fongique frais</w:t>
      </w:r>
    </w:p>
    <w:p>
      <w:pPr>
        <w:pStyle w:val="Normal"/>
        <w:rPr>
          <w:rFonts w:ascii="Corbel" w:hAnsi="Corbel"/>
          <w:sz w:val="24"/>
        </w:rPr>
      </w:pPr>
      <w:r>
        <w:rPr>
          <w:rFonts w:ascii="Corbel" w:hAnsi="Corbel"/>
          <w:sz w:val="24"/>
        </w:rPr>
        <w:t xml:space="preserve">           </w:t>
      </w:r>
      <w:r>
        <w:rPr>
          <w:rFonts w:ascii="Corbel" w:hAnsi="Corbel"/>
          <w:sz w:val="24"/>
        </w:rPr>
        <w:t xml:space="preserve">Si </w:t>
      </w:r>
      <w:r>
        <w:rPr>
          <w:rFonts w:ascii="Corbel" w:hAnsi="Corbel"/>
          <w:i/>
          <w:sz w:val="24"/>
        </w:rPr>
        <w:t xml:space="preserve">Colletotrichum </w:t>
      </w:r>
      <w:r>
        <w:rPr>
          <w:rFonts w:ascii="Corbel" w:hAnsi="Corbel"/>
          <w:sz w:val="24"/>
        </w:rPr>
        <w:t>cultivé sur boite de pétri : gratter délicatement la surface afin de récupérer le maximum de matériel.</w:t>
      </w:r>
    </w:p>
    <w:p>
      <w:pPr>
        <w:pStyle w:val="Normal"/>
        <w:ind w:left="360" w:hanging="0"/>
        <w:rPr>
          <w:rFonts w:ascii="Corbel" w:hAnsi="Corbel"/>
          <w:sz w:val="24"/>
        </w:rPr>
      </w:pPr>
      <w:r>
        <w:rPr>
          <w:rFonts w:ascii="Corbel" w:hAnsi="Corbel"/>
          <w:sz w:val="24"/>
        </w:rPr>
        <w:t>Sinon</w:t>
      </w:r>
      <w:r>
        <w:rPr>
          <w:rFonts w:ascii="Corbel" w:hAnsi="Corbel"/>
          <w:i/>
          <w:sz w:val="24"/>
        </w:rPr>
        <w:t xml:space="preserve"> Colletotrichum </w:t>
      </w:r>
      <w:r>
        <w:rPr>
          <w:rFonts w:ascii="Corbel" w:hAnsi="Corbel"/>
          <w:sz w:val="24"/>
        </w:rPr>
        <w:t xml:space="preserve">cultivé dans V8 : récupérer environ 500 uL. </w:t>
      </w:r>
    </w:p>
    <w:p>
      <w:pPr>
        <w:pStyle w:val="ListParagraph"/>
        <w:numPr>
          <w:ilvl w:val="0"/>
          <w:numId w:val="3"/>
        </w:numPr>
        <w:rPr>
          <w:rFonts w:ascii="Corbel" w:hAnsi="Corbel"/>
          <w:sz w:val="24"/>
        </w:rPr>
      </w:pPr>
      <w:r>
        <w:rPr>
          <w:rFonts w:ascii="Corbel" w:hAnsi="Corbel"/>
          <w:sz w:val="24"/>
        </w:rPr>
        <w:t>Incuber 20 min à température ambiante.</w:t>
      </w:r>
    </w:p>
    <w:p>
      <w:pPr>
        <w:pStyle w:val="ListParagraph"/>
        <w:numPr>
          <w:ilvl w:val="0"/>
          <w:numId w:val="3"/>
        </w:numPr>
        <w:rPr>
          <w:rFonts w:ascii="Corbel" w:hAnsi="Corbel"/>
          <w:sz w:val="24"/>
        </w:rPr>
      </w:pPr>
      <w:r>
        <w:rPr>
          <w:rFonts w:ascii="Corbel" w:hAnsi="Corbel"/>
          <w:sz w:val="24"/>
        </w:rPr>
        <w:t>Homogénéiser les échantillons dans le FastPrep instrument, vitesse 5, 20 secondes.</w:t>
      </w:r>
    </w:p>
    <w:p>
      <w:pPr>
        <w:pStyle w:val="ListParagraph"/>
        <w:numPr>
          <w:ilvl w:val="0"/>
          <w:numId w:val="3"/>
        </w:numPr>
        <w:rPr>
          <w:rFonts w:ascii="Corbel" w:hAnsi="Corbel"/>
          <w:sz w:val="24"/>
        </w:rPr>
      </w:pPr>
      <w:r>
        <w:rPr>
          <w:rFonts w:ascii="Corbel" w:hAnsi="Corbel"/>
          <w:sz w:val="24"/>
        </w:rPr>
        <w:t>Incuber de nouveau à température ambiante pendant 1h30 à 2 heures.</w:t>
      </w:r>
    </w:p>
    <w:p>
      <w:pPr>
        <w:pStyle w:val="ListParagraph"/>
        <w:numPr>
          <w:ilvl w:val="0"/>
          <w:numId w:val="3"/>
        </w:numPr>
        <w:rPr>
          <w:rFonts w:ascii="Corbel" w:hAnsi="Corbel"/>
          <w:sz w:val="24"/>
        </w:rPr>
      </w:pPr>
      <w:r>
        <w:rPr>
          <w:rFonts w:ascii="Corbel" w:hAnsi="Corbel"/>
          <w:sz w:val="24"/>
        </w:rPr>
        <w:t>Centrifuger pendant 5 minutes (min) à 14.000 T pour sédimenter les protéines et débris cellulaires.</w:t>
      </w:r>
    </w:p>
    <w:p>
      <w:pPr>
        <w:pStyle w:val="ListParagraph"/>
        <w:numPr>
          <w:ilvl w:val="0"/>
          <w:numId w:val="3"/>
        </w:numPr>
        <w:rPr>
          <w:rFonts w:ascii="Corbel" w:hAnsi="Corbel"/>
          <w:sz w:val="24"/>
        </w:rPr>
      </w:pPr>
      <w:r>
        <w:rPr>
          <w:rFonts w:ascii="Corbel" w:hAnsi="Corbel"/>
          <w:sz w:val="24"/>
        </w:rPr>
        <w:t>Transfert 500 µL du surnageant dans un tube Eppendorf propre de 1.5 mL.</w:t>
      </w:r>
    </w:p>
    <w:p>
      <w:pPr>
        <w:pStyle w:val="ListParagraph"/>
        <w:numPr>
          <w:ilvl w:val="0"/>
          <w:numId w:val="3"/>
        </w:numPr>
        <w:rPr>
          <w:rFonts w:ascii="Corbel" w:hAnsi="Corbel"/>
          <w:sz w:val="24"/>
        </w:rPr>
      </w:pPr>
      <w:r>
        <w:rPr>
          <w:rFonts w:ascii="Corbel" w:hAnsi="Corbel"/>
          <w:sz w:val="24"/>
        </w:rPr>
        <w:t>Ajouter 500 µL « Bidding Matrix », mélanger délicatement (vortex doux) et incuber à température ambiante pendant 5 min.</w:t>
      </w:r>
    </w:p>
    <w:p>
      <w:pPr>
        <w:pStyle w:val="ListParagraph"/>
        <w:numPr>
          <w:ilvl w:val="0"/>
          <w:numId w:val="3"/>
        </w:numPr>
        <w:rPr>
          <w:rFonts w:ascii="Corbel" w:hAnsi="Corbel"/>
          <w:sz w:val="24"/>
        </w:rPr>
      </w:pPr>
      <w:r>
        <w:rPr>
          <w:rFonts w:ascii="Corbel" w:hAnsi="Corbel"/>
          <w:sz w:val="24"/>
        </w:rPr>
        <w:t xml:space="preserve"> </w:t>
      </w:r>
      <w:r>
        <w:rPr>
          <w:rFonts w:ascii="Corbel" w:hAnsi="Corbel"/>
          <w:sz w:val="24"/>
        </w:rPr>
        <w:t>Centrifuger pendant 1 min à 11.500 T et éliminer le surnageant.</w:t>
      </w:r>
    </w:p>
    <w:p>
      <w:pPr>
        <w:pStyle w:val="ListParagraph"/>
        <w:numPr>
          <w:ilvl w:val="0"/>
          <w:numId w:val="3"/>
        </w:numPr>
        <w:rPr>
          <w:rFonts w:ascii="Corbel" w:hAnsi="Corbel"/>
          <w:sz w:val="24"/>
        </w:rPr>
      </w:pPr>
      <w:r>
        <w:rPr>
          <w:rFonts w:ascii="Corbel" w:hAnsi="Corbel"/>
          <w:sz w:val="24"/>
        </w:rPr>
        <w:t>Ajouter 500 µL de SEWS-M et remettre en suspension le culot doucement (vortex léger).</w:t>
      </w:r>
    </w:p>
    <w:p>
      <w:pPr>
        <w:pStyle w:val="ListParagraph"/>
        <w:numPr>
          <w:ilvl w:val="0"/>
          <w:numId w:val="3"/>
        </w:numPr>
        <w:rPr>
          <w:rFonts w:ascii="Corbel" w:hAnsi="Corbel"/>
          <w:sz w:val="24"/>
        </w:rPr>
      </w:pPr>
      <w:r>
        <w:rPr>
          <w:rFonts w:ascii="Corbel" w:hAnsi="Corbel"/>
          <w:sz w:val="24"/>
        </w:rPr>
        <w:t>Centrifuger pendant 1 min 11.500 T et éliminer le surnageant.</w:t>
      </w:r>
    </w:p>
    <w:p>
      <w:pPr>
        <w:pStyle w:val="ListParagraph"/>
        <w:numPr>
          <w:ilvl w:val="0"/>
          <w:numId w:val="3"/>
        </w:numPr>
        <w:rPr>
          <w:rFonts w:ascii="Corbel" w:hAnsi="Corbel"/>
          <w:sz w:val="24"/>
        </w:rPr>
      </w:pPr>
      <w:r>
        <w:rPr>
          <w:rFonts w:ascii="Corbel" w:hAnsi="Corbel"/>
          <w:sz w:val="24"/>
        </w:rPr>
        <w:t>Reprendre le culot dans 100 µL de Tampon TE (vortex léger).</w:t>
      </w:r>
    </w:p>
    <w:p>
      <w:pPr>
        <w:pStyle w:val="ListParagraph"/>
        <w:numPr>
          <w:ilvl w:val="0"/>
          <w:numId w:val="3"/>
        </w:numPr>
        <w:rPr>
          <w:rFonts w:ascii="Corbel" w:hAnsi="Corbel"/>
          <w:sz w:val="24"/>
        </w:rPr>
      </w:pPr>
      <w:r>
        <w:rPr>
          <w:rFonts w:ascii="Corbel" w:hAnsi="Corbel"/>
          <w:sz w:val="24"/>
        </w:rPr>
        <w:t>Incuber pendant 2-3 min à température ambiante.</w:t>
      </w:r>
    </w:p>
    <w:p>
      <w:pPr>
        <w:pStyle w:val="ListParagraph"/>
        <w:numPr>
          <w:ilvl w:val="0"/>
          <w:numId w:val="3"/>
        </w:numPr>
        <w:rPr>
          <w:rFonts w:ascii="Corbel" w:hAnsi="Corbel"/>
          <w:sz w:val="24"/>
        </w:rPr>
      </w:pPr>
      <w:r>
        <w:rPr>
          <w:rFonts w:ascii="Corbel" w:hAnsi="Corbel"/>
          <w:sz w:val="24"/>
        </w:rPr>
        <w:t>Centrifuger pendant 1 min à 11.500 T.</w:t>
      </w:r>
    </w:p>
    <w:p>
      <w:pPr>
        <w:pStyle w:val="ListParagraph"/>
        <w:numPr>
          <w:ilvl w:val="0"/>
          <w:numId w:val="3"/>
        </w:numPr>
        <w:rPr>
          <w:rFonts w:ascii="Corbel" w:hAnsi="Corbel"/>
          <w:sz w:val="24"/>
        </w:rPr>
      </w:pPr>
      <w:r>
        <w:rPr>
          <w:rFonts w:ascii="Corbel" w:hAnsi="Corbel"/>
          <w:sz w:val="24"/>
        </w:rPr>
        <w:t>Transférer avec précaution le surnageant contenant l’ADN, dans un nouveau tube et éviter de transférer les particules de la matrice de liaison. Ceci doit être éviter dans tous les cas.</w:t>
      </w:r>
    </w:p>
    <w:p>
      <w:pPr>
        <w:pStyle w:val="ListParagraph"/>
        <w:numPr>
          <w:ilvl w:val="0"/>
          <w:numId w:val="3"/>
        </w:numPr>
        <w:rPr>
          <w:rFonts w:ascii="Corbel" w:hAnsi="Corbel"/>
          <w:sz w:val="24"/>
        </w:rPr>
      </w:pPr>
      <w:r>
        <w:rPr>
          <w:rFonts w:ascii="Corbel" w:hAnsi="Corbel"/>
          <w:sz w:val="24"/>
        </w:rPr>
        <w:t xml:space="preserve">Stocker les échantillons d’ADN à 4°C ou -20°C pour les périodes plus longues. </w:t>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t xml:space="preserve">Protocole de vérification de présence d’ADN par gel d’agarose à 0.8 X </w:t>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t>Matériel</w:t>
      </w:r>
    </w:p>
    <w:p>
      <w:pPr>
        <w:pStyle w:val="Normal"/>
        <w:rPr>
          <w:rFonts w:ascii="Corbel" w:hAnsi="Corbel"/>
          <w:sz w:val="24"/>
        </w:rPr>
      </w:pPr>
      <w:r>
        <w:rPr>
          <w:rFonts w:ascii="Corbel" w:hAnsi="Corbel"/>
          <w:sz w:val="24"/>
        </w:rPr>
      </w:r>
    </w:p>
    <w:p>
      <w:pPr>
        <w:pStyle w:val="ListParagraph"/>
        <w:numPr>
          <w:ilvl w:val="0"/>
          <w:numId w:val="4"/>
        </w:numPr>
        <w:rPr>
          <w:rFonts w:ascii="Corbel" w:hAnsi="Corbel"/>
          <w:sz w:val="24"/>
        </w:rPr>
      </w:pPr>
      <w:r>
        <w:rPr>
          <w:rFonts w:ascii="Corbel" w:hAnsi="Corbel"/>
          <w:sz w:val="24"/>
        </w:rPr>
        <w:t>Poudre d’agarose</w:t>
      </w:r>
    </w:p>
    <w:p>
      <w:pPr>
        <w:pStyle w:val="ListParagraph"/>
        <w:numPr>
          <w:ilvl w:val="0"/>
          <w:numId w:val="4"/>
        </w:numPr>
        <w:rPr>
          <w:rFonts w:ascii="Corbel" w:hAnsi="Corbel"/>
          <w:sz w:val="24"/>
        </w:rPr>
      </w:pPr>
      <w:r>
        <w:rPr>
          <w:rFonts w:ascii="Corbel" w:hAnsi="Corbel"/>
          <w:sz w:val="24"/>
        </w:rPr>
        <w:t xml:space="preserve">Gel red X </w:t>
      </w:r>
    </w:p>
    <w:p>
      <w:pPr>
        <w:pStyle w:val="ListParagraph"/>
        <w:numPr>
          <w:ilvl w:val="0"/>
          <w:numId w:val="4"/>
        </w:numPr>
        <w:rPr>
          <w:rFonts w:ascii="Corbel" w:hAnsi="Corbel"/>
          <w:sz w:val="24"/>
        </w:rPr>
      </w:pPr>
      <w:r>
        <w:rPr>
          <w:rFonts w:ascii="Corbel" w:hAnsi="Corbel"/>
          <w:sz w:val="24"/>
        </w:rPr>
        <w:t>Eau distillé</w:t>
      </w:r>
    </w:p>
    <w:p>
      <w:pPr>
        <w:pStyle w:val="ListParagraph"/>
        <w:numPr>
          <w:ilvl w:val="0"/>
          <w:numId w:val="4"/>
        </w:numPr>
        <w:rPr>
          <w:rFonts w:ascii="Corbel" w:hAnsi="Corbel"/>
          <w:sz w:val="24"/>
        </w:rPr>
      </w:pPr>
      <w:r>
        <w:rPr>
          <w:rFonts w:ascii="Corbel" w:hAnsi="Corbel"/>
          <w:sz w:val="24"/>
        </w:rPr>
        <w:t>Cuve migration</w:t>
      </w:r>
    </w:p>
    <w:p>
      <w:pPr>
        <w:pStyle w:val="ListParagraph"/>
        <w:numPr>
          <w:ilvl w:val="0"/>
          <w:numId w:val="4"/>
        </w:numPr>
        <w:rPr>
          <w:rFonts w:ascii="Corbel" w:hAnsi="Corbel"/>
          <w:sz w:val="24"/>
        </w:rPr>
      </w:pPr>
      <w:r>
        <w:rPr>
          <w:rFonts w:ascii="Corbel" w:hAnsi="Corbel"/>
          <w:sz w:val="24"/>
        </w:rPr>
        <w:t>Balance</w:t>
      </w:r>
    </w:p>
    <w:p>
      <w:pPr>
        <w:pStyle w:val="ListParagraph"/>
        <w:numPr>
          <w:ilvl w:val="0"/>
          <w:numId w:val="4"/>
        </w:numPr>
        <w:rPr>
          <w:rFonts w:ascii="Corbel" w:hAnsi="Corbel"/>
          <w:sz w:val="24"/>
        </w:rPr>
      </w:pPr>
      <w:r>
        <w:rPr>
          <w:rFonts w:ascii="Corbel" w:hAnsi="Corbel"/>
          <w:sz w:val="24"/>
        </w:rPr>
        <w:t>Spatule /Pipette/Soucoupe en plastique/parafilm</w:t>
      </w:r>
    </w:p>
    <w:p>
      <w:pPr>
        <w:pStyle w:val="ListParagraph"/>
        <w:numPr>
          <w:ilvl w:val="0"/>
          <w:numId w:val="4"/>
        </w:numPr>
        <w:rPr>
          <w:rFonts w:ascii="Corbel" w:hAnsi="Corbel"/>
          <w:sz w:val="24"/>
        </w:rPr>
      </w:pPr>
      <w:r>
        <w:rPr>
          <w:rFonts w:ascii="Corbel" w:hAnsi="Corbel"/>
          <w:sz w:val="24"/>
        </w:rPr>
        <w:t>Erlenmeyer/ éprouvette graduée</w:t>
      </w:r>
    </w:p>
    <w:p>
      <w:pPr>
        <w:pStyle w:val="ListParagraph"/>
        <w:numPr>
          <w:ilvl w:val="0"/>
          <w:numId w:val="4"/>
        </w:numPr>
        <w:rPr>
          <w:rFonts w:ascii="Corbel" w:hAnsi="Corbel"/>
          <w:sz w:val="24"/>
        </w:rPr>
      </w:pPr>
      <w:r>
        <w:rPr>
          <w:rFonts w:ascii="Corbel" w:hAnsi="Corbel"/>
          <w:sz w:val="24"/>
        </w:rPr>
      </w:r>
    </w:p>
    <w:p>
      <w:pPr>
        <w:pStyle w:val="Normal"/>
        <w:ind w:left="360" w:hanging="0"/>
        <w:rPr>
          <w:rFonts w:ascii="Corbel" w:hAnsi="Corbel"/>
          <w:sz w:val="24"/>
        </w:rPr>
      </w:pPr>
      <w:r>
        <w:rPr>
          <w:rFonts w:ascii="Corbel" w:hAnsi="Corbel"/>
          <w:sz w:val="24"/>
        </w:rPr>
        <w:t>Préparation du gel à 0.8 %</w:t>
      </w:r>
    </w:p>
    <w:p>
      <w:pPr>
        <w:pStyle w:val="Normal"/>
        <w:ind w:left="360" w:hanging="0"/>
        <w:rPr>
          <w:rFonts w:ascii="Corbel" w:hAnsi="Corbel"/>
          <w:sz w:val="24"/>
        </w:rPr>
      </w:pPr>
      <w:r>
        <w:rPr>
          <w:rFonts w:ascii="Corbel" w:hAnsi="Corbel"/>
          <w:sz w:val="24"/>
        </w:rPr>
        <w:t xml:space="preserve">Verser 100mL d’eau distillée dans l’erlenmeyer. </w:t>
      </w:r>
    </w:p>
    <w:p>
      <w:pPr>
        <w:pStyle w:val="Normal"/>
        <w:ind w:left="360" w:hanging="0"/>
        <w:rPr>
          <w:rFonts w:ascii="Corbel" w:hAnsi="Corbel"/>
          <w:sz w:val="24"/>
        </w:rPr>
      </w:pPr>
      <w:r>
        <w:rPr>
          <w:rFonts w:ascii="Corbel" w:hAnsi="Corbel"/>
          <w:sz w:val="24"/>
        </w:rPr>
        <w:t>Ajouter après avoir pesé 0.8 g de poudre d’agarose.</w:t>
      </w:r>
    </w:p>
    <w:p>
      <w:pPr>
        <w:pStyle w:val="Normal"/>
        <w:ind w:left="360" w:hanging="0"/>
        <w:rPr>
          <w:rFonts w:ascii="Corbel" w:hAnsi="Corbel"/>
          <w:sz w:val="24"/>
        </w:rPr>
      </w:pPr>
      <w:r>
        <w:rPr>
          <w:rFonts w:ascii="Corbel" w:hAnsi="Corbel"/>
          <w:sz w:val="24"/>
        </w:rPr>
        <w:t>Chauffer au micro-onde jusqu’à obtention d’un liquide transparent sans résidu.</w:t>
      </w:r>
    </w:p>
    <w:p>
      <w:pPr>
        <w:pStyle w:val="Normal"/>
        <w:ind w:left="360" w:hanging="0"/>
        <w:rPr>
          <w:rFonts w:ascii="Corbel" w:hAnsi="Corbel"/>
          <w:sz w:val="24"/>
        </w:rPr>
      </w:pPr>
      <w:r>
        <w:rPr>
          <w:rFonts w:ascii="Corbel" w:hAnsi="Corbel"/>
          <w:sz w:val="24"/>
        </w:rPr>
        <w:t>Laisser refroidir à température ambiante puis ajouter 5 µL de gel red X, couler dans la plaque de gel et laisser se solidifier.</w:t>
      </w:r>
    </w:p>
    <w:p>
      <w:pPr>
        <w:pStyle w:val="Normal"/>
        <w:ind w:left="360" w:hanging="0"/>
        <w:rPr>
          <w:rFonts w:ascii="Corbel" w:hAnsi="Corbel"/>
          <w:sz w:val="24"/>
        </w:rPr>
      </w:pPr>
      <w:r>
        <w:rPr>
          <w:rFonts w:ascii="Corbel" w:hAnsi="Corbel"/>
          <w:sz w:val="24"/>
        </w:rPr>
        <w:t>Ajouter les échantillons dans chaque puits.</w:t>
      </w:r>
    </w:p>
    <w:p>
      <w:pPr>
        <w:pStyle w:val="Normal"/>
        <w:ind w:left="360" w:hanging="0"/>
        <w:rPr>
          <w:rFonts w:ascii="Corbel" w:hAnsi="Corbel"/>
          <w:sz w:val="24"/>
        </w:rPr>
      </w:pPr>
      <w:r>
        <w:rPr>
          <w:rFonts w:ascii="Corbel" w:hAnsi="Corbel"/>
          <w:sz w:val="24"/>
        </w:rPr>
      </w:r>
    </w:p>
    <w:p>
      <w:pPr>
        <w:pStyle w:val="Normal"/>
        <w:ind w:left="360" w:hanging="0"/>
        <w:rPr>
          <w:rFonts w:ascii="Corbel" w:hAnsi="Corbel"/>
          <w:sz w:val="24"/>
        </w:rPr>
      </w:pPr>
      <w:r>
        <w:rPr>
          <w:rFonts w:ascii="Corbel" w:hAnsi="Corbel"/>
          <w:sz w:val="24"/>
        </w:rPr>
      </w:r>
    </w:p>
    <w:p>
      <w:pPr>
        <w:pStyle w:val="Normal"/>
        <w:ind w:left="360" w:hanging="0"/>
        <w:rPr>
          <w:rFonts w:ascii="Corbel" w:hAnsi="Corbel"/>
          <w:b/>
          <w:b/>
          <w:sz w:val="32"/>
        </w:rPr>
      </w:pPr>
      <w:r>
        <w:rPr>
          <w:rFonts w:ascii="Corbel" w:hAnsi="Corbel"/>
          <w:b/>
          <w:sz w:val="32"/>
        </w:rPr>
        <w:t>Préparation de mix pCr</w:t>
      </w:r>
    </w:p>
    <w:p>
      <w:pPr>
        <w:pStyle w:val="Normal"/>
        <w:ind w:left="360" w:hanging="0"/>
        <w:rPr>
          <w:rFonts w:ascii="Corbel" w:hAnsi="Corbel"/>
          <w:b/>
          <w:b/>
          <w:sz w:val="32"/>
        </w:rPr>
      </w:pPr>
      <w:r>
        <w:rPr>
          <w:rFonts w:ascii="Corbel" w:hAnsi="Corbel"/>
          <w:b/>
          <w:sz w:val="32"/>
        </w:rPr>
        <w:t xml:space="preserve"> </w:t>
      </w:r>
    </w:p>
    <w:p>
      <w:pPr>
        <w:pStyle w:val="Normal"/>
        <w:rPr>
          <w:rFonts w:ascii="Corbel" w:hAnsi="Corbel"/>
          <w:sz w:val="32"/>
        </w:rPr>
      </w:pPr>
      <w:r>
        <w:rPr>
          <w:rFonts w:ascii="Corbel" w:hAnsi="Corbel"/>
          <w:sz w:val="24"/>
        </w:rPr>
        <w:t xml:space="preserve">Mix pour 1 échantillon initial                                                    </w:t>
      </w:r>
    </w:p>
    <w:p>
      <w:pPr>
        <w:pStyle w:val="ListParagraph"/>
        <w:numPr>
          <w:ilvl w:val="0"/>
          <w:numId w:val="5"/>
        </w:numPr>
        <w:rPr>
          <w:rFonts w:ascii="Corbel" w:hAnsi="Corbel"/>
          <w:sz w:val="24"/>
        </w:rPr>
      </w:pPr>
      <w:r>
        <w:rPr>
          <w:rFonts w:ascii="Corbel" w:hAnsi="Corbel"/>
          <w:sz w:val="24"/>
        </w:rPr>
        <w:t xml:space="preserve">9.95 µL H2o                                                                     </w:t>
      </w:r>
    </w:p>
    <w:p>
      <w:pPr>
        <w:pStyle w:val="ListParagraph"/>
        <w:numPr>
          <w:ilvl w:val="0"/>
          <w:numId w:val="5"/>
        </w:numPr>
        <w:rPr>
          <w:rFonts w:ascii="Corbel" w:hAnsi="Corbel"/>
          <w:sz w:val="24"/>
        </w:rPr>
      </w:pPr>
      <w:r>
        <w:rPr>
          <w:rFonts w:ascii="Corbel" w:hAnsi="Corbel"/>
          <w:sz w:val="24"/>
        </w:rPr>
        <w:t>5 µL       Tampon Green</w:t>
      </w:r>
    </w:p>
    <w:p>
      <w:pPr>
        <w:pStyle w:val="ListParagraph"/>
        <w:numPr>
          <w:ilvl w:val="0"/>
          <w:numId w:val="5"/>
        </w:numPr>
        <w:rPr>
          <w:rFonts w:ascii="Corbel" w:hAnsi="Corbel"/>
          <w:sz w:val="24"/>
        </w:rPr>
      </w:pPr>
      <w:r>
        <w:rPr>
          <w:rFonts w:ascii="Corbel" w:hAnsi="Corbel"/>
          <w:sz w:val="24"/>
        </w:rPr>
        <w:t xml:space="preserve">3 µL       MgCl2 </w:t>
      </w:r>
    </w:p>
    <w:p>
      <w:pPr>
        <w:pStyle w:val="ListParagraph"/>
        <w:numPr>
          <w:ilvl w:val="0"/>
          <w:numId w:val="5"/>
        </w:numPr>
        <w:rPr>
          <w:rFonts w:ascii="Corbel" w:hAnsi="Corbel"/>
          <w:sz w:val="24"/>
        </w:rPr>
      </w:pPr>
      <w:r>
        <w:rPr>
          <w:rFonts w:ascii="Corbel" w:hAnsi="Corbel"/>
          <w:sz w:val="24"/>
        </w:rPr>
        <w:t xml:space="preserve">1.25 µL Amorce 1 </w:t>
      </w:r>
    </w:p>
    <w:p>
      <w:pPr>
        <w:pStyle w:val="ListParagraph"/>
        <w:numPr>
          <w:ilvl w:val="0"/>
          <w:numId w:val="5"/>
        </w:numPr>
        <w:rPr>
          <w:rFonts w:ascii="Corbel" w:hAnsi="Corbel"/>
          <w:sz w:val="24"/>
        </w:rPr>
      </w:pPr>
      <w:r>
        <w:rPr>
          <w:rFonts w:ascii="Corbel" w:hAnsi="Corbel"/>
          <w:sz w:val="24"/>
        </w:rPr>
        <w:t>1.25 µL Amorce 2</w:t>
      </w:r>
    </w:p>
    <w:p>
      <w:pPr>
        <w:pStyle w:val="ListParagraph"/>
        <w:numPr>
          <w:ilvl w:val="0"/>
          <w:numId w:val="5"/>
        </w:numPr>
        <w:rPr>
          <w:rFonts w:ascii="Corbel" w:hAnsi="Corbel"/>
          <w:sz w:val="24"/>
        </w:rPr>
      </w:pPr>
      <w:r>
        <w:rPr>
          <w:rFonts w:ascii="Corbel" w:hAnsi="Corbel"/>
          <w:sz w:val="24"/>
        </w:rPr>
        <w:t>0.5 µL   dNTP</w:t>
      </w:r>
    </w:p>
    <w:p>
      <w:pPr>
        <w:pStyle w:val="ListParagraph"/>
        <w:numPr>
          <w:ilvl w:val="0"/>
          <w:numId w:val="5"/>
        </w:numPr>
        <w:rPr>
          <w:rFonts w:ascii="Corbel" w:hAnsi="Corbel"/>
          <w:sz w:val="24"/>
        </w:rPr>
      </w:pPr>
      <w:r>
        <w:rPr>
          <w:rFonts w:ascii="Corbel" w:hAnsi="Corbel"/>
          <w:sz w:val="24"/>
        </w:rPr>
        <w:t>0.05µL  GoTaq</w:t>
      </w:r>
    </w:p>
    <w:p>
      <w:pPr>
        <w:pStyle w:val="ListParagraph"/>
        <w:rPr>
          <w:rFonts w:ascii="Corbel" w:hAnsi="Corbel"/>
          <w:sz w:val="24"/>
        </w:rPr>
      </w:pPr>
      <w:r>
        <w:rPr>
          <w:rFonts w:ascii="Corbel" w:hAnsi="Corbel"/>
          <w:sz w:val="24"/>
        </w:rPr>
      </w:r>
    </w:p>
    <w:p>
      <w:pPr>
        <w:pStyle w:val="ListParagraph"/>
        <w:numPr>
          <w:ilvl w:val="0"/>
          <w:numId w:val="5"/>
        </w:numPr>
        <w:rPr>
          <w:rFonts w:ascii="Corbel" w:hAnsi="Corbel"/>
          <w:sz w:val="24"/>
        </w:rPr>
      </w:pPr>
      <w:r>
        <w:rPr>
          <w:rFonts w:ascii="Corbel" w:hAnsi="Corbel"/>
          <w:sz w:val="24"/>
        </w:rPr>
        <w:t>4 µL  cDNAs</w:t>
      </w:r>
    </w:p>
    <w:p>
      <w:pPr>
        <w:pStyle w:val="ListParagraph"/>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t>Préparation tampon TBE à 20- X</w:t>
      </w:r>
    </w:p>
    <w:p>
      <w:pPr>
        <w:pStyle w:val="Normal"/>
        <w:rPr>
          <w:rFonts w:ascii="Corbel" w:hAnsi="Corbel"/>
          <w:sz w:val="24"/>
          <w:szCs w:val="24"/>
        </w:rPr>
      </w:pPr>
      <w:r>
        <w:rPr>
          <w:rFonts w:ascii="Corbel" w:hAnsi="Corbel"/>
          <w:sz w:val="24"/>
          <w:szCs w:val="24"/>
        </w:rPr>
        <w:t>Matériel</w:t>
      </w:r>
    </w:p>
    <w:p>
      <w:pPr>
        <w:pStyle w:val="ListParagraph"/>
        <w:numPr>
          <w:ilvl w:val="0"/>
          <w:numId w:val="6"/>
        </w:numPr>
        <w:rPr>
          <w:rFonts w:ascii="Corbel" w:hAnsi="Corbel"/>
          <w:sz w:val="24"/>
          <w:szCs w:val="24"/>
        </w:rPr>
      </w:pPr>
      <w:r>
        <w:rPr>
          <w:rFonts w:ascii="Corbel" w:hAnsi="Corbel"/>
          <w:sz w:val="24"/>
          <w:szCs w:val="24"/>
        </w:rPr>
        <w:t>Poudre de TBE à 10-X</w:t>
      </w:r>
    </w:p>
    <w:p>
      <w:pPr>
        <w:pStyle w:val="ListParagraph"/>
        <w:numPr>
          <w:ilvl w:val="0"/>
          <w:numId w:val="6"/>
        </w:numPr>
        <w:rPr>
          <w:rFonts w:ascii="Corbel" w:hAnsi="Corbel"/>
          <w:sz w:val="24"/>
          <w:szCs w:val="24"/>
        </w:rPr>
      </w:pPr>
      <w:r>
        <w:rPr>
          <w:rFonts w:ascii="Corbel" w:hAnsi="Corbel"/>
          <w:sz w:val="24"/>
          <w:szCs w:val="24"/>
        </w:rPr>
        <w:t xml:space="preserve">Agitateur magnétique chauffant + barreau aimanté </w:t>
      </w:r>
    </w:p>
    <w:p>
      <w:pPr>
        <w:pStyle w:val="ListParagraph"/>
        <w:numPr>
          <w:ilvl w:val="0"/>
          <w:numId w:val="6"/>
        </w:numPr>
        <w:rPr>
          <w:rFonts w:ascii="Corbel" w:hAnsi="Corbel"/>
          <w:sz w:val="24"/>
          <w:szCs w:val="24"/>
        </w:rPr>
      </w:pPr>
      <w:r>
        <w:rPr>
          <w:rFonts w:ascii="Corbel" w:hAnsi="Corbel"/>
          <w:sz w:val="24"/>
          <w:szCs w:val="24"/>
        </w:rPr>
        <w:t>Eau ultra pure</w:t>
      </w:r>
    </w:p>
    <w:p>
      <w:pPr>
        <w:pStyle w:val="ListParagraph"/>
        <w:numPr>
          <w:ilvl w:val="0"/>
          <w:numId w:val="6"/>
        </w:numPr>
        <w:rPr>
          <w:rFonts w:ascii="Corbel" w:hAnsi="Corbel"/>
          <w:sz w:val="24"/>
          <w:szCs w:val="24"/>
        </w:rPr>
      </w:pPr>
      <w:r>
        <w:rPr>
          <w:rFonts w:ascii="Corbel" w:hAnsi="Corbel"/>
          <w:sz w:val="24"/>
          <w:szCs w:val="24"/>
        </w:rPr>
        <w:t>Eprouvette graduée/ Bécher /Bidon de 20L</w:t>
      </w:r>
    </w:p>
    <w:p>
      <w:pPr>
        <w:pStyle w:val="ListParagraph"/>
        <w:rPr>
          <w:rFonts w:ascii="Corbel" w:hAnsi="Corbel"/>
          <w:sz w:val="24"/>
          <w:szCs w:val="24"/>
        </w:rPr>
      </w:pPr>
      <w:r>
        <w:rPr>
          <w:rFonts w:ascii="Corbel" w:hAnsi="Corbel"/>
          <w:sz w:val="24"/>
          <w:szCs w:val="24"/>
        </w:rPr>
      </w:r>
    </w:p>
    <w:p>
      <w:pPr>
        <w:pStyle w:val="Normal"/>
        <w:rPr>
          <w:rFonts w:ascii="Corbel" w:hAnsi="Corbel"/>
          <w:sz w:val="24"/>
          <w:szCs w:val="24"/>
        </w:rPr>
      </w:pPr>
      <w:r>
        <w:rPr>
          <w:rFonts w:ascii="Corbel" w:hAnsi="Corbel"/>
          <w:sz w:val="24"/>
          <w:szCs w:val="24"/>
        </w:rPr>
        <w:t>A l’aide d’une éprouvette graduée, verser 1 L d’eau ultra pure dans un bécher.</w:t>
      </w:r>
    </w:p>
    <w:p>
      <w:pPr>
        <w:pStyle w:val="Normal"/>
        <w:rPr>
          <w:rFonts w:ascii="Corbel" w:hAnsi="Corbel"/>
          <w:sz w:val="24"/>
          <w:szCs w:val="24"/>
        </w:rPr>
      </w:pPr>
      <w:r>
        <w:rPr>
          <w:rFonts w:ascii="Corbel" w:hAnsi="Corbel"/>
          <w:sz w:val="24"/>
          <w:szCs w:val="24"/>
        </w:rPr>
        <w:t>Vider la totalité du contenu de la poudre de TBE 10 -X dans le bécher. Activer l’agitateur et la chaleur, laisser tourner jusqu’à obtenir un liquide transparent.</w:t>
      </w:r>
    </w:p>
    <w:p>
      <w:pPr>
        <w:pStyle w:val="Normal"/>
        <w:ind w:left="708" w:hanging="0"/>
        <w:rPr>
          <w:rFonts w:ascii="Corbel" w:hAnsi="Corbel"/>
          <w:sz w:val="24"/>
          <w:szCs w:val="24"/>
        </w:rPr>
      </w:pPr>
      <w:r>
        <w:rPr>
          <w:rFonts w:ascii="Corbel" w:hAnsi="Corbel"/>
          <w:sz w:val="24"/>
          <w:szCs w:val="24"/>
        </w:rPr>
        <w:t>Après refroidissement, verser à nouveau la solution dans l’éprouvette. Réajuster à l’eau pour l’équivalent de 1L si nécessaire. Mettre le litre dans le bidon et compléter à l’eau ultra pure au trait de jauge.</w:t>
      </w:r>
    </w:p>
    <w:p>
      <w:pPr>
        <w:pStyle w:val="Normal"/>
        <w:ind w:left="708" w:hanging="0"/>
        <w:rPr>
          <w:rFonts w:ascii="Corbel" w:hAnsi="Corbel"/>
          <w:sz w:val="24"/>
          <w:szCs w:val="24"/>
        </w:rPr>
      </w:pPr>
      <w:r>
        <w:rPr>
          <w:rFonts w:ascii="Corbel" w:hAnsi="Corbel"/>
          <w:sz w:val="24"/>
          <w:szCs w:val="24"/>
        </w:rPr>
      </w:r>
    </w:p>
    <w:p>
      <w:pPr>
        <w:pStyle w:val="Normal"/>
        <w:ind w:left="708" w:hanging="0"/>
        <w:rPr>
          <w:rFonts w:ascii="Corbel" w:hAnsi="Corbel"/>
          <w:sz w:val="24"/>
          <w:szCs w:val="24"/>
        </w:rPr>
      </w:pPr>
      <w:r>
        <w:rPr>
          <w:rFonts w:ascii="Corbel" w:hAnsi="Corbel"/>
          <w:sz w:val="24"/>
          <w:szCs w:val="24"/>
        </w:rPr>
      </w:r>
    </w:p>
    <w:p>
      <w:pPr>
        <w:pStyle w:val="Normal"/>
        <w:rPr>
          <w:rFonts w:ascii="Calibri" w:hAnsi="Calibri" w:cs="Calibri"/>
          <w:b/>
          <w:b/>
          <w:sz w:val="28"/>
        </w:rPr>
      </w:pPr>
      <w:r>
        <w:rPr>
          <w:rFonts w:cs="Calibri"/>
          <w:b/>
          <w:sz w:val="28"/>
        </w:rPr>
        <w:t>REFERENCES BIBLIOGRAPHIQUES</w:t>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sdt>
      <w:sdtPr>
        <w:docPartObj>
          <w:docPartGallery w:val="Bibliographies"/>
          <w:docPartUnique w:val="true"/>
        </w:docPartObj>
        <w:id w:val="1144038718"/>
      </w:sdtPr>
      <w:sdtContent>
        <w:p>
          <w:pPr>
            <w:pStyle w:val="Normal"/>
            <w:rPr>
              <w:rFonts w:ascii="Corbel" w:hAnsi="Corbel"/>
              <w:sz w:val="24"/>
            </w:rPr>
          </w:pPr>
          <w:r>
            <w:rPr/>
            <w:t>Bibliographie</w:t>
          </w:r>
          <w:r>
            <w:rPr>
              <w:rFonts w:ascii="Corbel" w:hAnsi="Corbel"/>
              <w:sz w:val="24"/>
            </w:rPr>
            <w:t xml:space="preserve"> </w:t>
          </w:r>
        </w:p>
        <w:p>
          <w:pPr>
            <w:pStyle w:val="ListParagraph"/>
            <w:numPr>
              <w:ilvl w:val="0"/>
              <w:numId w:val="8"/>
            </w:numPr>
            <w:rPr>
              <w:rFonts w:ascii="Calibri Light" w:hAnsi="Calibri Light" w:cs="Calibri Light" w:asciiTheme="majorHAnsi" w:cstheme="majorHAnsi" w:hAnsiTheme="majorHAnsi"/>
              <w:sz w:val="20"/>
            </w:rPr>
          </w:pPr>
          <w:r>
            <w:rPr>
              <w:rFonts w:cs="Calibri Light" w:ascii="Calibri Light" w:hAnsi="Calibri Light" w:asciiTheme="majorHAnsi" w:cstheme="majorHAnsi" w:hAnsiTheme="majorHAnsi"/>
              <w:sz w:val="20"/>
            </w:rPr>
            <w:t>Denis Tagu ; Stéphanie Jaubert-Possamai ; Agnès Méreau (2018).</w:t>
          </w:r>
          <w:r>
            <w:rPr>
              <w:rFonts w:cs="Calibri Light" w:ascii="Calibri Light" w:hAnsi="Calibri Light" w:asciiTheme="majorHAnsi" w:cstheme="majorHAnsi" w:hAnsiTheme="majorHAnsi"/>
              <w:sz w:val="18"/>
            </w:rPr>
            <w:t xml:space="preserve"> </w:t>
          </w:r>
          <w:r>
            <w:rPr>
              <w:rFonts w:cs="Calibri Light" w:ascii="Calibri Light" w:hAnsi="Calibri Light" w:asciiTheme="majorHAnsi" w:cstheme="majorHAnsi" w:hAnsiTheme="majorHAnsi"/>
              <w:sz w:val="20"/>
            </w:rPr>
            <w:t>Principes des techniques de biologie moléculaire et génomique, 3</w:t>
          </w:r>
          <w:r>
            <w:rPr>
              <w:rFonts w:cs="Calibri Light" w:ascii="Calibri Light" w:hAnsi="Calibri Light" w:asciiTheme="majorHAnsi" w:cstheme="majorHAnsi" w:hAnsiTheme="majorHAnsi"/>
              <w:sz w:val="20"/>
              <w:vertAlign w:val="superscript"/>
            </w:rPr>
            <w:t>e</w:t>
          </w:r>
          <w:r>
            <w:rPr>
              <w:rFonts w:cs="Calibri Light" w:ascii="Calibri Light" w:hAnsi="Calibri Light" w:asciiTheme="majorHAnsi" w:cstheme="majorHAnsi" w:hAnsiTheme="majorHAnsi"/>
              <w:sz w:val="20"/>
            </w:rPr>
            <w:t xml:space="preserve"> édition. Paris : Quæ, 312 p.</w:t>
          </w:r>
        </w:p>
        <w:p>
          <w:pPr>
            <w:pStyle w:val="ListParagraph"/>
            <w:numPr>
              <w:ilvl w:val="0"/>
              <w:numId w:val="8"/>
            </w:numPr>
            <w:rPr>
              <w:rFonts w:ascii="Calibri Light" w:hAnsi="Calibri Light" w:cs="Calibri Light" w:asciiTheme="majorHAnsi" w:cstheme="majorHAnsi" w:hAnsiTheme="majorHAnsi"/>
              <w:sz w:val="20"/>
            </w:rPr>
          </w:pPr>
          <w:r>
            <w:rPr>
              <w:rFonts w:cs="Calibri Light" w:ascii="Calibri Light" w:hAnsi="Calibri Light" w:asciiTheme="majorHAnsi" w:cstheme="majorHAnsi" w:hAnsiTheme="majorHAnsi"/>
              <w:sz w:val="20"/>
            </w:rPr>
            <w:t>Srividya, A., Maiti, B., Chakraborty, A. </w:t>
          </w:r>
          <w:r>
            <w:rPr>
              <w:rFonts w:cs="Calibri Light" w:ascii="Calibri Light" w:hAnsi="Calibri Light" w:asciiTheme="majorHAnsi" w:cstheme="majorHAnsi" w:hAnsiTheme="majorHAnsi"/>
              <w:i/>
              <w:iCs/>
              <w:sz w:val="20"/>
            </w:rPr>
            <w:t>et al.</w:t>
          </w:r>
          <w:r>
            <w:rPr>
              <w:rFonts w:cs="Calibri Light" w:ascii="Calibri Light" w:hAnsi="Calibri Light" w:asciiTheme="majorHAnsi" w:cstheme="majorHAnsi" w:hAnsiTheme="majorHAnsi"/>
              <w:sz w:val="20"/>
            </w:rPr>
            <w:t> Loop Mediated Isothermal Amplification: A Promising Tool for Screening Genetic Mutations. </w:t>
          </w:r>
          <w:r>
            <w:rPr>
              <w:rFonts w:cs="Calibri Light" w:ascii="Calibri Light" w:hAnsi="Calibri Light" w:asciiTheme="majorHAnsi" w:cstheme="majorHAnsi" w:hAnsiTheme="majorHAnsi"/>
              <w:i/>
              <w:iCs/>
              <w:sz w:val="20"/>
            </w:rPr>
            <w:t>Mol Diagn Ther</w:t>
          </w:r>
          <w:r>
            <w:rPr>
              <w:rFonts w:cs="Calibri Light" w:ascii="Calibri Light" w:hAnsi="Calibri Light" w:asciiTheme="majorHAnsi" w:cstheme="majorHAnsi" w:hAnsiTheme="majorHAnsi"/>
              <w:sz w:val="20"/>
            </w:rPr>
            <w:t> </w:t>
          </w:r>
          <w:r>
            <w:rPr>
              <w:rFonts w:cs="Calibri Light" w:ascii="Calibri Light" w:hAnsi="Calibri Light" w:asciiTheme="majorHAnsi" w:cstheme="majorHAnsi" w:hAnsiTheme="majorHAnsi"/>
              <w:b/>
              <w:bCs/>
              <w:sz w:val="20"/>
            </w:rPr>
            <w:t>23, </w:t>
          </w:r>
          <w:r>
            <w:rPr>
              <w:rFonts w:cs="Calibri Light" w:ascii="Calibri Light" w:hAnsi="Calibri Light" w:asciiTheme="majorHAnsi" w:cstheme="majorHAnsi" w:hAnsiTheme="majorHAnsi"/>
              <w:sz w:val="20"/>
            </w:rPr>
            <w:t>723–733 (2019). https://doi.org/10.1007/s40291-019-00422-0</w:t>
          </w:r>
        </w:p>
        <w:p>
          <w:pPr>
            <w:pStyle w:val="ListParagraph"/>
            <w:numPr>
              <w:ilvl w:val="0"/>
              <w:numId w:val="8"/>
            </w:numPr>
            <w:rPr>
              <w:rFonts w:ascii="Calibri Light" w:hAnsi="Calibri Light" w:cs="Calibri Light" w:asciiTheme="majorHAnsi" w:cstheme="majorHAnsi" w:hAnsiTheme="majorHAnsi"/>
              <w:sz w:val="20"/>
            </w:rPr>
          </w:pPr>
          <w:r>
            <w:rPr>
              <w:rFonts w:cs="Calibri Light" w:ascii="Calibri Light" w:hAnsi="Calibri Light" w:asciiTheme="majorHAnsi" w:cstheme="majorHAnsi" w:hAnsiTheme="majorHAnsi"/>
              <w:sz w:val="20"/>
            </w:rPr>
            <w:t>Nagamine K, Hase T, Notomi T. Accelerated reaction by loopmediated isothermal amplifcation using loop primers. Mol CellProbes. 2002;16:223–9.</w:t>
          </w:r>
        </w:p>
        <w:p>
          <w:pPr>
            <w:pStyle w:val="ListParagraph"/>
            <w:tabs>
              <w:tab w:val="clear" w:pos="708"/>
              <w:tab w:val="left" w:pos="3705" w:leader="none"/>
            </w:tabs>
            <w:rPr>
              <w:rFonts w:ascii="Calibri Light" w:hAnsi="Calibri Light" w:cs="Calibri Light" w:asciiTheme="majorHAnsi" w:cstheme="majorHAnsi" w:hAnsiTheme="majorHAnsi"/>
              <w:sz w:val="20"/>
              <w:szCs w:val="20"/>
            </w:rPr>
          </w:pPr>
          <w:r>
            <w:rPr>
              <w:rFonts w:cs="Calibri Light" w:ascii="Calibri Light" w:hAnsi="Calibri Light" w:asciiTheme="majorHAnsi" w:cstheme="majorHAnsi" w:hAnsiTheme="majorHAnsi"/>
              <w:sz w:val="20"/>
              <w:szCs w:val="20"/>
            </w:rPr>
            <w:tab/>
          </w:r>
        </w:p>
        <w:p>
          <w:pPr>
            <w:pStyle w:val="ListParagraph"/>
            <w:numPr>
              <w:ilvl w:val="0"/>
              <w:numId w:val="8"/>
            </w:numPr>
            <w:rPr>
              <w:rFonts w:ascii="Calibri Light" w:hAnsi="Calibri Light" w:cs="Calibri Light" w:asciiTheme="majorHAnsi" w:cstheme="majorHAnsi" w:hAnsiTheme="majorHAnsi"/>
              <w:sz w:val="20"/>
              <w:szCs w:val="20"/>
            </w:rPr>
          </w:pPr>
          <w:r>
            <w:rPr>
              <w:rFonts w:cs="Calibri Light" w:ascii="Calibri Light" w:hAnsi="Calibri Light" w:asciiTheme="majorHAnsi" w:cstheme="majorHAnsi" w:hAnsiTheme="majorHAnsi"/>
              <w:sz w:val="20"/>
              <w:szCs w:val="20"/>
            </w:rPr>
            <w:t>Notomi T, Okayama H, Masubuchi H, Yonekawa T, Watanabe K, Amino N, Hase T. Loop-mediated isothermal amplification of DNA. Nucleic Acids Res. 2000 Jun 15;28(12):E63. doi: 10.1093/nar/28.12.e63. PMID: 10871386; PMCID: PMC102748.</w:t>
          </w:r>
        </w:p>
        <w:p>
          <w:pPr>
            <w:pStyle w:val="ListParagraph"/>
            <w:numPr>
              <w:ilvl w:val="0"/>
              <w:numId w:val="8"/>
            </w:numPr>
            <w:rPr>
              <w:rStyle w:val="InternetLink"/>
              <w:rFonts w:ascii="Calibri Light" w:hAnsi="Calibri Light" w:cs="Calibri Light" w:asciiTheme="majorHAnsi" w:cstheme="majorHAnsi" w:hAnsiTheme="majorHAnsi"/>
              <w:color w:val="auto"/>
              <w:sz w:val="20"/>
              <w:szCs w:val="20"/>
              <w:u w:val="none"/>
            </w:rPr>
          </w:pPr>
          <w:r>
            <w:fldChar w:fldCharType="begin"/>
          </w:r>
          <w:r>
            <w:rPr>
              <w:rStyle w:val="InternetLink"/>
              <w:sz w:val="20"/>
              <w:szCs w:val="20"/>
              <w:rFonts w:cs="Calibri Light" w:ascii="Calibri Light" w:hAnsi="Calibri Light"/>
            </w:rPr>
            <w:instrText> HYPERLINK "https://www.thermofisher.com/order/catalog/product/ND-8000-GL" \l "/ND-8000-GL"</w:instrText>
          </w:r>
          <w:r>
            <w:rPr>
              <w:rStyle w:val="InternetLink"/>
              <w:sz w:val="20"/>
              <w:szCs w:val="20"/>
              <w:rFonts w:cs="Calibri Light" w:ascii="Calibri Light" w:hAnsi="Calibri Light"/>
            </w:rPr>
            <w:fldChar w:fldCharType="separate"/>
          </w:r>
          <w:r>
            <w:rPr>
              <w:rStyle w:val="InternetLink"/>
              <w:rFonts w:cs="Calibri Light" w:ascii="Calibri Light" w:hAnsi="Calibri Light" w:asciiTheme="majorHAnsi" w:cstheme="majorHAnsi" w:hAnsiTheme="majorHAnsi"/>
              <w:sz w:val="20"/>
              <w:szCs w:val="20"/>
            </w:rPr>
            <w:t>https://www.thermofisher.com/order/catalog/product/ND-8000-GL#/ND-8000-GL</w:t>
          </w:r>
          <w:r>
            <w:rPr>
              <w:rStyle w:val="InternetLink"/>
              <w:sz w:val="20"/>
              <w:szCs w:val="20"/>
              <w:rFonts w:cs="Calibri Light" w:ascii="Calibri Light" w:hAnsi="Calibri Light"/>
            </w:rPr>
            <w:fldChar w:fldCharType="end"/>
          </w:r>
        </w:p>
        <w:p>
          <w:pPr>
            <w:pStyle w:val="ListParagraph"/>
            <w:numPr>
              <w:ilvl w:val="0"/>
              <w:numId w:val="8"/>
            </w:numPr>
            <w:rPr>
              <w:rFonts w:ascii="Calibri Light" w:hAnsi="Calibri Light" w:cs="Calibri Light" w:asciiTheme="majorHAnsi" w:cstheme="majorHAnsi" w:hAnsiTheme="majorHAnsi"/>
              <w:sz w:val="20"/>
              <w:szCs w:val="20"/>
            </w:rPr>
          </w:pPr>
          <w:r>
            <w:rPr>
              <w:rFonts w:cs="Calibri Light" w:ascii="Calibri Light" w:hAnsi="Calibri Light" w:asciiTheme="majorHAnsi" w:cstheme="majorHAnsi" w:hAnsiTheme="majorHAnsi"/>
              <w:sz w:val="20"/>
              <w:szCs w:val="20"/>
            </w:rPr>
            <w:t>Rojas EI, Rehner SA, Samuels GJ, Van Bael SA, Herre EA, Cannon P, Chen R, Pang J, Wang R, Zhang Y, Peng YQ, Sha T. Colletotrichum gloeosporioides s.l. associated with Theobroma cacao and other plants in Panama: multilocus phylogenies distinguish host-associated pathogens from asymptomatic endophytes. Mycologia. 2010 Nov-Dec;102(6):1318-38. doi: 10.3852/09-244. Epub 2010 May 27. PMID: 20943565.</w:t>
          </w:r>
        </w:p>
        <w:p>
          <w:pPr>
            <w:pStyle w:val="Normal"/>
            <w:numPr>
              <w:ilvl w:val="0"/>
              <w:numId w:val="8"/>
            </w:numPr>
            <w:shd w:val="clear" w:color="auto" w:fill="FFFFFF"/>
            <w:spacing w:lineRule="auto" w:line="240" w:before="0" w:after="0"/>
            <w:rPr>
              <w:rFonts w:ascii="Calibri Light" w:hAnsi="Calibri Light" w:cs="Calibri Light" w:asciiTheme="majorHAnsi" w:cstheme="majorHAnsi" w:hAnsiTheme="majorHAnsi"/>
              <w:color w:val="333333"/>
              <w:sz w:val="20"/>
              <w:szCs w:val="20"/>
            </w:rPr>
          </w:pPr>
          <w:r>
            <w:rPr>
              <w:rStyle w:val="Authors"/>
              <w:rFonts w:cs="Calibri Light" w:ascii="Calibri Light" w:hAnsi="Calibri Light" w:asciiTheme="majorHAnsi" w:cstheme="majorHAnsi" w:hAnsiTheme="majorHAnsi"/>
              <w:color w:val="333333"/>
              <w:sz w:val="20"/>
              <w:szCs w:val="20"/>
            </w:rPr>
            <w:t>Diogo Nuno Silva, Pedro Talhinhas, Vítor Várzea, Lei Cai, Octávio Salgueiro Paulo &amp; Dora Batista</w:t>
          </w:r>
          <w:r>
            <w:rPr>
              <w:rFonts w:cs="Calibri Light" w:ascii="Calibri Light" w:hAnsi="Calibri Light" w:asciiTheme="majorHAnsi" w:cstheme="majorHAnsi" w:hAnsiTheme="majorHAnsi"/>
              <w:color w:val="333333"/>
              <w:sz w:val="20"/>
              <w:szCs w:val="20"/>
            </w:rPr>
            <w:t> </w:t>
          </w:r>
          <w:r>
            <w:rPr>
              <w:rStyle w:val="Date"/>
              <w:rFonts w:cs="Calibri Light" w:ascii="Calibri Light" w:hAnsi="Calibri Light" w:asciiTheme="majorHAnsi" w:cstheme="majorHAnsi" w:hAnsiTheme="majorHAnsi"/>
              <w:color w:val="333333"/>
              <w:sz w:val="20"/>
              <w:szCs w:val="20"/>
            </w:rPr>
            <w:t>(2012)</w:t>
          </w:r>
          <w:r>
            <w:rPr>
              <w:rFonts w:cs="Calibri Light" w:ascii="Calibri Light" w:hAnsi="Calibri Light" w:asciiTheme="majorHAnsi" w:cstheme="majorHAnsi" w:hAnsiTheme="majorHAnsi"/>
              <w:color w:val="333333"/>
              <w:sz w:val="20"/>
              <w:szCs w:val="20"/>
            </w:rPr>
            <w:t> </w:t>
          </w:r>
          <w:r>
            <w:rPr>
              <w:rStyle w:val="Arttitle"/>
              <w:rFonts w:cs="Calibri Light" w:ascii="Calibri Light" w:hAnsi="Calibri Light" w:asciiTheme="majorHAnsi" w:cstheme="majorHAnsi" w:hAnsiTheme="majorHAnsi"/>
              <w:color w:val="333333"/>
              <w:sz w:val="20"/>
              <w:szCs w:val="20"/>
            </w:rPr>
            <w:t>Application of the </w:t>
          </w:r>
          <w:r>
            <w:rPr>
              <w:rStyle w:val="Arttitle"/>
              <w:rFonts w:cs="Calibri Light" w:ascii="Calibri Light" w:hAnsi="Calibri Light" w:asciiTheme="majorHAnsi" w:cstheme="majorHAnsi" w:hAnsiTheme="majorHAnsi"/>
              <w:i/>
              <w:iCs/>
              <w:color w:val="333333"/>
              <w:sz w:val="20"/>
              <w:szCs w:val="20"/>
            </w:rPr>
            <w:t>Apn2/MAT</w:t>
          </w:r>
          <w:r>
            <w:rPr>
              <w:rStyle w:val="Arttitle"/>
              <w:rFonts w:cs="Calibri Light" w:ascii="Calibri Light" w:hAnsi="Calibri Light" w:asciiTheme="majorHAnsi" w:cstheme="majorHAnsi" w:hAnsiTheme="majorHAnsi"/>
              <w:color w:val="333333"/>
              <w:sz w:val="20"/>
              <w:szCs w:val="20"/>
            </w:rPr>
            <w:t> locus to improve the systematics of the </w:t>
          </w:r>
          <w:r>
            <w:rPr>
              <w:rStyle w:val="Arttitle"/>
              <w:rFonts w:cs="Calibri Light" w:ascii="Calibri Light" w:hAnsi="Calibri Light" w:asciiTheme="majorHAnsi" w:cstheme="majorHAnsi" w:hAnsiTheme="majorHAnsi"/>
              <w:i/>
              <w:iCs/>
              <w:color w:val="333333"/>
              <w:sz w:val="20"/>
              <w:szCs w:val="20"/>
            </w:rPr>
            <w:t>Colletotrichum gloeosporioides</w:t>
          </w:r>
          <w:r>
            <w:rPr>
              <w:rStyle w:val="Arttitle"/>
              <w:rFonts w:cs="Calibri Light" w:ascii="Calibri Light" w:hAnsi="Calibri Light" w:asciiTheme="majorHAnsi" w:cstheme="majorHAnsi" w:hAnsiTheme="majorHAnsi"/>
              <w:color w:val="333333"/>
              <w:sz w:val="20"/>
              <w:szCs w:val="20"/>
            </w:rPr>
            <w:t> complex: an example from coffee (</w:t>
          </w:r>
          <w:r>
            <w:rPr>
              <w:rStyle w:val="Arttitle"/>
              <w:rFonts w:cs="Calibri Light" w:ascii="Calibri Light" w:hAnsi="Calibri Light" w:asciiTheme="majorHAnsi" w:cstheme="majorHAnsi" w:hAnsiTheme="majorHAnsi"/>
              <w:i/>
              <w:iCs/>
              <w:color w:val="333333"/>
              <w:sz w:val="20"/>
              <w:szCs w:val="20"/>
            </w:rPr>
            <w:t>Coffea</w:t>
          </w:r>
          <w:r>
            <w:rPr>
              <w:rStyle w:val="Arttitle"/>
              <w:rFonts w:cs="Calibri Light" w:ascii="Calibri Light" w:hAnsi="Calibri Light" w:asciiTheme="majorHAnsi" w:cstheme="majorHAnsi" w:hAnsiTheme="majorHAnsi"/>
              <w:color w:val="333333"/>
              <w:sz w:val="20"/>
              <w:szCs w:val="20"/>
            </w:rPr>
            <w:t> spp.) hosts,</w:t>
          </w:r>
          <w:r>
            <w:rPr>
              <w:rFonts w:cs="Calibri Light" w:ascii="Calibri Light" w:hAnsi="Calibri Light" w:asciiTheme="majorHAnsi" w:cstheme="majorHAnsi" w:hAnsiTheme="majorHAnsi"/>
              <w:color w:val="333333"/>
              <w:sz w:val="20"/>
              <w:szCs w:val="20"/>
            </w:rPr>
            <w:t> </w:t>
          </w:r>
          <w:r>
            <w:rPr>
              <w:rStyle w:val="Serialtitle"/>
              <w:rFonts w:cs="Calibri Light" w:ascii="Calibri Light" w:hAnsi="Calibri Light" w:asciiTheme="majorHAnsi" w:cstheme="majorHAnsi" w:hAnsiTheme="majorHAnsi"/>
              <w:color w:val="333333"/>
              <w:sz w:val="20"/>
              <w:szCs w:val="20"/>
            </w:rPr>
            <w:t>Mycologia,</w:t>
          </w:r>
          <w:r>
            <w:rPr>
              <w:rFonts w:cs="Calibri Light" w:ascii="Calibri Light" w:hAnsi="Calibri Light" w:asciiTheme="majorHAnsi" w:cstheme="majorHAnsi" w:hAnsiTheme="majorHAnsi"/>
              <w:color w:val="333333"/>
              <w:sz w:val="20"/>
              <w:szCs w:val="20"/>
            </w:rPr>
            <w:t> </w:t>
          </w:r>
          <w:r>
            <w:rPr>
              <w:rStyle w:val="Volumeissue"/>
              <w:rFonts w:cs="Calibri Light" w:ascii="Calibri Light" w:hAnsi="Calibri Light" w:asciiTheme="majorHAnsi" w:cstheme="majorHAnsi" w:hAnsiTheme="majorHAnsi"/>
              <w:color w:val="333333"/>
              <w:sz w:val="20"/>
              <w:szCs w:val="20"/>
            </w:rPr>
            <w:t>104:2,</w:t>
          </w:r>
          <w:r>
            <w:rPr>
              <w:rFonts w:cs="Calibri Light" w:ascii="Calibri Light" w:hAnsi="Calibri Light" w:asciiTheme="majorHAnsi" w:cstheme="majorHAnsi" w:hAnsiTheme="majorHAnsi"/>
              <w:color w:val="333333"/>
              <w:sz w:val="20"/>
              <w:szCs w:val="20"/>
            </w:rPr>
            <w:t> </w:t>
          </w:r>
          <w:r>
            <w:rPr>
              <w:rStyle w:val="Pagerange"/>
              <w:rFonts w:cs="Calibri Light" w:ascii="Calibri Light" w:hAnsi="Calibri Light" w:asciiTheme="majorHAnsi" w:cstheme="majorHAnsi" w:hAnsiTheme="majorHAnsi"/>
              <w:color w:val="333333"/>
              <w:sz w:val="20"/>
              <w:szCs w:val="20"/>
            </w:rPr>
            <w:t>396-409,</w:t>
          </w:r>
          <w:r>
            <w:rPr>
              <w:rFonts w:cs="Calibri Light" w:ascii="Calibri Light" w:hAnsi="Calibri Light" w:asciiTheme="majorHAnsi" w:cstheme="majorHAnsi" w:hAnsiTheme="majorHAnsi"/>
              <w:color w:val="333333"/>
              <w:sz w:val="20"/>
              <w:szCs w:val="20"/>
            </w:rPr>
            <w:t> </w:t>
          </w:r>
          <w:r>
            <w:rPr>
              <w:rStyle w:val="Doilink"/>
              <w:rFonts w:cs="Calibri Light" w:ascii="Calibri Light" w:hAnsi="Calibri Light" w:asciiTheme="majorHAnsi" w:cstheme="majorHAnsi" w:hAnsiTheme="majorHAnsi"/>
              <w:color w:val="333333"/>
              <w:sz w:val="20"/>
              <w:szCs w:val="20"/>
            </w:rPr>
            <w:t>DOI: </w:t>
          </w:r>
          <w:hyperlink r:id="rId6">
            <w:r>
              <w:rPr>
                <w:rStyle w:val="InternetLink"/>
                <w:rFonts w:cs="Calibri Light" w:ascii="Calibri Light" w:hAnsi="Calibri Light" w:asciiTheme="majorHAnsi" w:cstheme="majorHAnsi" w:hAnsiTheme="majorHAnsi"/>
                <w:color w:val="333333"/>
                <w:sz w:val="20"/>
                <w:szCs w:val="20"/>
              </w:rPr>
              <w:t>10.3852/11-145</w:t>
            </w:r>
          </w:hyperlink>
        </w:p>
        <w:p>
          <w:pPr>
            <w:pStyle w:val="ListParagraph"/>
            <w:numPr>
              <w:ilvl w:val="0"/>
              <w:numId w:val="8"/>
            </w:numPr>
            <w:rPr>
              <w:rFonts w:ascii="Calibri Light" w:hAnsi="Calibri Light" w:cs="Calibri Light" w:asciiTheme="majorHAnsi" w:cstheme="majorHAnsi" w:hAnsiTheme="majorHAnsi"/>
              <w:sz w:val="20"/>
              <w:szCs w:val="20"/>
            </w:rPr>
          </w:pPr>
          <w:r>
            <w:rPr>
              <w:rFonts w:cs="Calibri Light" w:ascii="Calibri Light" w:hAnsi="Calibri Light" w:asciiTheme="majorHAnsi" w:cstheme="majorHAnsi" w:hAnsiTheme="majorHAnsi"/>
              <w:sz w:val="20"/>
              <w:szCs w:val="20"/>
            </w:rPr>
            <w:t>Laurent Penet, Sophie Briand, Dalila Petro, François Bussière, Sébastien Guyader,Data on microsatellite markers in Colletotrichum gloeosporioides s.l., polymorphism levels and diversity range,Data in Brief,Volume 12,2017,Pages 644-648,ISSN 2352 3409,https://doi.org/10.1016/j.dib.2017.05.012.(https://www.sciencedirect.com/science/article/pii/S2352340917302032)</w:t>
          </w:r>
        </w:p>
        <w:p>
          <w:pPr>
            <w:pStyle w:val="ListParagraph"/>
            <w:numPr>
              <w:ilvl w:val="0"/>
              <w:numId w:val="8"/>
            </w:numPr>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rPr/>
          </w:pPr>
          <w:r>
            <w:rPr/>
            <w:t xml:space="preserve">     </w:t>
          </w:r>
        </w:p>
      </w:sdtContent>
    </w:sdt>
    <w:p>
      <w:pPr>
        <w:pStyle w:val="ListParagraph"/>
        <w:numPr>
          <w:ilvl w:val="0"/>
          <w:numId w:val="8"/>
        </w:numPr>
        <w:spacing w:before="0" w:after="160"/>
        <w:contextualSpacing/>
        <w:rPr>
          <w:rFonts w:ascii="Corbel" w:hAnsi="Corbel"/>
          <w:sz w:val="24"/>
        </w:rPr>
      </w:pPr>
      <w:r>
        <w:rPr/>
      </w:r>
    </w:p>
    <w:sectPr>
      <w:headerReference w:type="first" r:id="rId7"/>
      <w:footerReference w:type="default" r:id="rId8"/>
      <w:type w:val="nextPage"/>
      <w:pgSz w:w="11906" w:h="16838"/>
      <w:pgMar w:left="1417" w:right="1417" w:header="113" w:top="1417" w:footer="708" w:bottom="1417" w:gutter="0"/>
      <w:pgNumType w:fmt="decimal"/>
      <w:formProt w:val="false"/>
      <w:titlePg/>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Sébastien Guyader" w:date="2021-06-18T07:14:28Z" w:initials="SG">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fr-FR"/>
        </w:rPr>
        <w:t>Déplacer en toute fin d’introduction</w:t>
      </w:r>
    </w:p>
  </w:comment>
  <w:comment w:id="1" w:author="Sébastien Guyader" w:date="2021-06-18T07:16:36Z" w:initials="SG">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fr-FR"/>
        </w:rPr>
        <w:t>Penser à bien mettre tous les noms latin en italique (j’arrête là, il y en a d’autres dans ton rapport)</w:t>
      </w:r>
    </w:p>
  </w:comment>
  <w:comment w:id="2" w:author="Sébastien Guyader" w:date="2021-06-18T07:17:27Z" w:initials="SG">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fr-FR"/>
        </w:rPr>
        <w:t>Source ? Si c’est le site web, donner l’adresse de la page web</w:t>
      </w:r>
    </w:p>
  </w:comment>
  <w:comment w:id="3" w:author="Sébastien Guyader" w:date="2021-06-18T07:37:41Z" w:initials="SG">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fr-FR"/>
        </w:rPr>
        <w:t>Donner aussi la gamme otpimale de température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swiss"/>
    <w:pitch w:val="variable"/>
  </w:font>
  <w:font w:name="Corbel">
    <w:charset w:val="01"/>
    <w:family w:val="roman"/>
    <w:pitch w:val="variable"/>
  </w:font>
  <w:font w:name="Times New Roman">
    <w:charset w:val="01"/>
    <w:family w:val="roman"/>
    <w:pitch w:val="variable"/>
  </w:font>
  <w:font w:name="Arial">
    <w:charset w:val="01"/>
    <w:family w:val="roman"/>
    <w:pitch w:val="variable"/>
  </w:font>
  <w:font w:name="Corbel">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02273524"/>
    </w:sdtPr>
    <w:sdtContent>
      <w:p>
        <w:pPr>
          <w:pStyle w:val="Footer"/>
          <w:jc w:val="center"/>
          <w:rPr/>
        </w:pPr>
        <w:r>
          <w:rPr/>
          <w:fldChar w:fldCharType="begin"/>
        </w:r>
        <w:r>
          <w:rPr/>
          <w:instrText> PAGE </w:instrText>
        </w:r>
        <w:r>
          <w:rPr/>
          <w:fldChar w:fldCharType="separate"/>
        </w:r>
        <w:r>
          <w:rPr/>
          <w:t>26</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rFonts w:ascii="Corbel" w:hAnsi="Corbel"/>
        <w:b/>
        <w:b/>
        <w:sz w:val="28"/>
      </w:rPr>
    </w:pPr>
    <w:r>
      <w:rPr>
        <w:rFonts w:ascii="Corbel" w:hAnsi="Corbel"/>
        <w:b/>
        <w:sz w:val="28"/>
      </w:rPr>
    </w:r>
  </w:p>
  <w:p>
    <w:pPr>
      <w:pStyle w:val="Normal"/>
      <w:rPr>
        <w:rFonts w:ascii="Corbel" w:hAnsi="Corbel"/>
        <w:b/>
        <w:b/>
        <w:sz w:val="28"/>
      </w:rPr>
    </w:pPr>
    <w:r>
      <w:rPr/>
      <w:drawing>
        <wp:inline distT="0" distB="0" distL="0" distR="0">
          <wp:extent cx="1657350" cy="571500"/>
          <wp:effectExtent l="0" t="0" r="0" b="0"/>
          <wp:docPr id="5"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0" descr=""/>
                  <pic:cNvPicPr>
                    <a:picLocks noChangeAspect="1" noChangeArrowheads="1"/>
                  </pic:cNvPicPr>
                </pic:nvPicPr>
                <pic:blipFill>
                  <a:blip r:embed="rId1"/>
                  <a:stretch>
                    <a:fillRect/>
                  </a:stretch>
                </pic:blipFill>
                <pic:spPr bwMode="auto">
                  <a:xfrm>
                    <a:off x="0" y="0"/>
                    <a:ext cx="1657350" cy="571500"/>
                  </a:xfrm>
                  <a:prstGeom prst="rect">
                    <a:avLst/>
                  </a:prstGeom>
                </pic:spPr>
              </pic:pic>
            </a:graphicData>
          </a:graphic>
        </wp:inline>
      </w:drawing>
    </w:r>
    <w:r>
      <w:rPr/>
      <w:drawing>
        <wp:inline distT="0" distB="0" distL="0" distR="0">
          <wp:extent cx="2686050" cy="619125"/>
          <wp:effectExtent l="0" t="0" r="0" b="0"/>
          <wp:docPr id="6"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9" descr=""/>
                  <pic:cNvPicPr>
                    <a:picLocks noChangeAspect="1" noChangeArrowheads="1"/>
                  </pic:cNvPicPr>
                </pic:nvPicPr>
                <pic:blipFill>
                  <a:blip r:embed="rId2"/>
                  <a:stretch>
                    <a:fillRect/>
                  </a:stretch>
                </pic:blipFill>
                <pic:spPr bwMode="auto">
                  <a:xfrm>
                    <a:off x="0" y="0"/>
                    <a:ext cx="2686050" cy="619125"/>
                  </a:xfrm>
                  <a:prstGeom prst="rect">
                    <a:avLst/>
                  </a:prstGeom>
                </pic:spPr>
              </pic:pic>
            </a:graphicData>
          </a:graphic>
        </wp:inline>
      </w:drawing>
    </w:r>
    <w:r>
      <w:rPr/>
      <w:drawing>
        <wp:inline distT="0" distB="0" distL="0" distR="0">
          <wp:extent cx="1047115" cy="871220"/>
          <wp:effectExtent l="0" t="0" r="0" b="0"/>
          <wp:docPr id="7" name="Image 2" descr="C:\Users\wspopotte\AppData\Local\Microsoft\Windows\INetCache\Content.Word\logo 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 descr="C:\Users\wspopotte\AppData\Local\Microsoft\Windows\INetCache\Content.Word\logo ua.PNG"/>
                  <pic:cNvPicPr>
                    <a:picLocks noChangeAspect="1" noChangeArrowheads="1"/>
                  </pic:cNvPicPr>
                </pic:nvPicPr>
                <pic:blipFill>
                  <a:blip r:embed="rId3"/>
                  <a:stretch>
                    <a:fillRect/>
                  </a:stretch>
                </pic:blipFill>
                <pic:spPr bwMode="auto">
                  <a:xfrm>
                    <a:off x="0" y="0"/>
                    <a:ext cx="1047115" cy="871220"/>
                  </a:xfrm>
                  <a:prstGeom prst="rect">
                    <a:avLst/>
                  </a:prstGeom>
                </pic:spPr>
              </pic:pic>
            </a:graphicData>
          </a:graphic>
        </wp:inline>
      </w:drawing>
    </w:r>
  </w:p>
  <w:p>
    <w:pPr>
      <w:pStyle w:val="Normal"/>
      <w:rPr>
        <w:rFonts w:ascii="Corbel" w:hAnsi="Corbel"/>
        <w:b/>
        <w:b/>
        <w:sz w:val="28"/>
      </w:rPr>
    </w:pPr>
    <w:r>
      <w:rPr>
        <w:rFonts w:ascii="Corbel" w:hAnsi="Corbel"/>
        <w:b/>
        <w:sz w:val="28"/>
      </w:rPr>
      <w:t xml:space="preserve">   </w:t>
    </w:r>
    <w:r>
      <w:rPr/>
      <w:drawing>
        <wp:inline distT="0" distB="0" distL="0" distR="0">
          <wp:extent cx="1268095" cy="315595"/>
          <wp:effectExtent l="0" t="0" r="0" b="0"/>
          <wp:docPr id="8" name="Image 1" descr="C:\Users\wspopotte\AppData\Local\Microsoft\Windows\INetCache\Content.Word\Logo-Europe-FED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 descr="C:\Users\wspopotte\AppData\Local\Microsoft\Windows\INetCache\Content.Word\Logo-Europe-FEDER (1).jpg"/>
                  <pic:cNvPicPr>
                    <a:picLocks noChangeAspect="1" noChangeArrowheads="1"/>
                  </pic:cNvPicPr>
                </pic:nvPicPr>
                <pic:blipFill>
                  <a:blip r:embed="rId4"/>
                  <a:stretch>
                    <a:fillRect/>
                  </a:stretch>
                </pic:blipFill>
                <pic:spPr bwMode="auto">
                  <a:xfrm>
                    <a:off x="0" y="0"/>
                    <a:ext cx="1268095" cy="315595"/>
                  </a:xfrm>
                  <a:prstGeom prst="rect">
                    <a:avLst/>
                  </a:prstGeom>
                </pic:spPr>
              </pic:pic>
            </a:graphicData>
          </a:graphic>
        </wp:inline>
      </w:drawing>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Corbel" w:hAnsi="Corbel" w:cs="Corbe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numFmt w:val="bullet"/>
      <w:lvlText w:val="-"/>
      <w:lvlJc w:val="left"/>
      <w:pPr>
        <w:tabs>
          <w:tab w:val="num" w:pos="0"/>
        </w:tabs>
        <w:ind w:left="720" w:hanging="360"/>
      </w:pPr>
      <w:rPr>
        <w:rFonts w:ascii="Corbel" w:hAnsi="Corbel" w:cs="Corbe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numFmt w:val="bullet"/>
      <w:lvlText w:val="-"/>
      <w:lvlJc w:val="left"/>
      <w:pPr>
        <w:tabs>
          <w:tab w:val="num" w:pos="0"/>
        </w:tabs>
        <w:ind w:left="720" w:hanging="360"/>
      </w:pPr>
      <w:rPr>
        <w:rFonts w:ascii="Corbel" w:hAnsi="Corbel" w:cs="Corbe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numFmt w:val="bullet"/>
      <w:lvlText w:val="-"/>
      <w:lvlJc w:val="left"/>
      <w:pPr>
        <w:tabs>
          <w:tab w:val="num" w:pos="0"/>
        </w:tabs>
        <w:ind w:left="720" w:hanging="360"/>
      </w:pPr>
      <w:rPr>
        <w:rFonts w:ascii="Corbel" w:hAnsi="Corbel" w:cs="Corbe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numFmt w:val="bullet"/>
      <w:lvlText w:val="-"/>
      <w:lvlJc w:val="left"/>
      <w:pPr>
        <w:tabs>
          <w:tab w:val="num" w:pos="0"/>
        </w:tabs>
        <w:ind w:left="720" w:hanging="360"/>
      </w:pPr>
      <w:rPr>
        <w:rFonts w:ascii="Corbel" w:hAnsi="Corbel" w:cs="Corbe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71" w:hanging="360"/>
      </w:pPr>
      <w:rPr>
        <w:rFonts w:ascii="Symbol" w:hAnsi="Symbol" w:cs="Symbol" w:hint="default"/>
      </w:rPr>
    </w:lvl>
    <w:lvl w:ilvl="1">
      <w:start w:val="1"/>
      <w:numFmt w:val="bullet"/>
      <w:lvlText w:val="o"/>
      <w:lvlJc w:val="left"/>
      <w:pPr>
        <w:tabs>
          <w:tab w:val="num" w:pos="0"/>
        </w:tabs>
        <w:ind w:left="1491" w:hanging="360"/>
      </w:pPr>
      <w:rPr>
        <w:rFonts w:ascii="Courier New" w:hAnsi="Courier New" w:cs="Courier New" w:hint="default"/>
      </w:rPr>
    </w:lvl>
    <w:lvl w:ilvl="2">
      <w:start w:val="1"/>
      <w:numFmt w:val="bullet"/>
      <w:lvlText w:val=""/>
      <w:lvlJc w:val="left"/>
      <w:pPr>
        <w:tabs>
          <w:tab w:val="num" w:pos="0"/>
        </w:tabs>
        <w:ind w:left="2211" w:hanging="360"/>
      </w:pPr>
      <w:rPr>
        <w:rFonts w:ascii="Wingdings" w:hAnsi="Wingdings" w:cs="Wingdings" w:hint="default"/>
      </w:rPr>
    </w:lvl>
    <w:lvl w:ilvl="3">
      <w:start w:val="1"/>
      <w:numFmt w:val="bullet"/>
      <w:lvlText w:val=""/>
      <w:lvlJc w:val="left"/>
      <w:pPr>
        <w:tabs>
          <w:tab w:val="num" w:pos="0"/>
        </w:tabs>
        <w:ind w:left="2931" w:hanging="360"/>
      </w:pPr>
      <w:rPr>
        <w:rFonts w:ascii="Symbol" w:hAnsi="Symbol" w:cs="Symbol" w:hint="default"/>
      </w:rPr>
    </w:lvl>
    <w:lvl w:ilvl="4">
      <w:start w:val="1"/>
      <w:numFmt w:val="bullet"/>
      <w:lvlText w:val="o"/>
      <w:lvlJc w:val="left"/>
      <w:pPr>
        <w:tabs>
          <w:tab w:val="num" w:pos="0"/>
        </w:tabs>
        <w:ind w:left="3651" w:hanging="360"/>
      </w:pPr>
      <w:rPr>
        <w:rFonts w:ascii="Courier New" w:hAnsi="Courier New" w:cs="Courier New" w:hint="default"/>
      </w:rPr>
    </w:lvl>
    <w:lvl w:ilvl="5">
      <w:start w:val="1"/>
      <w:numFmt w:val="bullet"/>
      <w:lvlText w:val=""/>
      <w:lvlJc w:val="left"/>
      <w:pPr>
        <w:tabs>
          <w:tab w:val="num" w:pos="0"/>
        </w:tabs>
        <w:ind w:left="4371" w:hanging="360"/>
      </w:pPr>
      <w:rPr>
        <w:rFonts w:ascii="Wingdings" w:hAnsi="Wingdings" w:cs="Wingdings" w:hint="default"/>
      </w:rPr>
    </w:lvl>
    <w:lvl w:ilvl="6">
      <w:start w:val="1"/>
      <w:numFmt w:val="bullet"/>
      <w:lvlText w:val=""/>
      <w:lvlJc w:val="left"/>
      <w:pPr>
        <w:tabs>
          <w:tab w:val="num" w:pos="0"/>
        </w:tabs>
        <w:ind w:left="5091" w:hanging="360"/>
      </w:pPr>
      <w:rPr>
        <w:rFonts w:ascii="Symbol" w:hAnsi="Symbol" w:cs="Symbol" w:hint="default"/>
      </w:rPr>
    </w:lvl>
    <w:lvl w:ilvl="7">
      <w:start w:val="1"/>
      <w:numFmt w:val="bullet"/>
      <w:lvlText w:val="o"/>
      <w:lvlJc w:val="left"/>
      <w:pPr>
        <w:tabs>
          <w:tab w:val="num" w:pos="0"/>
        </w:tabs>
        <w:ind w:left="5811" w:hanging="360"/>
      </w:pPr>
      <w:rPr>
        <w:rFonts w:ascii="Courier New" w:hAnsi="Courier New" w:cs="Courier New" w:hint="default"/>
      </w:rPr>
    </w:lvl>
    <w:lvl w:ilvl="8">
      <w:start w:val="1"/>
      <w:numFmt w:val="bullet"/>
      <w:lvlText w:val=""/>
      <w:lvlJc w:val="left"/>
      <w:pPr>
        <w:tabs>
          <w:tab w:val="num" w:pos="0"/>
        </w:tabs>
        <w:ind w:left="6531"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decimal"/>
      <w:lvlText w:val="%1."/>
      <w:lvlJc w:val="left"/>
      <w:pPr>
        <w:tabs>
          <w:tab w:val="num" w:pos="0"/>
        </w:tabs>
        <w:ind w:left="1050" w:hanging="360"/>
      </w:pPr>
    </w:lvl>
    <w:lvl w:ilvl="1">
      <w:start w:val="1"/>
      <w:numFmt w:val="lowerLetter"/>
      <w:lvlText w:val="%2."/>
      <w:lvlJc w:val="left"/>
      <w:pPr>
        <w:tabs>
          <w:tab w:val="num" w:pos="0"/>
        </w:tabs>
        <w:ind w:left="1770" w:hanging="360"/>
      </w:pPr>
    </w:lvl>
    <w:lvl w:ilvl="2">
      <w:start w:val="1"/>
      <w:numFmt w:val="lowerRoman"/>
      <w:lvlText w:val="%3."/>
      <w:lvlJc w:val="right"/>
      <w:pPr>
        <w:tabs>
          <w:tab w:val="num" w:pos="0"/>
        </w:tabs>
        <w:ind w:left="2490" w:hanging="180"/>
      </w:pPr>
    </w:lvl>
    <w:lvl w:ilvl="3">
      <w:start w:val="1"/>
      <w:numFmt w:val="decimal"/>
      <w:lvlText w:val="%4."/>
      <w:lvlJc w:val="left"/>
      <w:pPr>
        <w:tabs>
          <w:tab w:val="num" w:pos="0"/>
        </w:tabs>
        <w:ind w:left="3210" w:hanging="360"/>
      </w:pPr>
    </w:lvl>
    <w:lvl w:ilvl="4">
      <w:start w:val="1"/>
      <w:numFmt w:val="lowerLetter"/>
      <w:lvlText w:val="%5."/>
      <w:lvlJc w:val="left"/>
      <w:pPr>
        <w:tabs>
          <w:tab w:val="num" w:pos="0"/>
        </w:tabs>
        <w:ind w:left="3930" w:hanging="360"/>
      </w:pPr>
    </w:lvl>
    <w:lvl w:ilvl="5">
      <w:start w:val="1"/>
      <w:numFmt w:val="lowerRoman"/>
      <w:lvlText w:val="%6."/>
      <w:lvlJc w:val="right"/>
      <w:pPr>
        <w:tabs>
          <w:tab w:val="num" w:pos="0"/>
        </w:tabs>
        <w:ind w:left="4650" w:hanging="180"/>
      </w:pPr>
    </w:lvl>
    <w:lvl w:ilvl="6">
      <w:start w:val="1"/>
      <w:numFmt w:val="decimal"/>
      <w:lvlText w:val="%7."/>
      <w:lvlJc w:val="left"/>
      <w:pPr>
        <w:tabs>
          <w:tab w:val="num" w:pos="0"/>
        </w:tabs>
        <w:ind w:left="5370" w:hanging="360"/>
      </w:pPr>
    </w:lvl>
    <w:lvl w:ilvl="7">
      <w:start w:val="1"/>
      <w:numFmt w:val="lowerLetter"/>
      <w:lvlText w:val="%8."/>
      <w:lvlJc w:val="left"/>
      <w:pPr>
        <w:tabs>
          <w:tab w:val="num" w:pos="0"/>
        </w:tabs>
        <w:ind w:left="6090" w:hanging="360"/>
      </w:pPr>
    </w:lvl>
    <w:lvl w:ilvl="8">
      <w:start w:val="1"/>
      <w:numFmt w:val="lowerRoman"/>
      <w:lvlText w:val="%9."/>
      <w:lvlJc w:val="right"/>
      <w:pPr>
        <w:tabs>
          <w:tab w:val="num" w:pos="0"/>
        </w:tabs>
        <w:ind w:left="6810" w:hanging="180"/>
      </w:p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85"/>
  <w:trackRevision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Heading1">
    <w:name w:val="Heading 1"/>
    <w:basedOn w:val="Normal"/>
    <w:next w:val="Normal"/>
    <w:link w:val="Titre1Car"/>
    <w:uiPriority w:val="9"/>
    <w:qFormat/>
    <w:rsid w:val="0011301a"/>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lang w:eastAsia="fr-FR"/>
    </w:rPr>
  </w:style>
  <w:style w:type="paragraph" w:styleId="Heading2">
    <w:name w:val="Heading 2"/>
    <w:basedOn w:val="Normal"/>
    <w:next w:val="Normal"/>
    <w:link w:val="Titre2Car"/>
    <w:uiPriority w:val="9"/>
    <w:semiHidden/>
    <w:unhideWhenUsed/>
    <w:qFormat/>
    <w:rsid w:val="009b5356"/>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unhideWhenUsed/>
    <w:qFormat/>
    <w:rPr/>
  </w:style>
  <w:style w:type="character" w:styleId="EntteCar" w:customStyle="1">
    <w:name w:val="En-tête Car"/>
    <w:basedOn w:val="DefaultParagraphFont"/>
    <w:link w:val="En-tte"/>
    <w:uiPriority w:val="99"/>
    <w:qFormat/>
    <w:rsid w:val="009156d8"/>
    <w:rPr/>
  </w:style>
  <w:style w:type="character" w:styleId="PieddepageCar" w:customStyle="1">
    <w:name w:val="Pied de page Car"/>
    <w:basedOn w:val="DefaultParagraphFont"/>
    <w:link w:val="Pieddepage"/>
    <w:uiPriority w:val="99"/>
    <w:qFormat/>
    <w:rsid w:val="009156d8"/>
    <w:rPr/>
  </w:style>
  <w:style w:type="character" w:styleId="TitreCar" w:customStyle="1">
    <w:name w:val="Titre Car"/>
    <w:basedOn w:val="DefaultParagraphFont"/>
    <w:link w:val="Titre"/>
    <w:uiPriority w:val="10"/>
    <w:qFormat/>
    <w:rsid w:val="008c4346"/>
    <w:rPr>
      <w:rFonts w:ascii="Calibri Light" w:hAnsi="Calibri Light" w:eastAsia="" w:cs="" w:asciiTheme="majorHAnsi" w:cstheme="majorBidi" w:eastAsiaTheme="majorEastAsia" w:hAnsiTheme="majorHAnsi"/>
      <w:spacing w:val="-10"/>
      <w:kern w:val="2"/>
      <w:sz w:val="56"/>
      <w:szCs w:val="56"/>
    </w:rPr>
  </w:style>
  <w:style w:type="character" w:styleId="Titre1Car" w:customStyle="1">
    <w:name w:val="Titre 1 Car"/>
    <w:basedOn w:val="DefaultParagraphFont"/>
    <w:link w:val="Titre1"/>
    <w:uiPriority w:val="9"/>
    <w:qFormat/>
    <w:rsid w:val="0011301a"/>
    <w:rPr>
      <w:rFonts w:ascii="Calibri Light" w:hAnsi="Calibri Light" w:eastAsia="" w:cs="" w:asciiTheme="majorHAnsi" w:cstheme="majorBidi" w:eastAsiaTheme="majorEastAsia" w:hAnsiTheme="majorHAnsi"/>
      <w:color w:val="2E74B5" w:themeColor="accent1" w:themeShade="bf"/>
      <w:sz w:val="32"/>
      <w:szCs w:val="32"/>
      <w:lang w:eastAsia="fr-FR"/>
    </w:rPr>
  </w:style>
  <w:style w:type="character" w:styleId="InternetLink">
    <w:name w:val="Hyperlink"/>
    <w:basedOn w:val="DefaultParagraphFont"/>
    <w:uiPriority w:val="99"/>
    <w:unhideWhenUsed/>
    <w:rsid w:val="0011301a"/>
    <w:rPr>
      <w:color w:val="0563C1" w:themeColor="hyperlink"/>
      <w:u w:val="single"/>
    </w:rPr>
  </w:style>
  <w:style w:type="character" w:styleId="Titre2Car" w:customStyle="1">
    <w:name w:val="Titre 2 Car"/>
    <w:basedOn w:val="DefaultParagraphFont"/>
    <w:link w:val="Titre2"/>
    <w:uiPriority w:val="9"/>
    <w:semiHidden/>
    <w:qFormat/>
    <w:rsid w:val="009b5356"/>
    <w:rPr>
      <w:rFonts w:ascii="Calibri Light" w:hAnsi="Calibri Light" w:eastAsia="" w:cs="" w:asciiTheme="majorHAnsi" w:cstheme="majorBidi" w:eastAsiaTheme="majorEastAsia" w:hAnsiTheme="majorHAnsi"/>
      <w:color w:val="2E74B5" w:themeColor="accent1" w:themeShade="bf"/>
      <w:sz w:val="26"/>
      <w:szCs w:val="26"/>
    </w:rPr>
  </w:style>
  <w:style w:type="character" w:styleId="Annotationreference">
    <w:name w:val="annotation reference"/>
    <w:basedOn w:val="DefaultParagraphFont"/>
    <w:uiPriority w:val="99"/>
    <w:semiHidden/>
    <w:unhideWhenUsed/>
    <w:qFormat/>
    <w:rsid w:val="005e424d"/>
    <w:rPr>
      <w:sz w:val="16"/>
      <w:szCs w:val="16"/>
    </w:rPr>
  </w:style>
  <w:style w:type="character" w:styleId="CommentaireCar" w:customStyle="1">
    <w:name w:val="Commentaire Car"/>
    <w:basedOn w:val="DefaultParagraphFont"/>
    <w:link w:val="Commentaire"/>
    <w:uiPriority w:val="99"/>
    <w:semiHidden/>
    <w:qFormat/>
    <w:rsid w:val="005e424d"/>
    <w:rPr>
      <w:sz w:val="20"/>
      <w:szCs w:val="20"/>
    </w:rPr>
  </w:style>
  <w:style w:type="character" w:styleId="ObjetducommentaireCar" w:customStyle="1">
    <w:name w:val="Objet du commentaire Car"/>
    <w:basedOn w:val="CommentaireCar"/>
    <w:link w:val="Objetducommentaire"/>
    <w:uiPriority w:val="99"/>
    <w:semiHidden/>
    <w:qFormat/>
    <w:rsid w:val="005e424d"/>
    <w:rPr>
      <w:b/>
      <w:bCs/>
      <w:sz w:val="20"/>
      <w:szCs w:val="20"/>
    </w:rPr>
  </w:style>
  <w:style w:type="character" w:styleId="TextedebullesCar" w:customStyle="1">
    <w:name w:val="Texte de bulles Car"/>
    <w:basedOn w:val="DefaultParagraphFont"/>
    <w:link w:val="Textedebulles"/>
    <w:uiPriority w:val="99"/>
    <w:semiHidden/>
    <w:qFormat/>
    <w:rsid w:val="005e424d"/>
    <w:rPr>
      <w:rFonts w:ascii="Segoe UI" w:hAnsi="Segoe UI" w:cs="Segoe UI"/>
      <w:sz w:val="18"/>
      <w:szCs w:val="18"/>
    </w:rPr>
  </w:style>
  <w:style w:type="character" w:styleId="Authors" w:customStyle="1">
    <w:name w:val="authors"/>
    <w:basedOn w:val="DefaultParagraphFont"/>
    <w:qFormat/>
    <w:rsid w:val="00ae2d58"/>
    <w:rPr/>
  </w:style>
  <w:style w:type="character" w:styleId="Date" w:customStyle="1">
    <w:name w:val="date"/>
    <w:basedOn w:val="DefaultParagraphFont"/>
    <w:qFormat/>
    <w:rsid w:val="00ae2d58"/>
    <w:rPr/>
  </w:style>
  <w:style w:type="character" w:styleId="Arttitle" w:customStyle="1">
    <w:name w:val="art_title"/>
    <w:basedOn w:val="DefaultParagraphFont"/>
    <w:qFormat/>
    <w:rsid w:val="00ae2d58"/>
    <w:rPr/>
  </w:style>
  <w:style w:type="character" w:styleId="Serialtitle" w:customStyle="1">
    <w:name w:val="serial_title"/>
    <w:basedOn w:val="DefaultParagraphFont"/>
    <w:qFormat/>
    <w:rsid w:val="00ae2d58"/>
    <w:rPr/>
  </w:style>
  <w:style w:type="character" w:styleId="Volumeissue" w:customStyle="1">
    <w:name w:val="volume_issue"/>
    <w:basedOn w:val="DefaultParagraphFont"/>
    <w:qFormat/>
    <w:rsid w:val="00ae2d58"/>
    <w:rPr/>
  </w:style>
  <w:style w:type="character" w:styleId="Pagerange" w:customStyle="1">
    <w:name w:val="page_range"/>
    <w:basedOn w:val="DefaultParagraphFont"/>
    <w:qFormat/>
    <w:rsid w:val="00ae2d58"/>
    <w:rPr/>
  </w:style>
  <w:style w:type="character" w:styleId="Doilink" w:customStyle="1">
    <w:name w:val="doi_link"/>
    <w:basedOn w:val="DefaultParagraphFont"/>
    <w:qFormat/>
    <w:rsid w:val="00ae2d58"/>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312859"/>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En-tteCar"/>
    <w:uiPriority w:val="99"/>
    <w:unhideWhenUsed/>
    <w:rsid w:val="009156d8"/>
    <w:pPr>
      <w:tabs>
        <w:tab w:val="clear" w:pos="708"/>
        <w:tab w:val="center" w:pos="4536" w:leader="none"/>
        <w:tab w:val="right" w:pos="9072" w:leader="none"/>
      </w:tabs>
      <w:spacing w:lineRule="auto" w:line="240" w:before="0" w:after="0"/>
    </w:pPr>
    <w:rPr/>
  </w:style>
  <w:style w:type="paragraph" w:styleId="Footer">
    <w:name w:val="Footer"/>
    <w:basedOn w:val="Normal"/>
    <w:link w:val="PieddepageCar"/>
    <w:uiPriority w:val="99"/>
    <w:unhideWhenUsed/>
    <w:rsid w:val="009156d8"/>
    <w:pPr>
      <w:tabs>
        <w:tab w:val="clear" w:pos="708"/>
        <w:tab w:val="center" w:pos="4536" w:leader="none"/>
        <w:tab w:val="right" w:pos="9072" w:leader="none"/>
      </w:tabs>
      <w:spacing w:lineRule="auto" w:line="240" w:before="0" w:after="0"/>
    </w:pPr>
    <w:rPr/>
  </w:style>
  <w:style w:type="paragraph" w:styleId="Title">
    <w:name w:val="Title"/>
    <w:basedOn w:val="Normal"/>
    <w:next w:val="Normal"/>
    <w:link w:val="TitreCar"/>
    <w:uiPriority w:val="10"/>
    <w:qFormat/>
    <w:rsid w:val="008c4346"/>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Annotationtext">
    <w:name w:val="annotation text"/>
    <w:basedOn w:val="Normal"/>
    <w:link w:val="CommentaireCar"/>
    <w:uiPriority w:val="99"/>
    <w:semiHidden/>
    <w:unhideWhenUsed/>
    <w:qFormat/>
    <w:rsid w:val="005e424d"/>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5e424d"/>
    <w:pPr/>
    <w:rPr>
      <w:b/>
      <w:bCs/>
    </w:rPr>
  </w:style>
  <w:style w:type="paragraph" w:styleId="BalloonText">
    <w:name w:val="Balloon Text"/>
    <w:basedOn w:val="Normal"/>
    <w:link w:val="TextedebullesCar"/>
    <w:uiPriority w:val="99"/>
    <w:semiHidden/>
    <w:unhideWhenUsed/>
    <w:qFormat/>
    <w:rsid w:val="005e424d"/>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39"/>
    <w:rsid w:val="0055182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hyperlink" Target="https://doi.org/10.3852/11-145" TargetMode="External"/><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comments" Target="comments.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 Id="rId3" Type="http://schemas.openxmlformats.org/officeDocument/2006/relationships/image" Target="media/image7.png"/><Relationship Id="rId4" Type="http://schemas.openxmlformats.org/officeDocument/2006/relationships/image" Target="media/image8.jpe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78C0F-5DFE-4596-AA77-EBA470098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1563</TotalTime>
  <Application>LibreOffice/7.1.3.2$Linux_X86_64 LibreOffice_project/10$Build-2</Application>
  <AppVersion>15.0000</AppVersion>
  <Pages>26</Pages>
  <Words>4011</Words>
  <Characters>22407</Characters>
  <CharactersWithSpaces>26744</CharactersWithSpaces>
  <Paragraphs>307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2021-06-16T16:44:00Z</dcterms:created>
  <dc:creator>Withley-Shad Popotte</dc:creator>
  <dc:description/>
  <dc:language>en-US</dc:language>
  <cp:lastModifiedBy>Sébastien Guyader</cp:lastModifiedBy>
  <dcterms:modified xsi:type="dcterms:W3CDTF">2021-06-18T07:45:24Z</dcterms:modified>
  <cp:revision>33</cp:revision>
  <dc:subject/>
  <dc:title/>
</cp:coreProperties>
</file>

<file path=docProps/custom.xml><?xml version="1.0" encoding="utf-8"?>
<Properties xmlns="http://schemas.openxmlformats.org/officeDocument/2006/custom-properties" xmlns:vt="http://schemas.openxmlformats.org/officeDocument/2006/docPropsVTypes"/>
</file>