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229596cf37f6d5f97aaf307ccbbe1a125e5ee2f"/>
    <w:p>
      <w:pPr>
        <w:pStyle w:val="Heading1"/>
      </w:pPr>
      <w:r>
        <w:t xml:space="preserve">Selective Freudian Explanations in Political and Media Discourse</w:t>
      </w:r>
    </w:p>
    <w:bookmarkStart w:id="25" w:name="executive-summary"/>
    <w:p>
      <w:pPr>
        <w:pStyle w:val="Heading2"/>
      </w:pPr>
      <w:r>
        <w:t xml:space="preserve">Executive summary</w:t>
      </w:r>
    </w:p>
    <w:p>
      <w:pPr>
        <w:pStyle w:val="FirstParagraph"/>
      </w:pPr>
      <w:r>
        <w:t xml:space="preserve">Freudian vocabulary (repression, libido, sublimation, projection) is widely used in political and media discourse, but it is rarely used in a clinically or methodologically disciplined way. Across multiple public-facing examples (US/UK/EU/global), Freudian terms often function less as testable explanations and more as</w:t>
      </w:r>
      <w:r>
        <w:t xml:space="preserve"> </w:t>
      </w:r>
      <w:r>
        <w:rPr>
          <w:b/>
          <w:bCs/>
        </w:rPr>
        <w:t xml:space="preserve">rhetorical shortcuts</w:t>
      </w:r>
      <w:r>
        <w:t xml:space="preserve">: they turn political disagreement into an inference about opponents’ hidden motives, moral character, or “pathology.”</w:t>
      </w:r>
      <w:r>
        <w:t xml:space="preserve"> </w:t>
      </w:r>
      <w:hyperlink r:id="rId21">
        <w:r>
          <w:rPr>
            <w:rStyle w:val="Hyperlink"/>
          </w:rPr>
          <w:t xml:space="preserve">[1]</w:t>
        </w:r>
      </w:hyperlink>
    </w:p>
    <w:p>
      <w:pPr>
        <w:pStyle w:val="BodyText"/>
      </w:pPr>
      <w:r>
        <w:t xml:space="preserve">A critical pattern is</w:t>
      </w:r>
      <w:r>
        <w:t xml:space="preserve"> </w:t>
      </w:r>
      <w:r>
        <w:rPr>
          <w:b/>
          <w:bCs/>
        </w:rPr>
        <w:t xml:space="preserve">selectivity</w:t>
      </w:r>
      <w:r>
        <w:t xml:space="preserve">: psychoanalytic attributions are disproportionately deployed against</w:t>
      </w:r>
      <w:r>
        <w:t xml:space="preserve"> </w:t>
      </w:r>
      <w:r>
        <w:rPr>
          <w:i/>
          <w:iCs/>
        </w:rPr>
        <w:t xml:space="preserve">out-groups</w:t>
      </w:r>
      <w:r>
        <w:t xml:space="preserve"> </w:t>
      </w:r>
      <w:r>
        <w:t xml:space="preserve">(ideological opponents, stigmatized minorities, foreign adversaries), while</w:t>
      </w:r>
      <w:r>
        <w:t xml:space="preserve"> </w:t>
      </w:r>
      <w:r>
        <w:rPr>
          <w:i/>
          <w:iCs/>
        </w:rPr>
        <w:t xml:space="preserve">in-groups</w:t>
      </w:r>
      <w:r>
        <w:t xml:space="preserve"> </w:t>
      </w:r>
      <w:r>
        <w:t xml:space="preserve">are more often explained via structural constraints (institutions, economic conditions, demographics, policy feedback). This asymmetry is consistent with classic social-psychological findings about motivated reasoning and group-serving attributional bias—mechanisms that make dispositional/psychologizing explanations feel “obvious” about opponents while situational explanations feel “obvious” about one’s own side.</w:t>
      </w:r>
      <w:r>
        <w:t xml:space="preserve"> </w:t>
      </w:r>
      <w:hyperlink r:id="rId22">
        <w:r>
          <w:rPr>
            <w:rStyle w:val="Hyperlink"/>
          </w:rPr>
          <w:t xml:space="preserve">[2]</w:t>
        </w:r>
      </w:hyperlink>
    </w:p>
    <w:p>
      <w:pPr>
        <w:pStyle w:val="BodyText"/>
      </w:pPr>
      <w:r>
        <w:t xml:space="preserve">At the same time,</w:t>
      </w:r>
      <w:r>
        <w:t xml:space="preserve"> </w:t>
      </w:r>
      <w:r>
        <w:rPr>
          <w:b/>
          <w:bCs/>
        </w:rPr>
        <w:t xml:space="preserve">empirical social science does support limited, nontrivial links</w:t>
      </w:r>
      <w:r>
        <w:t xml:space="preserve"> </w:t>
      </w:r>
      <w:r>
        <w:t xml:space="preserve">between mating-market conditions / gender imbalance and political violence or intergroup hostility in specific contexts (e.g., mate-competition fears and anti-refugee hate crime in Germany; gender imbalance and terrorism risk in some cross-national analyses; incel ideology and violent-extremist narratives). These findings strengthen the case for taking sex/gender dynamics seriously—but they also show why casual Freudian “armchair diagnosis” is usually a poor substitute for measured, falsifiable analysis.</w:t>
      </w:r>
      <w:r>
        <w:t xml:space="preserve"> </w:t>
      </w:r>
      <w:hyperlink r:id="rId23">
        <w:r>
          <w:rPr>
            <w:rStyle w:val="Hyperlink"/>
          </w:rPr>
          <w:t xml:space="preserve">[3]</w:t>
        </w:r>
      </w:hyperlink>
    </w:p>
    <w:p>
      <w:pPr>
        <w:pStyle w:val="BodyText"/>
      </w:pPr>
      <w:r>
        <w:t xml:space="preserve">The report below (a) grounds the most-invoked Freudian concepts and major scholarly critiques; (b) documents concrete case studies of selective application with dated quotes and primary sources; (c) synthesizes empirical evidence on sexual frustration/status deprivation and political behavior; (d) summarizes quantitative research on asymmetrical framing (psychological vs structural); and (e) offers recommendations for fairer, evidence-based psychological explanation in public debate.</w:t>
      </w:r>
      <w:r>
        <w:t xml:space="preserve"> </w:t>
      </w:r>
      <w:hyperlink r:id="rId24">
        <w:r>
          <w:rPr>
            <w:rStyle w:val="Hyperlink"/>
          </w:rPr>
          <w:t xml:space="preserve">[4]</w:t>
        </w:r>
      </w:hyperlink>
    </w:p>
    <w:bookmarkEnd w:id="25"/>
    <w:bookmarkStart w:id="33" w:name="theoretical-grounding"/>
    <w:p>
      <w:pPr>
        <w:pStyle w:val="Heading2"/>
      </w:pPr>
      <w:r>
        <w:t xml:space="preserve">Theoretical grounding</w:t>
      </w:r>
    </w:p>
    <w:p>
      <w:pPr>
        <w:pStyle w:val="FirstParagraph"/>
      </w:pPr>
      <w:r>
        <w:t xml:space="preserve">Freudian ideas were developed as a theory of mind and a clinical-metapsychological framework. Even in Freud’s own writing, however, there is explicit warning against naively “scaling up” psychoanalytic concepts from individuals to whole societies: Freud suggests such transfers may be fruitful but stresses they are analogical and “dangerous… to tear [concepts] from the sphere in which they have originated.”</w:t>
      </w:r>
      <w:r>
        <w:t xml:space="preserve"> </w:t>
      </w:r>
      <w:hyperlink r:id="rId26">
        <w:r>
          <w:rPr>
            <w:rStyle w:val="Hyperlink"/>
          </w:rPr>
          <w:t xml:space="preserve">[5]</w:t>
        </w:r>
      </w:hyperlink>
    </w:p>
    <w:bookmarkStart w:id="27" w:name="X49ffaa618d769382b14f853715aadf2a5412e86"/>
    <w:p>
      <w:pPr>
        <w:pStyle w:val="Heading3"/>
      </w:pPr>
      <w:r>
        <w:t xml:space="preserve">Core concepts commonly invoked in public discourse</w:t>
      </w:r>
    </w:p>
    <w:p>
      <w:pPr>
        <w:pStyle w:val="FirstParagraph"/>
      </w:pPr>
      <w:r>
        <w:rPr>
          <w:b/>
          <w:bCs/>
        </w:rPr>
        <w:t xml:space="preserve">Repression.</w:t>
      </w:r>
      <w:r>
        <w:t xml:space="preserve"> </w:t>
      </w:r>
      <w:r>
        <w:t xml:space="preserve">In Freud’s 1915 paper, repression is framed as a “vicissitude” of instinctual impulses under resistance: it is not simple deletion, but a dynamic turning-away from consciousness, requiring ongoing counter-pressure. Freud defines “the essence of repression” as “turning something away… from the conscious.”</w:t>
      </w:r>
      <w:r>
        <w:t xml:space="preserve"> </w:t>
      </w:r>
      <w:hyperlink r:id="rId24">
        <w:r>
          <w:rPr>
            <w:rStyle w:val="Hyperlink"/>
          </w:rPr>
          <w:t xml:space="preserve">[6]</w:t>
        </w:r>
      </w:hyperlink>
      <w:r>
        <w:br/>
      </w:r>
      <w:r>
        <w:t xml:space="preserve">In everyday political talk, “repression” is often flattened into a moralized stereotype (“they’re sexually repressed, therefore hateful”), substituting insinuation for demonstration.</w:t>
      </w:r>
    </w:p>
    <w:p>
      <w:pPr>
        <w:pStyle w:val="BodyText"/>
      </w:pPr>
      <w:r>
        <w:rPr>
          <w:b/>
          <w:bCs/>
        </w:rPr>
        <w:t xml:space="preserve">Libido.</w:t>
      </w:r>
      <w:r>
        <w:t xml:space="preserve"> </w:t>
      </w:r>
      <w:r>
        <w:t xml:space="preserve">In Freud’s account of cultural development, “libidinal development” becomes a template for thinking about how drives are redirected under civilization. Freud explicitly links civilizational processes to “libidinal development” and situates culture within the management and redirection of drives.</w:t>
      </w:r>
      <w:r>
        <w:t xml:space="preserve"> </w:t>
      </w:r>
      <w:hyperlink r:id="rId26">
        <w:r>
          <w:rPr>
            <w:rStyle w:val="Hyperlink"/>
          </w:rPr>
          <w:t xml:space="preserve">[5]</w:t>
        </w:r>
      </w:hyperlink>
      <w:r>
        <w:br/>
      </w:r>
      <w:r>
        <w:t xml:space="preserve">In political commentary, “libido” is frequently used as a vague synonym for “energy,” “desire,” or “resentment,” often without clear operational meaning.</w:t>
      </w:r>
    </w:p>
    <w:p>
      <w:pPr>
        <w:pStyle w:val="BodyText"/>
      </w:pPr>
      <w:r>
        <w:rPr>
          <w:b/>
          <w:bCs/>
        </w:rPr>
        <w:t xml:space="preserve">Sublimation.</w:t>
      </w:r>
      <w:r>
        <w:t xml:space="preserve"> </w:t>
      </w:r>
      <w:r>
        <w:t xml:space="preserve">Freud describes sublimation as central to cultural development: it enables “higher psychical activities, scientific, artistic or ideological” to play a major role in civilized life.</w:t>
      </w:r>
      <w:r>
        <w:t xml:space="preserve"> </w:t>
      </w:r>
      <w:hyperlink r:id="rId26">
        <w:r>
          <w:rPr>
            <w:rStyle w:val="Hyperlink"/>
          </w:rPr>
          <w:t xml:space="preserve">[5]</w:t>
        </w:r>
      </w:hyperlink>
      <w:r>
        <w:br/>
      </w:r>
      <w:r>
        <w:t xml:space="preserve">In media rhetoric, sublimation is often used as a quasi-ironic move (“their politics is just sex redirected”), which can function as derogation rather than explanation.</w:t>
      </w:r>
    </w:p>
    <w:p>
      <w:pPr>
        <w:pStyle w:val="BodyText"/>
      </w:pPr>
      <w:r>
        <w:rPr>
          <w:b/>
          <w:bCs/>
        </w:rPr>
        <w:t xml:space="preserve">Projection.</w:t>
      </w:r>
      <w:r>
        <w:t xml:space="preserve"> </w:t>
      </w:r>
      <w:r>
        <w:t xml:space="preserve">Modern discourse often uses “projection” as a synonym for hypocrisy (“you accuse me because you’re guilty”). Yet empirical and theoretical work distinguishes multiple meanings. A major review notes that “Projection is a popular concept in everyday discourse” and defines it (in a more rigorous sense) as perceiving others as having traits one “inaccurately believes oneself not to have,” while also emphasizing that evidence for classical “defensive projection” is mixed and may require revision.</w:t>
      </w:r>
      <w:r>
        <w:t xml:space="preserve"> </w:t>
      </w:r>
      <w:hyperlink r:id="rId21">
        <w:r>
          <w:rPr>
            <w:rStyle w:val="Hyperlink"/>
          </w:rPr>
          <w:t xml:space="preserve">[7]</w:t>
        </w:r>
      </w:hyperlink>
      <w:r>
        <w:br/>
      </w:r>
      <w:r>
        <w:t xml:space="preserve">This definitional looseness becomes politically consequential: it allows “projection” to serve as a</w:t>
      </w:r>
      <w:r>
        <w:t xml:space="preserve"> </w:t>
      </w:r>
      <w:r>
        <w:rPr>
          <w:b/>
          <w:bCs/>
        </w:rPr>
        <w:t xml:space="preserve">high-status accusation</w:t>
      </w:r>
      <w:r>
        <w:t xml:space="preserve"> </w:t>
      </w:r>
      <w:r>
        <w:t xml:space="preserve">that sounds psychological and definitive while remaining empirically underdetermined.</w:t>
      </w:r>
    </w:p>
    <w:bookmarkEnd w:id="27"/>
    <w:bookmarkStart w:id="32" w:name="X224ea90773c50abf34d1465a1e2e95449d41d8d"/>
    <w:p>
      <w:pPr>
        <w:pStyle w:val="Heading3"/>
      </w:pPr>
      <w:r>
        <w:t xml:space="preserve">Major scholarly critiques relevant to political uses</w:t>
      </w:r>
    </w:p>
    <w:p>
      <w:pPr>
        <w:pStyle w:val="FirstParagraph"/>
      </w:pPr>
      <w:r>
        <w:rPr>
          <w:b/>
          <w:bCs/>
        </w:rPr>
        <w:t xml:space="preserve">Demarcation and testability critiques.</w:t>
      </w:r>
      <w:r>
        <w:t xml:space="preserve"> </w:t>
      </w:r>
      <w:r>
        <w:t xml:space="preserve">Popper’s classic demarcation argument treats psychoanalytic theories as paradigmatically vulnerable to being “consistent with all possible observations,” and thus non-scientific by falsifiability criteria.</w:t>
      </w:r>
      <w:r>
        <w:t xml:space="preserve"> </w:t>
      </w:r>
      <w:hyperlink r:id="rId28">
        <w:r>
          <w:rPr>
            <w:rStyle w:val="Hyperlink"/>
          </w:rPr>
          <w:t xml:space="preserve">[8]</w:t>
        </w:r>
      </w:hyperlink>
      <w:r>
        <w:br/>
      </w:r>
      <w:r>
        <w:t xml:space="preserve">This matters in politics: claims like “X is repression” can be rhetorically powerful precisely because they are hard to falsify in ordinary discourse.</w:t>
      </w:r>
    </w:p>
    <w:p>
      <w:pPr>
        <w:pStyle w:val="BodyText"/>
      </w:pPr>
      <w:r>
        <w:rPr>
          <w:b/>
          <w:bCs/>
        </w:rPr>
        <w:t xml:space="preserve">Methodological critiques of clinical “proof.”</w:t>
      </w:r>
      <w:r>
        <w:t xml:space="preserve"> </w:t>
      </w:r>
      <w:r>
        <w:t xml:space="preserve">Philosophical critiques (exemplified by Grünbaum’s work) argue that retrospective clinical interpretations do not straightforwardly validate causal claims about unconscious motives, because alternative explanations and confirmation dynamics are difficult to rule out.</w:t>
      </w:r>
      <w:r>
        <w:t xml:space="preserve"> </w:t>
      </w:r>
      <w:hyperlink r:id="rId29">
        <w:r>
          <w:rPr>
            <w:rStyle w:val="Hyperlink"/>
          </w:rPr>
          <w:t xml:space="preserve">[9]</w:t>
        </w:r>
      </w:hyperlink>
    </w:p>
    <w:p>
      <w:pPr>
        <w:pStyle w:val="BodyText"/>
      </w:pPr>
      <w:r>
        <w:rPr>
          <w:b/>
          <w:bCs/>
        </w:rPr>
        <w:t xml:space="preserve">Empirical disputes about repression as memory mechanism.</w:t>
      </w:r>
      <w:r>
        <w:t xml:space="preserve"> </w:t>
      </w:r>
      <w:r>
        <w:t xml:space="preserve">In the “memory wars,” prominent reviews argue there is no compelling evidence that people “massively repress” trauma and later reliably recover it, while documenting pathways by which suggestive techniques can generate false memories.</w:t>
      </w:r>
      <w:r>
        <w:t xml:space="preserve"> </w:t>
      </w:r>
      <w:hyperlink r:id="rId30">
        <w:r>
          <w:rPr>
            <w:rStyle w:val="Hyperlink"/>
          </w:rPr>
          <w:t xml:space="preserve">[10]</w:t>
        </w:r>
      </w:hyperlink>
      <w:r>
        <w:br/>
      </w:r>
      <w:r>
        <w:t xml:space="preserve">This is directly relevant when “repression” is invoked to explain political actors’ motives: a historically disputed clinical concept is being repurposed as a confident public diagnosis.</w:t>
      </w:r>
    </w:p>
    <w:p>
      <w:pPr>
        <w:pStyle w:val="BodyText"/>
      </w:pPr>
      <w:r>
        <w:rPr>
          <w:b/>
          <w:bCs/>
        </w:rPr>
        <w:t xml:space="preserve">Feminist and cultural critiques.</w:t>
      </w:r>
      <w:r>
        <w:t xml:space="preserve"> </w:t>
      </w:r>
      <w:r>
        <w:t xml:space="preserve">Within psychoanalytic traditions themselves, feminist critics challenged Freud’s theories of femininity as reflecting male-centered assumptions. A detailed account of debates around Freud’s “penis envy” and Karen Horney</w:t>
      </w:r>
      <w:hyperlink r:id="rId30">
        <w:r>
          <w:rPr>
            <w:rStyle w:val="Hyperlink"/>
          </w:rPr>
          <w:t xml:space="preserve">[11]</w:t>
        </w:r>
      </w:hyperlink>
      <w:r>
        <w:t xml:space="preserve"> </w:t>
      </w:r>
      <w:r>
        <w:t xml:space="preserve">argues that such theory can reproduce the cultural fantasies it purports to explain—an internal critique with direct implications for politicized psychoanalysis.</w:t>
      </w:r>
      <w:r>
        <w:t xml:space="preserve"> </w:t>
      </w:r>
      <w:hyperlink r:id="rId31">
        <w:r>
          <w:rPr>
            <w:rStyle w:val="Hyperlink"/>
          </w:rPr>
          <w:t xml:space="preserve">[12]</w:t>
        </w:r>
      </w:hyperlink>
    </w:p>
    <w:bookmarkEnd w:id="32"/>
    <w:bookmarkEnd w:id="33"/>
    <w:bookmarkStart w:id="48" w:name="Xbcf099dfba7f163087c8d434265a7d4bbf8f215"/>
    <w:p>
      <w:pPr>
        <w:pStyle w:val="Heading2"/>
      </w:pPr>
      <w:r>
        <w:t xml:space="preserve">Documented case studies of selective application</w:t>
      </w:r>
    </w:p>
    <w:p>
      <w:pPr>
        <w:pStyle w:val="FirstParagraph"/>
      </w:pPr>
      <w:r>
        <w:t xml:space="preserve">The cases below are</w:t>
      </w:r>
      <w:r>
        <w:t xml:space="preserve"> </w:t>
      </w:r>
      <w:r>
        <w:rPr>
          <w:b/>
          <w:bCs/>
        </w:rPr>
        <w:t xml:space="preserve">primary-source examples</w:t>
      </w:r>
      <w:r>
        <w:t xml:space="preserve"> </w:t>
      </w:r>
      <w:r>
        <w:t xml:space="preserve">where Freudian concepts are invoked in political/media discourse. The “bias indicators” do not claim hidden intent; they document</w:t>
      </w:r>
      <w:r>
        <w:t xml:space="preserve"> </w:t>
      </w:r>
      <w:r>
        <w:rPr>
          <w:b/>
          <w:bCs/>
        </w:rPr>
        <w:t xml:space="preserve">observable features</w:t>
      </w:r>
      <w:r>
        <w:t xml:space="preserve">: who is psychologized, whether structural factors are treated as primary, and whether the psychoanalytic term functions as analysis or as delegitimizing shorthand.</w:t>
      </w:r>
    </w:p>
    <w:bookmarkStart w:id="45" w:name="X0a4e3b719cb61448984c5b4ece0d4ad37534020"/>
    <w:p>
      <w:pPr>
        <w:pStyle w:val="Heading3"/>
      </w:pPr>
      <w:r>
        <w:t xml:space="preserve">Comparative table of examples and bias indicators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Case</w:t>
            </w:r>
          </w:p>
        </w:tc>
        <w:tc>
          <w:tcPr/>
          <w:p>
            <w:pPr>
              <w:pStyle w:val="Compact"/>
            </w:pPr>
            <w:r>
              <w:t xml:space="preserve">Region</w:t>
            </w:r>
          </w:p>
        </w:tc>
        <w:tc>
          <w:tcPr/>
          <w:p>
            <w:pPr>
              <w:pStyle w:val="Compact"/>
              <w:jc w:val="right"/>
            </w:pPr>
            <w:r>
              <w:t xml:space="preserve">Date</w:t>
            </w:r>
          </w:p>
        </w:tc>
        <w:tc>
          <w:tcPr/>
          <w:p>
            <w:pPr>
              <w:pStyle w:val="Compact"/>
            </w:pPr>
            <w:r>
              <w:t xml:space="preserve">Actor and venue</w:t>
            </w:r>
          </w:p>
        </w:tc>
        <w:tc>
          <w:tcPr/>
          <w:p>
            <w:pPr>
              <w:pStyle w:val="Compact"/>
            </w:pPr>
            <w:r>
              <w:t xml:space="preserve">Freudian concept invoked</w:t>
            </w:r>
          </w:p>
        </w:tc>
        <w:tc>
          <w:tcPr/>
          <w:p>
            <w:pPr>
              <w:pStyle w:val="Compact"/>
            </w:pPr>
            <w:r>
              <w:t xml:space="preserve">Quote (≤25 words)</w:t>
            </w:r>
          </w:p>
        </w:tc>
        <w:tc>
          <w:tcPr/>
          <w:p>
            <w:pPr>
              <w:pStyle w:val="Compact"/>
            </w:pPr>
            <w:r>
              <w:t xml:space="preserve">Primary source</w:t>
            </w:r>
          </w:p>
        </w:tc>
        <w:tc>
          <w:tcPr/>
          <w:p>
            <w:pPr>
              <w:pStyle w:val="Compact"/>
            </w:pPr>
            <w:r>
              <w:t xml:space="preserve">Bias indicators (observable)</w:t>
            </w:r>
          </w:p>
        </w:tc>
      </w:tr>
      <w:tr>
        <w:tc>
          <w:tcPr/>
          <w:p>
            <w:pPr>
              <w:pStyle w:val="Compact"/>
            </w:pPr>
            <w:r>
              <w:t xml:space="preserve">A</w:t>
            </w:r>
          </w:p>
        </w:tc>
        <w:tc>
          <w:tcPr/>
          <w:p>
            <w:pPr>
              <w:pStyle w:val="Compact"/>
            </w:pPr>
            <w:r>
              <w:t xml:space="preserve">United States</w:t>
            </w:r>
            <w:hyperlink r:id="rId34">
              <w:r>
                <w:rPr>
                  <w:rStyle w:val="Hyperlink"/>
                </w:rPr>
                <w:t xml:space="preserve">[13]</w:t>
              </w:r>
            </w:hyperlink>
            <w:r>
              <w:t xml:space="preserve"> </w:t>
            </w:r>
            <w:r>
              <w:t xml:space="preserve">/ Europe</w:t>
            </w:r>
          </w:p>
        </w:tc>
        <w:tc>
          <w:tcPr/>
          <w:p>
            <w:pPr>
              <w:pStyle w:val="Compact"/>
              <w:jc w:val="right"/>
            </w:pPr>
            <w:r>
              <w:t xml:space="preserve">2004-08-01</w:t>
            </w:r>
          </w:p>
        </w:tc>
        <w:tc>
          <w:tcPr/>
          <w:p>
            <w:pPr>
              <w:pStyle w:val="Compact"/>
            </w:pPr>
            <w:r>
              <w:t xml:space="preserve">Walter Laqueur</w:t>
            </w:r>
            <w:hyperlink r:id="rId35">
              <w:r>
                <w:rPr>
                  <w:rStyle w:val="Hyperlink"/>
                </w:rPr>
                <w:t xml:space="preserve">[14]</w:t>
              </w:r>
            </w:hyperlink>
            <w:r>
              <w:t xml:space="preserve"> </w:t>
            </w:r>
            <w:r>
              <w:t xml:space="preserve">at Hoover Institution</w:t>
            </w:r>
            <w:hyperlink r:id="rId26">
              <w:r>
                <w:rPr>
                  <w:rStyle w:val="Hyperlink"/>
                </w:rPr>
                <w:t xml:space="preserve">[15]</w:t>
              </w:r>
            </w:hyperlink>
          </w:p>
        </w:tc>
        <w:tc>
          <w:tcPr/>
          <w:p>
            <w:pPr>
              <w:pStyle w:val="Compact"/>
            </w:pPr>
            <w:r>
              <w:t xml:space="preserve">Repression (sexual repression)</w:t>
            </w:r>
          </w:p>
        </w:tc>
        <w:tc>
          <w:tcPr/>
          <w:p>
            <w:pPr>
              <w:pStyle w:val="Compact"/>
            </w:pPr>
            <w:r>
              <w:t xml:space="preserve">“Feelings of being excluded,</w:t>
            </w:r>
            <w:r>
              <w:t xml:space="preserve"> </w:t>
            </w:r>
            <w:r>
              <w:rPr>
                <w:b/>
                <w:bCs/>
              </w:rPr>
              <w:t xml:space="preserve">sexual repression</w:t>
            </w:r>
            <w:r>
              <w:t xml:space="preserve">… led to free-floating aggression…”</w:t>
            </w:r>
          </w:p>
        </w:tc>
        <w:tc>
          <w:tcPr/>
          <w:p>
            <w:pPr>
              <w:pStyle w:val="Compact"/>
            </w:pPr>
            <w:hyperlink r:id="rId36">
              <w:r>
                <w:rPr>
                  <w:rStyle w:val="Hyperlink"/>
                </w:rPr>
                <w:t xml:space="preserve">[16]</w:t>
              </w:r>
            </w:hyperlink>
          </w:p>
        </w:tc>
        <w:tc>
          <w:tcPr/>
          <w:p>
            <w:pPr>
              <w:pStyle w:val="Compact"/>
            </w:pPr>
            <w:r>
              <w:t xml:space="preserve">Psychologizes immigrant milieu; “taboo” sexual variable inserted without measurement; structural competition acknowledged but individualized affect emphasized</w:t>
            </w:r>
          </w:p>
        </w:tc>
      </w:tr>
      <w:tr>
        <w:tc>
          <w:tcPr/>
          <w:p>
            <w:pPr>
              <w:pStyle w:val="Compact"/>
            </w:pPr>
            <w:r>
              <w:t xml:space="preserve">B</w:t>
            </w:r>
          </w:p>
        </w:tc>
        <w:tc>
          <w:tcPr/>
          <w:p>
            <w:pPr>
              <w:pStyle w:val="Compact"/>
            </w:pPr>
            <w:r>
              <w:t xml:space="preserve">United Kingdom</w:t>
            </w:r>
            <w:hyperlink r:id="rId26">
              <w:r>
                <w:rPr>
                  <w:rStyle w:val="Hyperlink"/>
                </w:rPr>
                <w:t xml:space="preserve">[17]</w:t>
              </w:r>
            </w:hyperlink>
          </w:p>
        </w:tc>
        <w:tc>
          <w:tcPr/>
          <w:p>
            <w:pPr>
              <w:pStyle w:val="Compact"/>
              <w:jc w:val="right"/>
            </w:pPr>
            <w:r>
              <w:t xml:space="preserve">2016-10-26</w:t>
            </w:r>
          </w:p>
        </w:tc>
        <w:tc>
          <w:tcPr/>
          <w:p>
            <w:pPr>
              <w:pStyle w:val="Compact"/>
            </w:pPr>
            <w:r>
              <w:t xml:space="preserve">David Morgan</w:t>
            </w:r>
            <w:hyperlink r:id="rId28">
              <w:r>
                <w:rPr>
                  <w:rStyle w:val="Hyperlink"/>
                </w:rPr>
                <w:t xml:space="preserve">[18]</w:t>
              </w:r>
            </w:hyperlink>
            <w:r>
              <w:t xml:space="preserve"> </w:t>
            </w:r>
            <w:r>
              <w:t xml:space="preserve">on London School of Economics</w:t>
            </w:r>
            <w:hyperlink r:id="rId37">
              <w:r>
                <w:rPr>
                  <w:rStyle w:val="Hyperlink"/>
                </w:rPr>
                <w:t xml:space="preserve">[19]</w:t>
              </w:r>
            </w:hyperlink>
            <w:r>
              <w:t xml:space="preserve"> </w:t>
            </w:r>
            <w:r>
              <w:t xml:space="preserve">blog</w:t>
            </w:r>
          </w:p>
        </w:tc>
        <w:tc>
          <w:tcPr/>
          <w:p>
            <w:pPr>
              <w:pStyle w:val="Compact"/>
            </w:pPr>
            <w:r>
              <w:t xml:space="preserve">Projection / projective identification</w:t>
            </w:r>
          </w:p>
        </w:tc>
        <w:tc>
          <w:tcPr/>
          <w:p>
            <w:pPr>
              <w:pStyle w:val="Compact"/>
            </w:pPr>
            <w:r>
              <w:t xml:space="preserve">“Projective identification… evacuate… into the other… [a] ‘projection bucket’…”</w:t>
            </w:r>
          </w:p>
        </w:tc>
        <w:tc>
          <w:tcPr/>
          <w:p>
            <w:pPr>
              <w:pStyle w:val="Compact"/>
            </w:pPr>
            <w:hyperlink r:id="rId38">
              <w:r>
                <w:rPr>
                  <w:rStyle w:val="Hyperlink"/>
                </w:rPr>
                <w:t xml:space="preserve">[20]</w:t>
              </w:r>
            </w:hyperlink>
          </w:p>
        </w:tc>
        <w:tc>
          <w:tcPr/>
          <w:p>
            <w:pPr>
              <w:pStyle w:val="Compact"/>
            </w:pPr>
            <w:r>
              <w:t xml:space="preserve">Opponent-side xenophobia analyzed psychodynamically; structural inequality is noted but psychoanalytic framing centers “unconscious fear”</w:t>
            </w:r>
          </w:p>
        </w:tc>
      </w:tr>
      <w:tr>
        <w:tc>
          <w:tcPr/>
          <w:p>
            <w:pPr>
              <w:pStyle w:val="Compact"/>
            </w:pPr>
            <w:r>
              <w:t xml:space="preserve">C</w:t>
            </w:r>
          </w:p>
        </w:tc>
        <w:tc>
          <w:tcPr/>
          <w:p>
            <w:pPr>
              <w:pStyle w:val="Compact"/>
            </w:pPr>
            <w:r>
              <w:t xml:space="preserve">EU / transnational</w:t>
            </w:r>
          </w:p>
        </w:tc>
        <w:tc>
          <w:tcPr/>
          <w:p>
            <w:pPr>
              <w:pStyle w:val="Compact"/>
              <w:jc w:val="right"/>
            </w:pPr>
            <w:r>
              <w:t xml:space="preserve">2019-08-19</w:t>
            </w:r>
          </w:p>
        </w:tc>
        <w:tc>
          <w:tcPr/>
          <w:p>
            <w:pPr>
              <w:pStyle w:val="Compact"/>
            </w:pPr>
            <w:r>
              <w:t xml:space="preserve">Robin Wilson</w:t>
            </w:r>
            <w:hyperlink r:id="rId28">
              <w:r>
                <w:rPr>
                  <w:rStyle w:val="Hyperlink"/>
                </w:rPr>
                <w:t xml:space="preserve">[21]</w:t>
              </w:r>
            </w:hyperlink>
            <w:r>
              <w:t xml:space="preserve"> </w:t>
            </w:r>
            <w:r>
              <w:t xml:space="preserve">at Euronews</w:t>
            </w:r>
            <w:hyperlink r:id="rId39">
              <w:r>
                <w:rPr>
                  <w:rStyle w:val="Hyperlink"/>
                </w:rPr>
                <w:t xml:space="preserve">[22]</w:t>
              </w:r>
            </w:hyperlink>
          </w:p>
        </w:tc>
        <w:tc>
          <w:tcPr/>
          <w:p>
            <w:pPr>
              <w:pStyle w:val="Compact"/>
            </w:pPr>
            <w:r>
              <w:t xml:space="preserve">Projection</w:t>
            </w:r>
          </w:p>
        </w:tc>
        <w:tc>
          <w:tcPr/>
          <w:p>
            <w:pPr>
              <w:pStyle w:val="Compact"/>
            </w:pPr>
            <w:r>
              <w:t xml:space="preserve">“A key trait… is…</w:t>
            </w:r>
            <w:r>
              <w:t xml:space="preserve"> </w:t>
            </w:r>
            <w:r>
              <w:rPr>
                <w:b/>
                <w:bCs/>
              </w:rPr>
              <w:t xml:space="preserve">Freudian projection</w:t>
            </w:r>
            <w:r>
              <w:t xml:space="preserve">…”</w:t>
            </w:r>
          </w:p>
        </w:tc>
        <w:tc>
          <w:tcPr/>
          <w:p>
            <w:pPr>
              <w:pStyle w:val="Compact"/>
            </w:pPr>
            <w:hyperlink r:id="rId40">
              <w:r>
                <w:rPr>
                  <w:rStyle w:val="Hyperlink"/>
                </w:rPr>
                <w:t xml:space="preserve">[23]</w:t>
              </w:r>
            </w:hyperlink>
          </w:p>
        </w:tc>
        <w:tc>
          <w:tcPr/>
          <w:p>
            <w:pPr>
              <w:pStyle w:val="Compact"/>
            </w:pPr>
            <w:r>
              <w:t xml:space="preserve">Broad “far-right populists” pathologized via projection; structural causes appear later, but projection foregrounds moral-psych diagnosis</w:t>
            </w:r>
          </w:p>
        </w:tc>
      </w:tr>
      <w:tr>
        <w:tc>
          <w:tcPr/>
          <w:p>
            <w:pPr>
              <w:pStyle w:val="Compact"/>
            </w:pPr>
            <w:r>
              <w:t xml:space="preserve">D</w:t>
            </w:r>
          </w:p>
        </w:tc>
        <w:tc>
          <w:tcPr/>
          <w:p>
            <w:pPr>
              <w:pStyle w:val="Compact"/>
            </w:pPr>
            <w:r>
              <w:t xml:space="preserve">Global (India)</w:t>
            </w:r>
          </w:p>
        </w:tc>
        <w:tc>
          <w:tcPr/>
          <w:p>
            <w:pPr>
              <w:pStyle w:val="Compact"/>
              <w:jc w:val="right"/>
            </w:pPr>
            <w:r>
              <w:t xml:space="preserve">2020-07-03</w:t>
            </w:r>
          </w:p>
        </w:tc>
        <w:tc>
          <w:tcPr/>
          <w:p>
            <w:pPr>
              <w:pStyle w:val="Compact"/>
            </w:pPr>
            <w:r>
              <w:t xml:space="preserve">Hannah Ellis-Petersen</w:t>
            </w:r>
            <w:hyperlink r:id="rId28">
              <w:r>
                <w:rPr>
                  <w:rStyle w:val="Hyperlink"/>
                </w:rPr>
                <w:t xml:space="preserve">[24]</w:t>
              </w:r>
            </w:hyperlink>
            <w:r>
              <w:t xml:space="preserve"> </w:t>
            </w:r>
            <w:r>
              <w:t xml:space="preserve">at The Guardian</w:t>
            </w:r>
            <w:hyperlink r:id="rId41">
              <w:r>
                <w:rPr>
                  <w:rStyle w:val="Hyperlink"/>
                </w:rPr>
                <w:t xml:space="preserve">[25]</w:t>
              </w:r>
            </w:hyperlink>
          </w:p>
        </w:tc>
        <w:tc>
          <w:tcPr/>
          <w:p>
            <w:pPr>
              <w:pStyle w:val="Compact"/>
            </w:pPr>
            <w:r>
              <w:t xml:space="preserve">Repression (sexual repression)</w:t>
            </w:r>
          </w:p>
        </w:tc>
        <w:tc>
          <w:tcPr/>
          <w:p>
            <w:pPr>
              <w:pStyle w:val="Compact"/>
            </w:pPr>
            <w:r>
              <w:t xml:space="preserve">“…touched… issues of teenage sexuality,</w:t>
            </w:r>
            <w:r>
              <w:t xml:space="preserve"> </w:t>
            </w:r>
            <w:r>
              <w:rPr>
                <w:b/>
                <w:bCs/>
              </w:rPr>
              <w:t xml:space="preserve">sexual repression</w:t>
            </w:r>
            <w:r>
              <w:t xml:space="preserve"> </w:t>
            </w:r>
            <w:r>
              <w:t xml:space="preserve">and… double standards…”</w:t>
            </w:r>
          </w:p>
        </w:tc>
        <w:tc>
          <w:tcPr/>
          <w:p>
            <w:pPr>
              <w:pStyle w:val="Compact"/>
            </w:pPr>
            <w:hyperlink r:id="rId42">
              <w:r>
                <w:rPr>
                  <w:rStyle w:val="Hyperlink"/>
                </w:rPr>
                <w:t xml:space="preserve">[26]</w:t>
              </w:r>
            </w:hyperlink>
          </w:p>
        </w:tc>
        <w:tc>
          <w:tcPr/>
          <w:p>
            <w:pPr>
              <w:pStyle w:val="Compact"/>
            </w:pPr>
            <w:r>
              <w:t xml:space="preserve">Sexual repression framed as a cultural constraint shaping backlash; structural politics also present, but “repression” rhetorically packages norms as psychic blockage</w:t>
            </w:r>
          </w:p>
        </w:tc>
      </w:tr>
      <w:tr>
        <w:tc>
          <w:tcPr/>
          <w:p>
            <w:pPr>
              <w:pStyle w:val="Compact"/>
            </w:pPr>
            <w:r>
              <w:t xml:space="preserve">E</w:t>
            </w:r>
          </w:p>
        </w:tc>
        <w:tc>
          <w:tcPr/>
          <w:p>
            <w:pPr>
              <w:pStyle w:val="Compact"/>
            </w:pPr>
            <w:r>
              <w:t xml:space="preserve">Russia</w:t>
            </w:r>
            <w:hyperlink r:id="rId39">
              <w:r>
                <w:rPr>
                  <w:rStyle w:val="Hyperlink"/>
                </w:rPr>
                <w:t xml:space="preserve">[27]</w:t>
              </w:r>
            </w:hyperlink>
            <w:r>
              <w:t xml:space="preserve"> </w:t>
            </w:r>
            <w:r>
              <w:t xml:space="preserve">/ Ukraine</w:t>
            </w:r>
            <w:hyperlink r:id="rId21">
              <w:r>
                <w:rPr>
                  <w:rStyle w:val="Hyperlink"/>
                </w:rPr>
                <w:t xml:space="preserve">[28]</w:t>
              </w:r>
            </w:hyperlink>
          </w:p>
        </w:tc>
        <w:tc>
          <w:tcPr/>
          <w:p>
            <w:pPr>
              <w:pStyle w:val="Compact"/>
              <w:jc w:val="right"/>
            </w:pPr>
            <w:r>
              <w:t xml:space="preserve">2022-02-25</w:t>
            </w:r>
          </w:p>
        </w:tc>
        <w:tc>
          <w:tcPr/>
          <w:p>
            <w:pPr>
              <w:pStyle w:val="Compact"/>
            </w:pPr>
            <w:r>
              <w:t xml:space="preserve">TIME</w:t>
            </w:r>
            <w:hyperlink r:id="rId21">
              <w:r>
                <w:rPr>
                  <w:rStyle w:val="Hyperlink"/>
                </w:rPr>
                <w:t xml:space="preserve">[29]</w:t>
              </w:r>
            </w:hyperlink>
          </w:p>
        </w:tc>
        <w:tc>
          <w:tcPr/>
          <w:p>
            <w:pPr>
              <w:pStyle w:val="Compact"/>
            </w:pPr>
            <w:r>
              <w:t xml:space="preserve">Projection</w:t>
            </w:r>
          </w:p>
        </w:tc>
        <w:tc>
          <w:tcPr/>
          <w:p>
            <w:pPr>
              <w:pStyle w:val="Compact"/>
            </w:pPr>
            <w:r>
              <w:t xml:space="preserve">“…a… ‘fine twist of</w:t>
            </w:r>
            <w:r>
              <w:t xml:space="preserve"> </w:t>
            </w:r>
            <w:r>
              <w:rPr>
                <w:b/>
                <w:bCs/>
              </w:rPr>
              <w:t xml:space="preserve">Freudian projection</w:t>
            </w:r>
            <w:r>
              <w:t xml:space="preserve">’…”</w:t>
            </w:r>
          </w:p>
        </w:tc>
        <w:tc>
          <w:tcPr/>
          <w:p>
            <w:pPr>
              <w:pStyle w:val="Compact"/>
            </w:pPr>
            <w:hyperlink r:id="rId43">
              <w:r>
                <w:rPr>
                  <w:rStyle w:val="Hyperlink"/>
                </w:rPr>
                <w:t xml:space="preserve">[30]</w:t>
              </w:r>
            </w:hyperlink>
          </w:p>
        </w:tc>
        <w:tc>
          <w:tcPr/>
          <w:p>
            <w:pPr>
              <w:pStyle w:val="Compact"/>
            </w:pPr>
            <w:r>
              <w:t xml:space="preserve">Adversary regime framed via projection; functions as interpretive shorthand for propaganda inversion (“accusation in a mirror”)</w:t>
            </w:r>
          </w:p>
        </w:tc>
      </w:tr>
      <w:tr>
        <w:tc>
          <w:tcPr/>
          <w:p>
            <w:pPr>
              <w:pStyle w:val="Compact"/>
            </w:pPr>
            <w:r>
              <w:t xml:space="preserve">F</w:t>
            </w:r>
          </w:p>
        </w:tc>
        <w:tc>
          <w:tcPr/>
          <w:p>
            <w:pPr>
              <w:pStyle w:val="Compact"/>
            </w:pPr>
            <w:r>
              <w:t xml:space="preserve">United States</w:t>
            </w:r>
            <w:hyperlink r:id="rId34">
              <w:r>
                <w:rPr>
                  <w:rStyle w:val="Hyperlink"/>
                </w:rPr>
                <w:t xml:space="preserve">[13]</w:t>
              </w:r>
            </w:hyperlink>
          </w:p>
        </w:tc>
        <w:tc>
          <w:tcPr/>
          <w:p>
            <w:pPr>
              <w:pStyle w:val="Compact"/>
              <w:jc w:val="right"/>
            </w:pPr>
            <w:r>
              <w:t xml:space="preserve">2017</w:t>
            </w:r>
          </w:p>
        </w:tc>
        <w:tc>
          <w:tcPr/>
          <w:p>
            <w:pPr>
              <w:pStyle w:val="Compact"/>
            </w:pPr>
            <w:r>
              <w:t xml:space="preserve">Douglas Kellner</w:t>
            </w:r>
            <w:hyperlink r:id="rId21">
              <w:r>
                <w:rPr>
                  <w:rStyle w:val="Hyperlink"/>
                </w:rPr>
                <w:t xml:space="preserve">[31]</w:t>
              </w:r>
            </w:hyperlink>
            <w:r>
              <w:t xml:space="preserve"> </w:t>
            </w:r>
            <w:r>
              <w:t xml:space="preserve">in academic journal</w:t>
            </w:r>
          </w:p>
        </w:tc>
        <w:tc>
          <w:tcPr/>
          <w:p>
            <w:pPr>
              <w:pStyle w:val="Compact"/>
            </w:pPr>
            <w:r>
              <w:t xml:space="preserve">Projection</w:t>
            </w:r>
          </w:p>
        </w:tc>
        <w:tc>
          <w:tcPr/>
          <w:p>
            <w:pPr>
              <w:pStyle w:val="Compact"/>
            </w:pPr>
            <w:r>
              <w:t xml:space="preserve">“In a classic example of</w:t>
            </w:r>
            <w:r>
              <w:t xml:space="preserve"> </w:t>
            </w:r>
            <w:r>
              <w:rPr>
                <w:b/>
                <w:bCs/>
              </w:rPr>
              <w:t xml:space="preserve">Freudian projection</w:t>
            </w:r>
            <w:r>
              <w:t xml:space="preserve">…”</w:t>
            </w:r>
          </w:p>
        </w:tc>
        <w:tc>
          <w:tcPr/>
          <w:p>
            <w:pPr>
              <w:pStyle w:val="Compact"/>
            </w:pPr>
            <w:hyperlink r:id="rId44">
              <w:r>
                <w:rPr>
                  <w:rStyle w:val="Hyperlink"/>
                </w:rPr>
                <w:t xml:space="preserve">[32]</w:t>
              </w:r>
            </w:hyperlink>
          </w:p>
        </w:tc>
        <w:tc>
          <w:tcPr/>
          <w:p>
            <w:pPr>
              <w:pStyle w:val="Compact"/>
            </w:pPr>
            <w:r>
              <w:t xml:space="preserve">Psychoanalytic term used to interpret candidate’s rhetoric; operates as a persuasive diagnosis more than a testable mechanism</w:t>
            </w:r>
          </w:p>
        </w:tc>
      </w:tr>
    </w:tbl>
    <w:bookmarkEnd w:id="45"/>
    <w:bookmarkStart w:id="46" w:name="Xb4010c4cbb089be92dbd9629272d259fa7a5f17"/>
    <w:p>
      <w:pPr>
        <w:pStyle w:val="Heading3"/>
      </w:pPr>
      <w:r>
        <w:t xml:space="preserve">Timeline representation of the documented examples</w:t>
      </w:r>
    </w:p>
    <w:p>
      <w:pPr>
        <w:pStyle w:val="SourceCode"/>
      </w:pPr>
      <w:r>
        <w:rPr>
          <w:rStyle w:val="VerbatimChar"/>
        </w:rPr>
        <w:t xml:space="preserve">timeline</w:t>
      </w:r>
      <w:r>
        <w:br/>
      </w:r>
      <w:r>
        <w:rPr>
          <w:rStyle w:val="VerbatimChar"/>
        </w:rPr>
        <w:t xml:space="preserve">    title Public uses of Freudian terms in political/media discourse</w:t>
      </w:r>
      <w:r>
        <w:br/>
      </w:r>
      <w:r>
        <w:rPr>
          <w:rStyle w:val="VerbatimChar"/>
        </w:rPr>
        <w:t xml:space="preserve">    2004-08-01 : Sexual repression invoked in terrorism/immigration analysis</w:t>
      </w:r>
      <w:r>
        <w:br/>
      </w:r>
      <w:r>
        <w:rPr>
          <w:rStyle w:val="VerbatimChar"/>
        </w:rPr>
        <w:t xml:space="preserve">    2016-10-26 : Psychoanalytic "projection bucket" applied to Brexit-era xenophobia</w:t>
      </w:r>
      <w:r>
        <w:br/>
      </w:r>
      <w:r>
        <w:rPr>
          <w:rStyle w:val="VerbatimChar"/>
        </w:rPr>
        <w:t xml:space="preserve">    2017 : Freudian projection used to interpret US campaign rhetoric in academia</w:t>
      </w:r>
      <w:r>
        <w:br/>
      </w:r>
      <w:r>
        <w:rPr>
          <w:rStyle w:val="VerbatimChar"/>
        </w:rPr>
        <w:t xml:space="preserve">    2019-08-19 : Freudian projection framed as trait of contemporary far-right populists</w:t>
      </w:r>
      <w:r>
        <w:br/>
      </w:r>
      <w:r>
        <w:rPr>
          <w:rStyle w:val="VerbatimChar"/>
        </w:rPr>
        <w:t xml:space="preserve">    2020-07-03 : Sexual repression framed within Indian streaming backlash discourse</w:t>
      </w:r>
      <w:r>
        <w:br/>
      </w:r>
      <w:r>
        <w:rPr>
          <w:rStyle w:val="VerbatimChar"/>
        </w:rPr>
        <w:t xml:space="preserve">    2022-02-25 : Freudian projection invoked to interpret wartime propaganda inversion</w:t>
      </w:r>
    </w:p>
    <w:p>
      <w:pPr>
        <w:pStyle w:val="FirstParagraph"/>
      </w:pPr>
      <w:r>
        <w:t xml:space="preserve">(Each timeline entry corresponds to the dated primary-source items cited in the table.)</w:t>
      </w:r>
      <w:r>
        <w:t xml:space="preserve"> </w:t>
      </w:r>
      <w:hyperlink r:id="rId36">
        <w:r>
          <w:rPr>
            <w:rStyle w:val="Hyperlink"/>
          </w:rPr>
          <w:t xml:space="preserve">[33]</w:t>
        </w:r>
      </w:hyperlink>
    </w:p>
    <w:bookmarkEnd w:id="46"/>
    <w:bookmarkStart w:id="47" w:name="X2f12fc553e393ac97a0ee26c3abd5761672ed86"/>
    <w:p>
      <w:pPr>
        <w:pStyle w:val="Heading3"/>
      </w:pPr>
      <w:r>
        <w:t xml:space="preserve">What “selectivity” looks like across the cases</w:t>
      </w:r>
    </w:p>
    <w:p>
      <w:pPr>
        <w:pStyle w:val="FirstParagraph"/>
      </w:pPr>
      <w:r>
        <w:t xml:space="preserve">Across these examples, “Freudian” terms cluster around three recurring moves:</w:t>
      </w:r>
    </w:p>
    <w:p>
      <w:pPr>
        <w:pStyle w:val="Compact"/>
        <w:numPr>
          <w:ilvl w:val="0"/>
          <w:numId w:val="1001"/>
        </w:numPr>
      </w:pPr>
      <w:r>
        <w:rPr>
          <w:b/>
          <w:bCs/>
        </w:rPr>
        <w:t xml:space="preserve">Out-group interiorization:</w:t>
      </w:r>
      <w:r>
        <w:t xml:space="preserve"> </w:t>
      </w:r>
      <w:r>
        <w:t xml:space="preserve">a political phenomenon is re-described as an intrapsychic defense or blockage (projection, repression), shifting attention away from institutions and incentives.</w:t>
      </w:r>
      <w:r>
        <w:t xml:space="preserve"> </w:t>
      </w:r>
      <w:hyperlink r:id="rId38">
        <w:r>
          <w:rPr>
            <w:rStyle w:val="Hyperlink"/>
          </w:rPr>
          <w:t xml:space="preserve">[34]</w:t>
        </w:r>
      </w:hyperlink>
    </w:p>
    <w:p>
      <w:pPr>
        <w:pStyle w:val="Compact"/>
        <w:numPr>
          <w:ilvl w:val="0"/>
          <w:numId w:val="1001"/>
        </w:numPr>
      </w:pPr>
      <w:r>
        <w:rPr>
          <w:b/>
          <w:bCs/>
        </w:rPr>
        <w:t xml:space="preserve">Moral compression:</w:t>
      </w:r>
      <w:r>
        <w:t xml:space="preserve"> </w:t>
      </w:r>
      <w:r>
        <w:t xml:space="preserve">a complex story is compressed into a psychologically loaded label (“they are projecting”), which simultaneously explains and condemns.</w:t>
      </w:r>
      <w:r>
        <w:t xml:space="preserve"> </w:t>
      </w:r>
      <w:hyperlink r:id="rId21">
        <w:r>
          <w:rPr>
            <w:rStyle w:val="Hyperlink"/>
          </w:rPr>
          <w:t xml:space="preserve">[35]</w:t>
        </w:r>
      </w:hyperlink>
    </w:p>
    <w:p>
      <w:pPr>
        <w:pStyle w:val="Compact"/>
        <w:numPr>
          <w:ilvl w:val="0"/>
          <w:numId w:val="1001"/>
        </w:numPr>
      </w:pPr>
      <w:r>
        <w:rPr>
          <w:b/>
          <w:bCs/>
        </w:rPr>
        <w:t xml:space="preserve">Epistemic asymmetry:</w:t>
      </w:r>
      <w:r>
        <w:t xml:space="preserve"> </w:t>
      </w:r>
      <w:r>
        <w:t xml:space="preserve">the speaker’s own coalition is more likely to be granted structural or contextual explanations, while the opponent is explained by hidden motives. This pattern is predicted by motivated reasoning and group-serving attributional bias.</w:t>
      </w:r>
      <w:r>
        <w:t xml:space="preserve"> </w:t>
      </w:r>
      <w:hyperlink r:id="rId22">
        <w:r>
          <w:rPr>
            <w:rStyle w:val="Hyperlink"/>
          </w:rPr>
          <w:t xml:space="preserve">[2]</w:t>
        </w:r>
      </w:hyperlink>
    </w:p>
    <w:bookmarkEnd w:id="47"/>
    <w:bookmarkEnd w:id="48"/>
    <w:bookmarkStart w:id="55" w:name="Xadafc923ef6628f2ed0a1fbd2eed6619c2f063e"/>
    <w:p>
      <w:pPr>
        <w:pStyle w:val="Heading2"/>
      </w:pPr>
      <w:r>
        <w:t xml:space="preserve">Empirical evidence on sexual frustration, status deprivation, and political behavior</w:t>
      </w:r>
    </w:p>
    <w:p>
      <w:pPr>
        <w:pStyle w:val="FirstParagraph"/>
      </w:pPr>
      <w:r>
        <w:t xml:space="preserve">Public discourse often treats “sexual frustration” as a universal master-variable. The strongest empirical literature is more specific: it links</w:t>
      </w:r>
      <w:r>
        <w:t xml:space="preserve"> </w:t>
      </w:r>
      <w:r>
        <w:rPr>
          <w:b/>
          <w:bCs/>
        </w:rPr>
        <w:t xml:space="preserve">mating-market structure</w:t>
      </w:r>
      <w:r>
        <w:t xml:space="preserve">,</w:t>
      </w:r>
      <w:r>
        <w:t xml:space="preserve"> </w:t>
      </w:r>
      <w:r>
        <w:rPr>
          <w:b/>
          <w:bCs/>
        </w:rPr>
        <w:t xml:space="preserve">gender composition</w:t>
      </w:r>
      <w:r>
        <w:t xml:space="preserve">, and</w:t>
      </w:r>
      <w:r>
        <w:t xml:space="preserve"> </w:t>
      </w:r>
      <w:r>
        <w:rPr>
          <w:b/>
          <w:bCs/>
        </w:rPr>
        <w:t xml:space="preserve">status competition</w:t>
      </w:r>
      <w:r>
        <w:t xml:space="preserve"> </w:t>
      </w:r>
      <w:r>
        <w:t xml:space="preserve">to outcomes like hate crime, support for violence, and extremist narratives—but typically through measurable mediators (threat perceptions, ideology, group norms), not via unfalsifiable claims about libido.</w:t>
      </w:r>
    </w:p>
    <w:bookmarkStart w:id="49" w:name="Xeda81d46dadbf8410bd96f0696314a9f49ee5f2"/>
    <w:p>
      <w:pPr>
        <w:pStyle w:val="Heading3"/>
      </w:pPr>
      <w:r>
        <w:t xml:space="preserve">Mating-market competition and anti-outgroup violence</w:t>
      </w:r>
    </w:p>
    <w:p>
      <w:pPr>
        <w:pStyle w:val="FirstParagraph"/>
      </w:pPr>
      <w:r>
        <w:t xml:space="preserve">A large-scale study of Germany argues that</w:t>
      </w:r>
      <w:r>
        <w:t xml:space="preserve"> </w:t>
      </w:r>
      <w:r>
        <w:rPr>
          <w:i/>
          <w:iCs/>
        </w:rPr>
        <w:t xml:space="preserve">mate competition concerns</w:t>
      </w:r>
      <w:r>
        <w:t xml:space="preserve"> </w:t>
      </w:r>
      <w:r>
        <w:t xml:space="preserve">among native men can contribute to anti-refugee hate crime. The authors report that hate crime increases where men face disadvantages in local mating markets, and that survey-measured support for hate crime rises when men fear refugee inflows make it harder to find partners—effects that remain robust even when controlling for job competition and general frustration/aggressiveness.</w:t>
      </w:r>
      <w:r>
        <w:t xml:space="preserve"> </w:t>
      </w:r>
      <w:hyperlink r:id="rId23">
        <w:r>
          <w:rPr>
            <w:rStyle w:val="Hyperlink"/>
          </w:rPr>
          <w:t xml:space="preserve">[36]</w:t>
        </w:r>
      </w:hyperlink>
      <w:r>
        <w:br/>
      </w:r>
      <w:r>
        <w:t xml:space="preserve">This is important for two reasons: it provides a</w:t>
      </w:r>
      <w:r>
        <w:t xml:space="preserve"> </w:t>
      </w:r>
      <w:r>
        <w:rPr>
          <w:b/>
          <w:bCs/>
        </w:rPr>
        <w:t xml:space="preserve">measurable bridge</w:t>
      </w:r>
      <w:r>
        <w:t xml:space="preserve"> </w:t>
      </w:r>
      <w:r>
        <w:t xml:space="preserve">from gender/relationship markets to intergroup aggression, and it shows that “sex” operates through</w:t>
      </w:r>
      <w:r>
        <w:t xml:space="preserve"> </w:t>
      </w:r>
      <w:r>
        <w:rPr>
          <w:b/>
          <w:bCs/>
        </w:rPr>
        <w:t xml:space="preserve">threat perception and competition</w:t>
      </w:r>
      <w:r>
        <w:t xml:space="preserve">, not through a free-floating psychoanalytic diagnosis.</w:t>
      </w:r>
    </w:p>
    <w:bookmarkEnd w:id="49"/>
    <w:bookmarkStart w:id="50" w:name="gender-imbalance-and-terrorism-risk"/>
    <w:p>
      <w:pPr>
        <w:pStyle w:val="Heading3"/>
      </w:pPr>
      <w:r>
        <w:t xml:space="preserve">Gender imbalance and terrorism risk</w:t>
      </w:r>
    </w:p>
    <w:p>
      <w:pPr>
        <w:pStyle w:val="FirstParagraph"/>
      </w:pPr>
      <w:r>
        <w:t xml:space="preserve">Cross-national work has examined how skewed sex ratios (gender imbalance) may relate to terrorism patterns in developing countries. While mechanisms vary by study and identification strategy, this line of research treats demographic imbalance and associated competition as potential contributors to radicalization environments—again, a demographic/structural pathway rather than an all-purpose Freudian story.</w:t>
      </w:r>
      <w:r>
        <w:t xml:space="preserve"> </w:t>
      </w:r>
      <w:hyperlink r:id="rId41">
        <w:r>
          <w:rPr>
            <w:rStyle w:val="Hyperlink"/>
          </w:rPr>
          <w:t xml:space="preserve">[37]</w:t>
        </w:r>
      </w:hyperlink>
    </w:p>
    <w:bookmarkEnd w:id="50"/>
    <w:bookmarkStart w:id="52" w:name="Xfa5eb5058c8eb842746664e0b82f482f0ee1206"/>
    <w:p>
      <w:pPr>
        <w:pStyle w:val="Heading3"/>
      </w:pPr>
      <w:r>
        <w:t xml:space="preserve">Sexual grievance subcultures and extremist narratives</w:t>
      </w:r>
    </w:p>
    <w:p>
      <w:pPr>
        <w:pStyle w:val="FirstParagraph"/>
      </w:pPr>
      <w:r>
        <w:t xml:space="preserve">Research on “incel” (involuntary celibate) violent extremists analyzes misogynistic narratives and entitlement logics that connect sexual exclusion to grievance and, in some cases, violence. A critical discourse analysis of three notorious perpetrators argues these narratives frame women as owing “services” to men and men as entitled to “privileges,” embedding sexual failure inside a broader ideological structure of misogyny and status entitlement.</w:t>
      </w:r>
      <w:r>
        <w:t xml:space="preserve"> </w:t>
      </w:r>
      <w:hyperlink r:id="rId51">
        <w:r>
          <w:rPr>
            <w:rStyle w:val="Hyperlink"/>
          </w:rPr>
          <w:t xml:space="preserve">[38]</w:t>
        </w:r>
      </w:hyperlink>
      <w:r>
        <w:br/>
      </w:r>
      <w:r>
        <w:t xml:space="preserve">This evidence matters because it indicates that “sexual frustration” is rarely “just sex”: it can become politically salient when fused with identity, status hierarchy beliefs, and legitimizing narratives.</w:t>
      </w:r>
    </w:p>
    <w:bookmarkEnd w:id="52"/>
    <w:bookmarkStart w:id="53" w:name="X17fe6e7045de7ffb20d3c16751854d30bd847af"/>
    <w:p>
      <w:pPr>
        <w:pStyle w:val="Heading3"/>
      </w:pPr>
      <w:r>
        <w:t xml:space="preserve">Status deprivation as a robust political driver</w:t>
      </w:r>
    </w:p>
    <w:p>
      <w:pPr>
        <w:pStyle w:val="FirstParagraph"/>
      </w:pPr>
      <w:r>
        <w:t xml:space="preserve">Several influential strands of political science emphasize</w:t>
      </w:r>
      <w:r>
        <w:t xml:space="preserve"> </w:t>
      </w:r>
      <w:r>
        <w:rPr>
          <w:b/>
          <w:bCs/>
        </w:rPr>
        <w:t xml:space="preserve">status threat</w:t>
      </w:r>
      <w:r>
        <w:t xml:space="preserve"> </w:t>
      </w:r>
      <w:r>
        <w:t xml:space="preserve">and</w:t>
      </w:r>
      <w:r>
        <w:t xml:space="preserve"> </w:t>
      </w:r>
      <w:r>
        <w:rPr>
          <w:b/>
          <w:bCs/>
        </w:rPr>
        <w:t xml:space="preserve">relative deprivation</w:t>
      </w:r>
      <w:r>
        <w:t xml:space="preserve"> </w:t>
      </w:r>
      <w:r>
        <w:t xml:space="preserve">as predictors of political choices and polarization. For example, a prominent analysis of the 2016 US election argues “status threat,” not economic hardship, best explains key voting shifts.</w:t>
      </w:r>
      <w:r>
        <w:t xml:space="preserve"> </w:t>
      </w:r>
      <w:hyperlink r:id="rId34">
        <w:r>
          <w:rPr>
            <w:rStyle w:val="Hyperlink"/>
          </w:rPr>
          <w:t xml:space="preserve">[39]</w:t>
        </w:r>
      </w:hyperlink>
      <w:r>
        <w:br/>
      </w:r>
      <w:r>
        <w:t xml:space="preserve">Related work on the populist right argues social-status dynamics arise from interactions between economic and cultural developments, particularly among groups experiencing perceived loss of position and recognition.</w:t>
      </w:r>
      <w:r>
        <w:t xml:space="preserve"> </w:t>
      </w:r>
      <w:hyperlink r:id="rId37">
        <w:r>
          <w:rPr>
            <w:rStyle w:val="Hyperlink"/>
          </w:rPr>
          <w:t xml:space="preserve">[40]</w:t>
        </w:r>
      </w:hyperlink>
    </w:p>
    <w:p>
      <w:pPr>
        <w:pStyle w:val="BodyText"/>
      </w:pPr>
      <w:r>
        <w:t xml:space="preserve">Taken together, the strongest empirical synthesis is:</w:t>
      </w:r>
    </w:p>
    <w:p>
      <w:pPr>
        <w:pStyle w:val="Compact"/>
        <w:numPr>
          <w:ilvl w:val="0"/>
          <w:numId w:val="1002"/>
        </w:numPr>
      </w:pPr>
      <w:r>
        <w:rPr>
          <w:b/>
          <w:bCs/>
        </w:rPr>
        <w:t xml:space="preserve">Sexual or mating-market dynamics</w:t>
      </w:r>
      <w:r>
        <w:t xml:space="preserve"> </w:t>
      </w:r>
      <w:r>
        <w:t xml:space="preserve">can matter (especially via gender imbalance, mate competition cues, and grievance narratives).</w:t>
      </w:r>
      <w:r>
        <w:t xml:space="preserve"> </w:t>
      </w:r>
      <w:hyperlink r:id="rId23">
        <w:r>
          <w:rPr>
            <w:rStyle w:val="Hyperlink"/>
          </w:rPr>
          <w:t xml:space="preserve">[3]</w:t>
        </w:r>
      </w:hyperlink>
    </w:p>
    <w:p>
      <w:pPr>
        <w:pStyle w:val="Compact"/>
        <w:numPr>
          <w:ilvl w:val="0"/>
          <w:numId w:val="1002"/>
        </w:numPr>
      </w:pPr>
      <w:r>
        <w:rPr>
          <w:b/>
          <w:bCs/>
        </w:rPr>
        <w:t xml:space="preserve">Status dynamics</w:t>
      </w:r>
      <w:r>
        <w:t xml:space="preserve"> </w:t>
      </w:r>
      <w:r>
        <w:t xml:space="preserve">(threat, deprivation) are highly generalizable predictors across contexts and can interact with sexual competition, since partner markets are themselves status-stratified.</w:t>
      </w:r>
      <w:r>
        <w:t xml:space="preserve"> </w:t>
      </w:r>
      <w:hyperlink r:id="rId34">
        <w:r>
          <w:rPr>
            <w:rStyle w:val="Hyperlink"/>
          </w:rPr>
          <w:t xml:space="preserve">[41]</w:t>
        </w:r>
      </w:hyperlink>
    </w:p>
    <w:p>
      <w:pPr>
        <w:pStyle w:val="Compact"/>
        <w:numPr>
          <w:ilvl w:val="0"/>
          <w:numId w:val="1002"/>
        </w:numPr>
      </w:pPr>
      <w:r>
        <w:t xml:space="preserve">The leap from these measurable pathways to broad claims like “X ideology is just repression” is usually</w:t>
      </w:r>
      <w:r>
        <w:t xml:space="preserve"> </w:t>
      </w:r>
      <w:r>
        <w:rPr>
          <w:b/>
          <w:bCs/>
        </w:rPr>
        <w:t xml:space="preserve">unsupported</w:t>
      </w:r>
      <w:r>
        <w:t xml:space="preserve"> </w:t>
      </w:r>
      <w:r>
        <w:t xml:space="preserve">and often functions rhetorically rather than scientifically.</w:t>
      </w:r>
      <w:r>
        <w:t xml:space="preserve"> </w:t>
      </w:r>
      <w:hyperlink r:id="rId28">
        <w:r>
          <w:rPr>
            <w:rStyle w:val="Hyperlink"/>
          </w:rPr>
          <w:t xml:space="preserve">[42]</w:t>
        </w:r>
      </w:hyperlink>
    </w:p>
    <w:bookmarkEnd w:id="53"/>
    <w:bookmarkStart w:id="54" w:name="evidence-summary-table"/>
    <w:p>
      <w:pPr>
        <w:pStyle w:val="Heading3"/>
      </w:pPr>
      <w:r>
        <w:t xml:space="preserve">Evidence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Empirical strand</w:t>
            </w:r>
          </w:p>
        </w:tc>
        <w:tc>
          <w:tcPr/>
          <w:p>
            <w:pPr>
              <w:pStyle w:val="Compact"/>
            </w:pPr>
            <w:r>
              <w:t xml:space="preserve">What is measured</w:t>
            </w:r>
          </w:p>
        </w:tc>
        <w:tc>
          <w:tcPr/>
          <w:p>
            <w:pPr>
              <w:pStyle w:val="Compact"/>
            </w:pPr>
            <w:r>
              <w:t xml:space="preserve">Main political outcome</w:t>
            </w:r>
          </w:p>
        </w:tc>
        <w:tc>
          <w:tcPr/>
          <w:p>
            <w:pPr>
              <w:pStyle w:val="Compact"/>
            </w:pPr>
            <w:r>
              <w:t xml:space="preserve">What it supports</w:t>
            </w:r>
          </w:p>
        </w:tc>
        <w:tc>
          <w:tcPr/>
          <w:p>
            <w:pPr>
              <w:pStyle w:val="Compact"/>
            </w:pPr>
            <w:r>
              <w:t xml:space="preserve">What it does</w:t>
            </w:r>
            <w:r>
              <w:t xml:space="preserve"> </w:t>
            </w:r>
            <w:r>
              <w:rPr>
                <w:i/>
                <w:iCs/>
              </w:rPr>
              <w:t xml:space="preserve">not</w:t>
            </w:r>
            <w:r>
              <w:t xml:space="preserve"> </w:t>
            </w:r>
            <w:r>
              <w:t xml:space="preserve">support</w:t>
            </w:r>
          </w:p>
        </w:tc>
      </w:tr>
      <w:tr>
        <w:tc>
          <w:tcPr/>
          <w:p>
            <w:pPr>
              <w:pStyle w:val="Compact"/>
            </w:pPr>
            <w:r>
              <w:t xml:space="preserve">Mate-competition fears</w:t>
            </w:r>
          </w:p>
        </w:tc>
        <w:tc>
          <w:tcPr/>
          <w:p>
            <w:pPr>
              <w:pStyle w:val="Compact"/>
            </w:pPr>
            <w:r>
              <w:t xml:space="preserve">Local sex ratios / mating-market disadvantage; survey items on partner-competition threat</w:t>
            </w:r>
          </w:p>
        </w:tc>
        <w:tc>
          <w:tcPr/>
          <w:p>
            <w:pPr>
              <w:pStyle w:val="Compact"/>
            </w:pPr>
            <w:r>
              <w:t xml:space="preserve">Anti-refugee hate crime; support for violence</w:t>
            </w:r>
          </w:p>
        </w:tc>
        <w:tc>
          <w:tcPr/>
          <w:p>
            <w:pPr>
              <w:pStyle w:val="Compact"/>
            </w:pPr>
            <w:r>
              <w:t xml:space="preserve">A causal/associational route from partner competition cues → hostility/violence (in a bounded context)</w:t>
            </w:r>
            <w:r>
              <w:t xml:space="preserve"> </w:t>
            </w:r>
            <w:hyperlink r:id="rId23">
              <w:r>
                <w:rPr>
                  <w:rStyle w:val="Hyperlink"/>
                </w:rPr>
                <w:t xml:space="preserve">[36]</w:t>
              </w:r>
            </w:hyperlink>
          </w:p>
        </w:tc>
        <w:tc>
          <w:tcPr/>
          <w:p>
            <w:pPr>
              <w:pStyle w:val="Compact"/>
            </w:pPr>
            <w:r>
              <w:t xml:space="preserve">A generalized claim that “resentment politics is libido”</w:t>
            </w:r>
          </w:p>
        </w:tc>
      </w:tr>
      <w:tr>
        <w:tc>
          <w:tcPr/>
          <w:p>
            <w:pPr>
              <w:pStyle w:val="Compact"/>
            </w:pPr>
            <w:r>
              <w:t xml:space="preserve">Gender imbalance &amp; terrorism</w:t>
            </w:r>
          </w:p>
        </w:tc>
        <w:tc>
          <w:tcPr/>
          <w:p>
            <w:pPr>
              <w:pStyle w:val="Compact"/>
            </w:pPr>
            <w:r>
              <w:t xml:space="preserve">Sex ratio indicators; cross-national terrorism measures</w:t>
            </w:r>
          </w:p>
        </w:tc>
        <w:tc>
          <w:tcPr/>
          <w:p>
            <w:pPr>
              <w:pStyle w:val="Compact"/>
            </w:pPr>
            <w:r>
              <w:t xml:space="preserve">Terrorism incidence/risk patterns</w:t>
            </w:r>
          </w:p>
        </w:tc>
        <w:tc>
          <w:tcPr/>
          <w:p>
            <w:pPr>
              <w:pStyle w:val="Compact"/>
            </w:pPr>
            <w:r>
              <w:t xml:space="preserve">Demography as a contextual risk factor in certain environments</w:t>
            </w:r>
            <w:r>
              <w:t xml:space="preserve"> </w:t>
            </w:r>
            <w:hyperlink r:id="rId41">
              <w:r>
                <w:rPr>
                  <w:rStyle w:val="Hyperlink"/>
                </w:rPr>
                <w:t xml:space="preserve">[37]</w:t>
              </w:r>
            </w:hyperlink>
          </w:p>
        </w:tc>
        <w:tc>
          <w:tcPr/>
          <w:p>
            <w:pPr>
              <w:pStyle w:val="Compact"/>
            </w:pPr>
            <w:r>
              <w:t xml:space="preserve">That “terrorists are sexually repressed” is the core cause</w:t>
            </w:r>
          </w:p>
        </w:tc>
      </w:tr>
      <w:tr>
        <w:tc>
          <w:tcPr/>
          <w:p>
            <w:pPr>
              <w:pStyle w:val="Compact"/>
            </w:pPr>
            <w:r>
              <w:t xml:space="preserve">Incel ideology studies</w:t>
            </w:r>
          </w:p>
        </w:tc>
        <w:tc>
          <w:tcPr/>
          <w:p>
            <w:pPr>
              <w:pStyle w:val="Compact"/>
            </w:pPr>
            <w:r>
              <w:t xml:space="preserve">Textual narratives, entitlement scripts, misogynistic grievance frames</w:t>
            </w:r>
          </w:p>
        </w:tc>
        <w:tc>
          <w:tcPr/>
          <w:p>
            <w:pPr>
              <w:pStyle w:val="Compact"/>
            </w:pPr>
            <w:r>
              <w:t xml:space="preserve">Support/justification of violence; extremist storytelling</w:t>
            </w:r>
          </w:p>
        </w:tc>
        <w:tc>
          <w:tcPr/>
          <w:p>
            <w:pPr>
              <w:pStyle w:val="Compact"/>
            </w:pPr>
            <w:r>
              <w:t xml:space="preserve">Sexual exclusion can fuse with ideology and status entitlement to motivate harm</w:t>
            </w:r>
            <w:r>
              <w:t xml:space="preserve"> </w:t>
            </w:r>
            <w:hyperlink r:id="rId51">
              <w:r>
                <w:rPr>
                  <w:rStyle w:val="Hyperlink"/>
                </w:rPr>
                <w:t xml:space="preserve">[38]</w:t>
              </w:r>
            </w:hyperlink>
          </w:p>
        </w:tc>
        <w:tc>
          <w:tcPr/>
          <w:p>
            <w:pPr>
              <w:pStyle w:val="Compact"/>
            </w:pPr>
            <w:r>
              <w:t xml:space="preserve">That sexual exclusion alone predicts political ideology across the population</w:t>
            </w:r>
          </w:p>
        </w:tc>
      </w:tr>
      <w:tr>
        <w:tc>
          <w:tcPr/>
          <w:p>
            <w:pPr>
              <w:pStyle w:val="Compact"/>
            </w:pPr>
            <w:r>
              <w:t xml:space="preserve">Status threat &amp; relative deprivation</w:t>
            </w:r>
          </w:p>
        </w:tc>
        <w:tc>
          <w:tcPr/>
          <w:p>
            <w:pPr>
              <w:pStyle w:val="Compact"/>
            </w:pPr>
            <w:r>
              <w:t xml:space="preserve">Survey constructs (e.g., perceived threat, dominance, deprivation)</w:t>
            </w:r>
          </w:p>
        </w:tc>
        <w:tc>
          <w:tcPr/>
          <w:p>
            <w:pPr>
              <w:pStyle w:val="Compact"/>
            </w:pPr>
            <w:r>
              <w:t xml:space="preserve">Voting and populist support</w:t>
            </w:r>
          </w:p>
        </w:tc>
        <w:tc>
          <w:tcPr/>
          <w:p>
            <w:pPr>
              <w:pStyle w:val="Compact"/>
            </w:pPr>
            <w:r>
              <w:t xml:space="preserve">Generalizable predictors of political behavior</w:t>
            </w:r>
            <w:r>
              <w:t xml:space="preserve"> </w:t>
            </w:r>
            <w:hyperlink r:id="rId34">
              <w:r>
                <w:rPr>
                  <w:rStyle w:val="Hyperlink"/>
                </w:rPr>
                <w:t xml:space="preserve">[41]</w:t>
              </w:r>
            </w:hyperlink>
          </w:p>
        </w:tc>
        <w:tc>
          <w:tcPr/>
          <w:p>
            <w:pPr>
              <w:pStyle w:val="Compact"/>
            </w:pPr>
            <w:r>
              <w:t xml:space="preserve">That psychoanalytic labels are needed to explain the behavior</w:t>
            </w:r>
          </w:p>
        </w:tc>
      </w:tr>
    </w:tbl>
    <w:bookmarkEnd w:id="54"/>
    <w:bookmarkEnd w:id="55"/>
    <w:bookmarkStart w:id="61" w:name="X5a9d54e0c93b1114638b8da6fd4afc9398fbdba"/>
    <w:p>
      <w:pPr>
        <w:pStyle w:val="Heading2"/>
      </w:pPr>
      <w:r>
        <w:t xml:space="preserve">Discourse analysis and quantitative evidence of asymmetry</w:t>
      </w:r>
    </w:p>
    <w:p>
      <w:pPr>
        <w:pStyle w:val="FirstParagraph"/>
      </w:pPr>
      <w:r>
        <w:t xml:space="preserve">“Selective Freudian explanation” is best understood as a subset of a broader phenomenon:</w:t>
      </w:r>
      <w:r>
        <w:t xml:space="preserve"> </w:t>
      </w:r>
      <w:r>
        <w:rPr>
          <w:b/>
          <w:bCs/>
        </w:rPr>
        <w:t xml:space="preserve">psychologization</w:t>
      </w:r>
      <w:r>
        <w:t xml:space="preserve"> </w:t>
      </w:r>
      <w:r>
        <w:t xml:space="preserve">(explaining social conflict by attributing internal states or traits to people) versus</w:t>
      </w:r>
      <w:r>
        <w:t xml:space="preserve"> </w:t>
      </w:r>
      <w:r>
        <w:rPr>
          <w:b/>
          <w:bCs/>
        </w:rPr>
        <w:t xml:space="preserve">structural explanation</w:t>
      </w:r>
      <w:r>
        <w:t xml:space="preserve"> </w:t>
      </w:r>
      <w:r>
        <w:t xml:space="preserve">(institutions, incentives, demography, policy). Scholarly discourse analysis shows that psychologization can rhetorically omit the dominant group’s role and reframe power relations as individual deficiencies.</w:t>
      </w:r>
      <w:r>
        <w:t xml:space="preserve"> </w:t>
      </w:r>
      <w:hyperlink r:id="rId35">
        <w:r>
          <w:rPr>
            <w:rStyle w:val="Hyperlink"/>
          </w:rPr>
          <w:t xml:space="preserve">[43]</w:t>
        </w:r>
      </w:hyperlink>
    </w:p>
    <w:bookmarkStart w:id="58" w:name="Xd2a5245a4c167f05c0298e099937bbee12daa23"/>
    <w:p>
      <w:pPr>
        <w:pStyle w:val="Heading3"/>
      </w:pPr>
      <w:r>
        <w:t xml:space="preserve">Quantitative framing metrics that parallel Freudian selectivity</w:t>
      </w:r>
    </w:p>
    <w:p>
      <w:pPr>
        <w:pStyle w:val="FirstParagraph"/>
      </w:pPr>
      <w:r>
        <w:t xml:space="preserve">Even when the vocabulary is not explicitly Freudian, empirical content analyses show</w:t>
      </w:r>
      <w:r>
        <w:t xml:space="preserve"> </w:t>
      </w:r>
      <w:r>
        <w:rPr>
          <w:b/>
          <w:bCs/>
        </w:rPr>
        <w:t xml:space="preserve">systematic asymmetries</w:t>
      </w:r>
      <w:r>
        <w:t xml:space="preserve"> </w:t>
      </w:r>
      <w:r>
        <w:t xml:space="preserve">in whether violence is framed as internal pathology or political/ideological threat:</w:t>
      </w:r>
    </w:p>
    <w:p>
      <w:pPr>
        <w:numPr>
          <w:ilvl w:val="0"/>
          <w:numId w:val="1003"/>
        </w:numPr>
      </w:pPr>
      <w:r>
        <w:t xml:space="preserve">A large-scale study of news coverage of US terrorist attacks (2006–2015) finds that, controlling for key factors, the odds that an article references “terrorism” are about</w:t>
      </w:r>
      <w:r>
        <w:t xml:space="preserve"> </w:t>
      </w:r>
      <w:r>
        <w:rPr>
          <w:b/>
          <w:bCs/>
        </w:rPr>
        <w:t xml:space="preserve">five times greater</w:t>
      </w:r>
      <w:r>
        <w:t xml:space="preserve"> </w:t>
      </w:r>
      <w:r>
        <w:t xml:space="preserve">for a Muslim vs non-Muslim perpetrator, while references to “mental illness” did not significantly differ between White and non-White perpetrators.</w:t>
      </w:r>
      <w:r>
        <w:t xml:space="preserve"> </w:t>
      </w:r>
      <w:hyperlink r:id="rId56">
        <w:r>
          <w:rPr>
            <w:rStyle w:val="Hyperlink"/>
          </w:rPr>
          <w:t xml:space="preserve">[44]</w:t>
        </w:r>
      </w:hyperlink>
      <w:r>
        <w:br/>
      </w:r>
      <w:r>
        <w:t xml:space="preserve">This is a direct, quantified example of</w:t>
      </w:r>
      <w:r>
        <w:t xml:space="preserve"> </w:t>
      </w:r>
      <w:r>
        <w:rPr>
          <w:b/>
          <w:bCs/>
        </w:rPr>
        <w:t xml:space="preserve">who gets politically diagnosed vs psychologized</w:t>
      </w:r>
      <w:r>
        <w:t xml:space="preserve">.</w:t>
      </w:r>
    </w:p>
    <w:p>
      <w:pPr>
        <w:numPr>
          <w:ilvl w:val="0"/>
          <w:numId w:val="1003"/>
        </w:numPr>
      </w:pPr>
      <w:r>
        <w:t xml:space="preserve">A computational analysis of 4.4M tweets about mass shootings finds polarization is driven more by</w:t>
      </w:r>
      <w:r>
        <w:t xml:space="preserve"> </w:t>
      </w:r>
      <w:r>
        <w:rPr>
          <w:b/>
          <w:bCs/>
        </w:rPr>
        <w:t xml:space="preserve">framing</w:t>
      </w:r>
      <w:r>
        <w:t xml:space="preserve"> </w:t>
      </w:r>
      <w:r>
        <w:t xml:space="preserve">than topic choice and highlights contrasting use of the terms “terrorist” and “crazy.”</w:t>
      </w:r>
      <w:r>
        <w:t xml:space="preserve"> </w:t>
      </w:r>
      <w:hyperlink r:id="rId57">
        <w:r>
          <w:rPr>
            <w:rStyle w:val="Hyperlink"/>
          </w:rPr>
          <w:t xml:space="preserve">[45]</w:t>
        </w:r>
      </w:hyperlink>
      <w:r>
        <w:br/>
      </w:r>
      <w:r>
        <w:t xml:space="preserve">This supports the claim that psychologizing vs politicizing frames are</w:t>
      </w:r>
      <w:r>
        <w:t xml:space="preserve"> </w:t>
      </w:r>
      <w:r>
        <w:rPr>
          <w:b/>
          <w:bCs/>
        </w:rPr>
        <w:t xml:space="preserve">partisan and strategic</w:t>
      </w:r>
      <w:r>
        <w:t xml:space="preserve"> </w:t>
      </w:r>
      <w:r>
        <w:t xml:space="preserve">choices, not neutral descriptions.</w:t>
      </w:r>
    </w:p>
    <w:p>
      <w:pPr>
        <w:pStyle w:val="FirstParagraph"/>
      </w:pPr>
      <w:r>
        <w:t xml:space="preserve">These findings are not “Freud studies,” but they provide</w:t>
      </w:r>
      <w:r>
        <w:t xml:space="preserve"> </w:t>
      </w:r>
      <w:r>
        <w:rPr>
          <w:b/>
          <w:bCs/>
        </w:rPr>
        <w:t xml:space="preserve">the closest available quantitative analog</w:t>
      </w:r>
      <w:r>
        <w:t xml:space="preserve"> </w:t>
      </w:r>
      <w:r>
        <w:t xml:space="preserve">to selective Freudian framing: different groups are assigned different explanatory regimes.</w:t>
      </w:r>
    </w:p>
    <w:bookmarkEnd w:id="58"/>
    <w:bookmarkStart w:id="59" w:name="X7322756e366644fa3975883f877ec244a78dbac"/>
    <w:p>
      <w:pPr>
        <w:pStyle w:val="Heading3"/>
      </w:pPr>
      <w:r>
        <w:t xml:space="preserve">Cognitive mechanisms that predict selective psychologizing</w:t>
      </w:r>
    </w:p>
    <w:p>
      <w:pPr>
        <w:pStyle w:val="FirstParagraph"/>
      </w:pPr>
      <w:r>
        <w:t xml:space="preserve">Two empirically grounded mechanisms help explain why selective Freudian framing is so stable:</w:t>
      </w:r>
    </w:p>
    <w:p>
      <w:pPr>
        <w:numPr>
          <w:ilvl w:val="0"/>
          <w:numId w:val="1004"/>
        </w:numPr>
      </w:pPr>
      <w:r>
        <w:rPr>
          <w:b/>
          <w:bCs/>
        </w:rPr>
        <w:t xml:space="preserve">Motivated reasoning:</w:t>
      </w:r>
      <w:r>
        <w:t xml:space="preserve"> </w:t>
      </w:r>
      <w:r>
        <w:t xml:space="preserve">people are more likely to arrive at desired conclusions when they can construct plausible justifications; directional goals bias which beliefs and strategies are used.</w:t>
      </w:r>
      <w:r>
        <w:t xml:space="preserve"> </w:t>
      </w:r>
      <w:hyperlink r:id="rId22">
        <w:r>
          <w:rPr>
            <w:rStyle w:val="Hyperlink"/>
          </w:rPr>
          <w:t xml:space="preserve">[46]</w:t>
        </w:r>
      </w:hyperlink>
      <w:r>
        <w:br/>
      </w:r>
      <w:r>
        <w:t xml:space="preserve">In discourse, “projection” and “repression” often function as ready-made justifications: they feel explanatory while also satisfying a directional goal (discredit the opponent).</w:t>
      </w:r>
    </w:p>
    <w:p>
      <w:pPr>
        <w:numPr>
          <w:ilvl w:val="0"/>
          <w:numId w:val="1004"/>
        </w:numPr>
      </w:pPr>
      <w:r>
        <w:rPr>
          <w:b/>
          <w:bCs/>
        </w:rPr>
        <w:t xml:space="preserve">Group-serving attribution bias (ultimate attribution error):</w:t>
      </w:r>
      <w:r>
        <w:t xml:space="preserve"> </w:t>
      </w:r>
      <w:r>
        <w:t xml:space="preserve">observers tend to attribute outgroup negative acts to disposition while reserving situational explanations for ingroup acts.</w:t>
      </w:r>
      <w:r>
        <w:t xml:space="preserve"> </w:t>
      </w:r>
      <w:hyperlink r:id="rId39">
        <w:r>
          <w:rPr>
            <w:rStyle w:val="Hyperlink"/>
          </w:rPr>
          <w:t xml:space="preserve">[47]</w:t>
        </w:r>
      </w:hyperlink>
      <w:r>
        <w:br/>
      </w:r>
      <w:r>
        <w:t xml:space="preserve">This maps neatly onto the selective pattern: “they’re projecting” vs “we’re responding to conditions.”</w:t>
      </w:r>
    </w:p>
    <w:bookmarkEnd w:id="59"/>
    <w:bookmarkStart w:id="60" w:name="X8b39bd126860f3bc85056679dae615a41ffee4a"/>
    <w:p>
      <w:pPr>
        <w:pStyle w:val="Heading3"/>
      </w:pPr>
      <w:r>
        <w:t xml:space="preserve">A simple model of selective Freudian framing</w:t>
      </w:r>
    </w:p>
    <w:p>
      <w:pPr>
        <w:pStyle w:val="SourceCode"/>
      </w:pPr>
      <w:r>
        <w:rPr>
          <w:rStyle w:val="VerbatimChar"/>
        </w:rPr>
        <w:t xml:space="preserve">flowchart TD</w:t>
      </w:r>
      <w:r>
        <w:br/>
      </w:r>
      <w:r>
        <w:rPr>
          <w:rStyle w:val="VerbatimChar"/>
        </w:rPr>
        <w:t xml:space="preserve">    A[Political conflict or shocking event] --&gt; B{Which group is the target?}</w:t>
      </w:r>
      <w:r>
        <w:br/>
      </w:r>
      <w:r>
        <w:rPr>
          <w:rStyle w:val="VerbatimChar"/>
        </w:rPr>
        <w:t xml:space="preserve">    B --&gt;|Out-group| C[Dispositional story: projection/repression/libido]</w:t>
      </w:r>
      <w:r>
        <w:br/>
      </w:r>
      <w:r>
        <w:rPr>
          <w:rStyle w:val="VerbatimChar"/>
        </w:rPr>
        <w:t xml:space="preserve">    B --&gt;|In-group| D[Situational story: institutions, incentives, history]</w:t>
      </w:r>
      <w:r>
        <w:br/>
      </w:r>
      <w:r>
        <w:rPr>
          <w:rStyle w:val="VerbatimChar"/>
        </w:rPr>
        <w:t xml:space="preserve">    C --&gt; E[High moral certainty; low falsifiability]</w:t>
      </w:r>
      <w:r>
        <w:br/>
      </w:r>
      <w:r>
        <w:rPr>
          <w:rStyle w:val="VerbatimChar"/>
        </w:rPr>
        <w:t xml:space="preserve">    D --&gt; F[Policy- and context-oriented debate]</w:t>
      </w:r>
      <w:r>
        <w:br/>
      </w:r>
      <w:r>
        <w:rPr>
          <w:rStyle w:val="VerbatimChar"/>
        </w:rPr>
        <w:t xml:space="preserve">    E --&gt; G[Polarization, stigma, "mind-reading" escalation]</w:t>
      </w:r>
      <w:r>
        <w:br/>
      </w:r>
      <w:r>
        <w:rPr>
          <w:rStyle w:val="VerbatimChar"/>
        </w:rPr>
        <w:t xml:space="preserve">    F --&gt; H[Potential for negotiated reforms]</w:t>
      </w:r>
      <w:r>
        <w:br/>
      </w:r>
      <w:r>
        <w:rPr>
          <w:rStyle w:val="VerbatimChar"/>
        </w:rPr>
        <w:t xml:space="preserve">    C --&gt; I[Structural drivers deprioritized]</w:t>
      </w:r>
    </w:p>
    <w:p>
      <w:pPr>
        <w:pStyle w:val="FirstParagraph"/>
      </w:pPr>
      <w:r>
        <w:t xml:space="preserve">This model is consistent with the documented public uses of projection/repression and with evidence on motivated reasoning and psychologization as discourse practice.</w:t>
      </w:r>
      <w:r>
        <w:t xml:space="preserve"> </w:t>
      </w:r>
      <w:hyperlink r:id="rId21">
        <w:r>
          <w:rPr>
            <w:rStyle w:val="Hyperlink"/>
          </w:rPr>
          <w:t xml:space="preserve">[48]</w:t>
        </w:r>
      </w:hyperlink>
    </w:p>
    <w:bookmarkEnd w:id="60"/>
    <w:bookmarkEnd w:id="61"/>
    <w:bookmarkStart w:id="65" w:name="motives-consequences-and-recommendations"/>
    <w:p>
      <w:pPr>
        <w:pStyle w:val="Heading2"/>
      </w:pPr>
      <w:r>
        <w:t xml:space="preserve">Motives, consequences, and recommendations</w:t>
      </w:r>
    </w:p>
    <w:bookmarkStart w:id="62" w:name="Xd07c37afdc474c19e33e24df9497b3eded60e2d"/>
    <w:p>
      <w:pPr>
        <w:pStyle w:val="Heading3"/>
      </w:pPr>
      <w:r>
        <w:t xml:space="preserve">Why selective Freudian framing is attractive</w:t>
      </w:r>
    </w:p>
    <w:p>
      <w:pPr>
        <w:pStyle w:val="FirstParagraph"/>
      </w:pPr>
      <w:r>
        <w:t xml:space="preserve">Freud’s concepts are unusually good rhetorical tools because they:</w:t>
      </w:r>
    </w:p>
    <w:p>
      <w:pPr>
        <w:pStyle w:val="Compact"/>
        <w:numPr>
          <w:ilvl w:val="0"/>
          <w:numId w:val="1005"/>
        </w:numPr>
      </w:pPr>
      <w:r>
        <w:rPr>
          <w:b/>
          <w:bCs/>
        </w:rPr>
        <w:t xml:space="preserve">Collapse complexity into character inference.</w:t>
      </w:r>
      <w:r>
        <w:t xml:space="preserve"> </w:t>
      </w:r>
      <w:r>
        <w:t xml:space="preserve">“Projection” turns a contested claim into evidence of the opponent’s inner guilt.</w:t>
      </w:r>
      <w:r>
        <w:t xml:space="preserve"> </w:t>
      </w:r>
      <w:hyperlink r:id="rId21">
        <w:r>
          <w:rPr>
            <w:rStyle w:val="Hyperlink"/>
          </w:rPr>
          <w:t xml:space="preserve">[49]</w:t>
        </w:r>
      </w:hyperlink>
    </w:p>
    <w:p>
      <w:pPr>
        <w:pStyle w:val="Compact"/>
        <w:numPr>
          <w:ilvl w:val="0"/>
          <w:numId w:val="1005"/>
        </w:numPr>
      </w:pPr>
      <w:r>
        <w:rPr>
          <w:b/>
          <w:bCs/>
        </w:rPr>
        <w:t xml:space="preserve">Signal sophistication.</w:t>
      </w:r>
      <w:r>
        <w:t xml:space="preserve"> </w:t>
      </w:r>
      <w:r>
        <w:t xml:space="preserve">Psychoanalytic language can sound intellectually authoritative while remaining hard to falsify.</w:t>
      </w:r>
      <w:r>
        <w:t xml:space="preserve"> </w:t>
      </w:r>
      <w:hyperlink r:id="rId28">
        <w:r>
          <w:rPr>
            <w:rStyle w:val="Hyperlink"/>
          </w:rPr>
          <w:t xml:space="preserve">[42]</w:t>
        </w:r>
      </w:hyperlink>
    </w:p>
    <w:p>
      <w:pPr>
        <w:pStyle w:val="Compact"/>
        <w:numPr>
          <w:ilvl w:val="0"/>
          <w:numId w:val="1005"/>
        </w:numPr>
      </w:pPr>
      <w:r>
        <w:rPr>
          <w:b/>
          <w:bCs/>
        </w:rPr>
        <w:t xml:space="preserve">Protect in-group innocence.</w:t>
      </w:r>
      <w:r>
        <w:t xml:space="preserve"> </w:t>
      </w:r>
      <w:r>
        <w:t xml:space="preserve">If the out-group is “repressed,” the in-group need not grapple with structural complicity or policy tradeoffs.</w:t>
      </w:r>
      <w:r>
        <w:t xml:space="preserve"> </w:t>
      </w:r>
      <w:hyperlink r:id="rId39">
        <w:r>
          <w:rPr>
            <w:rStyle w:val="Hyperlink"/>
          </w:rPr>
          <w:t xml:space="preserve">[50]</w:t>
        </w:r>
      </w:hyperlink>
    </w:p>
    <w:bookmarkEnd w:id="62"/>
    <w:bookmarkStart w:id="63" w:name="costs-and-policy-implications"/>
    <w:p>
      <w:pPr>
        <w:pStyle w:val="Heading3"/>
      </w:pPr>
      <w:r>
        <w:t xml:space="preserve">Costs and policy implications</w:t>
      </w:r>
    </w:p>
    <w:p>
      <w:pPr>
        <w:pStyle w:val="FirstParagraph"/>
      </w:pPr>
      <w:r>
        <w:t xml:space="preserve">Selective Freudian framing can degrade public reasoning in at least four ways:</w:t>
      </w:r>
    </w:p>
    <w:p>
      <w:pPr>
        <w:pStyle w:val="Compact"/>
        <w:numPr>
          <w:ilvl w:val="0"/>
          <w:numId w:val="1006"/>
        </w:numPr>
      </w:pPr>
      <w:r>
        <w:rPr>
          <w:b/>
          <w:bCs/>
        </w:rPr>
        <w:t xml:space="preserve">Substitution of insinuation for evidence.</w:t>
      </w:r>
      <w:r>
        <w:t xml:space="preserve"> </w:t>
      </w:r>
      <w:r>
        <w:t xml:space="preserve">Clinical-sounding claims are asserted without measurement or rival-hypothesis testing.</w:t>
      </w:r>
      <w:r>
        <w:t xml:space="preserve"> </w:t>
      </w:r>
      <w:hyperlink r:id="rId29">
        <w:r>
          <w:rPr>
            <w:rStyle w:val="Hyperlink"/>
          </w:rPr>
          <w:t xml:space="preserve">[51]</w:t>
        </w:r>
      </w:hyperlink>
    </w:p>
    <w:p>
      <w:pPr>
        <w:pStyle w:val="Compact"/>
        <w:numPr>
          <w:ilvl w:val="0"/>
          <w:numId w:val="1006"/>
        </w:numPr>
      </w:pPr>
      <w:r>
        <w:rPr>
          <w:b/>
          <w:bCs/>
        </w:rPr>
        <w:t xml:space="preserve">Stigmatization spillover.</w:t>
      </w:r>
      <w:r>
        <w:t xml:space="preserve"> </w:t>
      </w:r>
      <w:r>
        <w:t xml:space="preserve">Using “repression” or “pathology” as political insult can reinforce harmful misunderstandings in clinical and legal domains (a pattern visible in ongoing disputes about repression and recovered memories).</w:t>
      </w:r>
      <w:r>
        <w:t xml:space="preserve"> </w:t>
      </w:r>
      <w:hyperlink r:id="rId30">
        <w:r>
          <w:rPr>
            <w:rStyle w:val="Hyperlink"/>
          </w:rPr>
          <w:t xml:space="preserve">[10]</w:t>
        </w:r>
      </w:hyperlink>
    </w:p>
    <w:p>
      <w:pPr>
        <w:pStyle w:val="Compact"/>
        <w:numPr>
          <w:ilvl w:val="0"/>
          <w:numId w:val="1006"/>
        </w:numPr>
      </w:pPr>
      <w:r>
        <w:rPr>
          <w:b/>
          <w:bCs/>
        </w:rPr>
        <w:t xml:space="preserve">Misdiagnosis of causal levers.</w:t>
      </w:r>
      <w:r>
        <w:t xml:space="preserve"> </w:t>
      </w:r>
      <w:r>
        <w:t xml:space="preserve">If hostility is framed as “sexual repression,” policy responses may ignore structural predictors that are actually measurable (e.g., local demographic conditions, status threat, institutional incentives).</w:t>
      </w:r>
      <w:r>
        <w:t xml:space="preserve"> </w:t>
      </w:r>
      <w:hyperlink r:id="rId23">
        <w:r>
          <w:rPr>
            <w:rStyle w:val="Hyperlink"/>
          </w:rPr>
          <w:t xml:space="preserve">[52]</w:t>
        </w:r>
      </w:hyperlink>
    </w:p>
    <w:p>
      <w:pPr>
        <w:pStyle w:val="Compact"/>
        <w:numPr>
          <w:ilvl w:val="0"/>
          <w:numId w:val="1006"/>
        </w:numPr>
      </w:pPr>
      <w:r>
        <w:rPr>
          <w:b/>
          <w:bCs/>
        </w:rPr>
        <w:t xml:space="preserve">Polarization escalation.</w:t>
      </w:r>
      <w:r>
        <w:t xml:space="preserve"> </w:t>
      </w:r>
      <w:r>
        <w:t xml:space="preserve">“Mind-reading” frames invite symmetrical retaliation (“you’re projecting!”), reducing discourse to mutually reinforcing insults.</w:t>
      </w:r>
      <w:r>
        <w:t xml:space="preserve"> </w:t>
      </w:r>
      <w:hyperlink r:id="rId21">
        <w:r>
          <w:rPr>
            <w:rStyle w:val="Hyperlink"/>
          </w:rPr>
          <w:t xml:space="preserve">[53]</w:t>
        </w:r>
      </w:hyperlink>
    </w:p>
    <w:bookmarkEnd w:id="63"/>
    <w:bookmarkStart w:id="64" w:name="Xb5dd6c145d514ceaa665e65c222605c2fa48112"/>
    <w:p>
      <w:pPr>
        <w:pStyle w:val="Heading3"/>
      </w:pPr>
      <w:r>
        <w:t xml:space="preserve">Recommendations for fairer, evidence-based psychological explanation</w:t>
      </w:r>
    </w:p>
    <w:p>
      <w:pPr>
        <w:pStyle w:val="FirstParagraph"/>
      </w:pPr>
      <w:r>
        <w:t xml:space="preserve">A more rigorous and less ideologically biased public use of psychological explanation can follow six principles:</w:t>
      </w:r>
    </w:p>
    <w:p>
      <w:pPr>
        <w:pStyle w:val="BodyText"/>
      </w:pPr>
      <w:r>
        <w:rPr>
          <w:b/>
          <w:bCs/>
        </w:rPr>
        <w:t xml:space="preserve">Principle of symmetry.</w:t>
      </w:r>
      <w:r>
        <w:t xml:space="preserve"> </w:t>
      </w:r>
      <w:r>
        <w:t xml:space="preserve">If projection/repression is a plausible explanation for the out-group, articulate what evidence would make the same explanation plausible for the in-group (and vice versa). This directly counters the ultimate attribution error.</w:t>
      </w:r>
      <w:r>
        <w:t xml:space="preserve"> </w:t>
      </w:r>
      <w:hyperlink r:id="rId39">
        <w:r>
          <w:rPr>
            <w:rStyle w:val="Hyperlink"/>
          </w:rPr>
          <w:t xml:space="preserve">[47]</w:t>
        </w:r>
      </w:hyperlink>
    </w:p>
    <w:p>
      <w:pPr>
        <w:pStyle w:val="BodyText"/>
      </w:pPr>
      <w:r>
        <w:rPr>
          <w:b/>
          <w:bCs/>
        </w:rPr>
        <w:t xml:space="preserve">Operationalization before psychologization.</w:t>
      </w:r>
      <w:r>
        <w:t xml:space="preserve"> </w:t>
      </w:r>
      <w:r>
        <w:t xml:space="preserve">Prefer measurable constructs (status threat, perceived competition, grievance narratives) over psychoanalytic labels as first-line explanations. Use psychoanalytic terms only when they add explanatory power beyond measured constructs.</w:t>
      </w:r>
      <w:r>
        <w:t xml:space="preserve"> </w:t>
      </w:r>
      <w:hyperlink r:id="rId23">
        <w:r>
          <w:rPr>
            <w:rStyle w:val="Hyperlink"/>
          </w:rPr>
          <w:t xml:space="preserve">[54]</w:t>
        </w:r>
      </w:hyperlink>
    </w:p>
    <w:p>
      <w:pPr>
        <w:pStyle w:val="BodyText"/>
      </w:pPr>
      <w:r>
        <w:rPr>
          <w:b/>
          <w:bCs/>
        </w:rPr>
        <w:t xml:space="preserve">Competing-hypotheses discipline.</w:t>
      </w:r>
      <w:r>
        <w:t xml:space="preserve"> </w:t>
      </w:r>
      <w:r>
        <w:t xml:space="preserve">When invoking a deep-motive explanation (e.g., repression), explicitly list plausible alternatives (economic incentives, institutional constraints, strategic messaging) and identify what evidence would discriminate among them. This responds to long-standing critiques of psychoanalytic unfalsifiability and retrospective “proof.”</w:t>
      </w:r>
      <w:r>
        <w:t xml:space="preserve"> </w:t>
      </w:r>
      <w:hyperlink r:id="rId28">
        <w:r>
          <w:rPr>
            <w:rStyle w:val="Hyperlink"/>
          </w:rPr>
          <w:t xml:space="preserve">[55]</w:t>
        </w:r>
      </w:hyperlink>
    </w:p>
    <w:p>
      <w:pPr>
        <w:pStyle w:val="BodyText"/>
      </w:pPr>
      <w:r>
        <w:rPr>
          <w:b/>
          <w:bCs/>
        </w:rPr>
        <w:t xml:space="preserve">Avoid category errors between clinical and rhetorical meanings.</w:t>
      </w:r>
      <w:r>
        <w:t xml:space="preserve"> </w:t>
      </w:r>
      <w:r>
        <w:t xml:space="preserve">“Projection” in everyday discourse can mean “hypocrisy,” but this is not the same as a defensively motivated mechanism. If the claim is rhetorical, label it rhetorical; if psychological, justify the psychological inference.</w:t>
      </w:r>
      <w:r>
        <w:t xml:space="preserve"> </w:t>
      </w:r>
      <w:hyperlink r:id="rId21">
        <w:r>
          <w:rPr>
            <w:rStyle w:val="Hyperlink"/>
          </w:rPr>
          <w:t xml:space="preserve">[7]</w:t>
        </w:r>
      </w:hyperlink>
    </w:p>
    <w:p>
      <w:pPr>
        <w:pStyle w:val="BodyText"/>
      </w:pPr>
      <w:r>
        <w:rPr>
          <w:b/>
          <w:bCs/>
        </w:rPr>
        <w:t xml:space="preserve">Context-first framing when power is involved.</w:t>
      </w:r>
      <w:r>
        <w:t xml:space="preserve"> </w:t>
      </w:r>
      <w:r>
        <w:t xml:space="preserve">In intergroup conflict, default to analyzing incentives, institutions, and material constraints before interior states; psychologization can erase dominant-group accountability in discourse.</w:t>
      </w:r>
      <w:r>
        <w:t xml:space="preserve"> </w:t>
      </w:r>
      <w:hyperlink r:id="rId35">
        <w:r>
          <w:rPr>
            <w:rStyle w:val="Hyperlink"/>
          </w:rPr>
          <w:t xml:space="preserve">[43]</w:t>
        </w:r>
      </w:hyperlink>
    </w:p>
    <w:p>
      <w:pPr>
        <w:pStyle w:val="BodyText"/>
      </w:pPr>
      <w:r>
        <w:rPr>
          <w:b/>
          <w:bCs/>
        </w:rPr>
        <w:t xml:space="preserve">Explicit humility about scope.</w:t>
      </w:r>
      <w:r>
        <w:t xml:space="preserve"> </w:t>
      </w:r>
      <w:r>
        <w:t xml:space="preserve">Freud himself cautioned that applying psychoanalysis to cultures relies on analogy and is “dangerous” if concept transfer is careless. Adopt that humility: treat psychoanalytic claims as hypotheses, not verdicts.</w:t>
      </w:r>
      <w:r>
        <w:t xml:space="preserve"> </w:t>
      </w:r>
      <w:hyperlink r:id="rId26">
        <w:r>
          <w:rPr>
            <w:rStyle w:val="Hyperlink"/>
          </w:rPr>
          <w:t xml:space="preserve">[5]</w:t>
        </w:r>
      </w:hyperlink>
    </w:p>
    <w:p>
      <w:pPr>
        <w:pStyle w:val="BodyText"/>
      </w:pPr>
      <w:r>
        <w:t xml:space="preserve">Finally, a practical standard for commentary editors and analysts: any psychologizing claim should be accompanied by (a) an alternative structural account, and (b) one concrete empirical anchor (survey, dataset, content analysis, or observational indicator). The aim is not to ban psychological explanation, but to prevent it from becoming an</w:t>
      </w:r>
      <w:r>
        <w:t xml:space="preserve"> </w:t>
      </w:r>
      <w:r>
        <w:rPr>
          <w:b/>
          <w:bCs/>
        </w:rPr>
        <w:t xml:space="preserve">ideological force multiplier</w:t>
      </w:r>
      <w:r>
        <w:t xml:space="preserve"> </w:t>
      </w:r>
      <w:r>
        <w:t xml:space="preserve">that replaces evidence with insinuation.</w:t>
      </w:r>
      <w:r>
        <w:t xml:space="preserve"> </w:t>
      </w:r>
      <w:hyperlink r:id="rId22">
        <w:r>
          <w:rPr>
            <w:rStyle w:val="Hyperlink"/>
          </w:rPr>
          <w:t xml:space="preserve">[56]</w:t>
        </w:r>
      </w:hyperlink>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[31]</w:t>
        </w:r>
      </w:hyperlink>
      <w:r>
        <w:t xml:space="preserve"> </w:t>
      </w:r>
      <w:hyperlink r:id="rId21">
        <w:r>
          <w:rPr>
            <w:rStyle w:val="Hyperlink"/>
          </w:rPr>
          <w:t xml:space="preserve">[35]</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[53]</w:t>
        </w:r>
      </w:hyperlink>
      <w:r>
        <w:t xml:space="preserve"> </w:t>
      </w:r>
      <w:r>
        <w:t xml:space="preserve">https://faculty.fortlewis.edu/burke_b/personality/readings/freuddefense.pdf</w:t>
      </w:r>
    </w:p>
    <w:p>
      <w:pPr>
        <w:pStyle w:val="BodyText"/>
      </w:pPr>
      <w:hyperlink r:id="rId21">
        <w:r>
          <w:rPr>
            <w:rStyle w:val="Hyperlink"/>
          </w:rPr>
          <w:t xml:space="preserve">https://faculty.fortlewis.edu/burke_b/personality/readings/freuddefense.pdf</w:t>
        </w:r>
      </w:hyperlink>
    </w:p>
    <w:p>
      <w:pPr>
        <w:pStyle w:val="BodyText"/>
      </w:pPr>
      <w:hyperlink r:id="rId22">
        <w:r>
          <w:rPr>
            <w:rStyle w:val="Hyperlink"/>
          </w:rPr>
          <w:t xml:space="preserve">[2]</w:t>
        </w:r>
      </w:hyperlink>
      <w:r>
        <w:t xml:space="preserve"> </w:t>
      </w:r>
      <w:hyperlink r:id="rId22">
        <w:r>
          <w:rPr>
            <w:rStyle w:val="Hyperlink"/>
          </w:rPr>
          <w:t xml:space="preserve">[46]</w:t>
        </w:r>
      </w:hyperlink>
      <w:r>
        <w:t xml:space="preserve"> </w:t>
      </w:r>
      <w:hyperlink r:id="rId22">
        <w:r>
          <w:rPr>
            <w:rStyle w:val="Hyperlink"/>
          </w:rPr>
          <w:t xml:space="preserve">[56]</w:t>
        </w:r>
      </w:hyperlink>
      <w:r>
        <w:t xml:space="preserve"> </w:t>
      </w:r>
      <w:r>
        <w:t xml:space="preserve">fbaum.unc.edu</w:t>
      </w:r>
    </w:p>
    <w:p>
      <w:pPr>
        <w:pStyle w:val="BodyText"/>
      </w:pPr>
      <w:hyperlink r:id="rId22">
        <w:r>
          <w:rPr>
            <w:rStyle w:val="Hyperlink"/>
          </w:rPr>
          <w:t xml:space="preserve">https://fbaum.unc.edu/teaching/articles/Psych-Bulletin-1990-Kunda.pdf</w:t>
        </w:r>
      </w:hyperlink>
    </w:p>
    <w:p>
      <w:pPr>
        <w:pStyle w:val="BodyText"/>
      </w:pPr>
      <w:hyperlink r:id="rId23">
        <w:r>
          <w:rPr>
            <w:rStyle w:val="Hyperlink"/>
          </w:rPr>
          <w:t xml:space="preserve">[3]</w:t>
        </w:r>
      </w:hyperlink>
      <w:r>
        <w:t xml:space="preserve"> </w:t>
      </w:r>
      <w:hyperlink r:id="rId23">
        <w:r>
          <w:rPr>
            <w:rStyle w:val="Hyperlink"/>
          </w:rPr>
          <w:t xml:space="preserve">[36]</w:t>
        </w:r>
      </w:hyperlink>
      <w:r>
        <w:t xml:space="preserve"> </w:t>
      </w:r>
      <w:hyperlink r:id="rId23">
        <w:r>
          <w:rPr>
            <w:rStyle w:val="Hyperlink"/>
          </w:rPr>
          <w:t xml:space="preserve">[52]</w:t>
        </w:r>
      </w:hyperlink>
      <w:r>
        <w:t xml:space="preserve"> </w:t>
      </w:r>
      <w:hyperlink r:id="rId23">
        <w:r>
          <w:rPr>
            <w:rStyle w:val="Hyperlink"/>
          </w:rPr>
          <w:t xml:space="preserve">[54]</w:t>
        </w:r>
      </w:hyperlink>
      <w:r>
        <w:t xml:space="preserve"> </w:t>
      </w:r>
      <w:r>
        <w:t xml:space="preserve">https://naokiegami.com/paper/hatecrime.pdf</w:t>
      </w:r>
    </w:p>
    <w:p>
      <w:pPr>
        <w:pStyle w:val="BodyText"/>
      </w:pPr>
      <w:hyperlink r:id="rId23">
        <w:r>
          <w:rPr>
            <w:rStyle w:val="Hyperlink"/>
          </w:rPr>
          <w:t xml:space="preserve">https://naokiegami.com/paper/hatecrime.pdf</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r>
        <w:t xml:space="preserve">https://dravni.co.il/wp-content/uploads/2013/12/Freud-S-1915.-Repression.pdf</w:t>
      </w:r>
    </w:p>
    <w:p>
      <w:pPr>
        <w:pStyle w:val="BodyText"/>
      </w:pPr>
      <w:hyperlink r:id="rId24">
        <w:r>
          <w:rPr>
            <w:rStyle w:val="Hyperlink"/>
          </w:rPr>
          <w:t xml:space="preserve">https://dravni.co.il/wp-content/uploads/2013/12/Freud-S-1915.-Repression.pdf</w:t>
        </w:r>
      </w:hyperlink>
    </w:p>
    <w:p>
      <w:pPr>
        <w:pStyle w:val="BodyText"/>
      </w:pPr>
      <w:hyperlink r:id="rId26">
        <w:r>
          <w:rPr>
            <w:rStyle w:val="Hyperlink"/>
          </w:rPr>
          <w:t xml:space="preserve">[5]</w:t>
        </w:r>
      </w:hyperlink>
      <w:r>
        <w:t xml:space="preserve"> </w:t>
      </w:r>
      <w:hyperlink r:id="rId26">
        <w:r>
          <w:rPr>
            <w:rStyle w:val="Hyperlink"/>
          </w:rPr>
          <w:t xml:space="preserve">[15]</w:t>
        </w:r>
      </w:hyperlink>
      <w:r>
        <w:t xml:space="preserve"> </w:t>
      </w:r>
      <w:hyperlink r:id="rId26">
        <w:r>
          <w:rPr>
            <w:rStyle w:val="Hyperlink"/>
          </w:rPr>
          <w:t xml:space="preserve">[17]</w:t>
        </w:r>
      </w:hyperlink>
      <w:r>
        <w:t xml:space="preserve"> </w:t>
      </w:r>
      <w:r>
        <w:t xml:space="preserve">https://www.stephenhicks.org/wp-content/uploads/2015/10/FreudS-CIVILIZATION-AND-ITS-DISCONTENTS-text-final.pdf</w:t>
      </w:r>
    </w:p>
    <w:p>
      <w:pPr>
        <w:pStyle w:val="BodyText"/>
      </w:pPr>
      <w:hyperlink r:id="rId26">
        <w:r>
          <w:rPr>
            <w:rStyle w:val="Hyperlink"/>
          </w:rPr>
          <w:t xml:space="preserve">https://www.stephenhicks.org/wp-content/uploads/2015/10/FreudS-CIVILIZATION-AND-ITS-DISCONTENTS-text-final.pdf</w:t>
        </w:r>
      </w:hyperlink>
    </w:p>
    <w:p>
      <w:pPr>
        <w:pStyle w:val="BodyText"/>
      </w:pPr>
      <w:hyperlink r:id="rId28">
        <w:r>
          <w:rPr>
            <w:rStyle w:val="Hyperlink"/>
          </w:rPr>
          <w:t xml:space="preserve">[8]</w:t>
        </w:r>
      </w:hyperlink>
      <w:r>
        <w:t xml:space="preserve"> </w:t>
      </w:r>
      <w:hyperlink r:id="rId28">
        <w:r>
          <w:rPr>
            <w:rStyle w:val="Hyperlink"/>
          </w:rPr>
          <w:t xml:space="preserve">[18]</w:t>
        </w:r>
      </w:hyperlink>
      <w:r>
        <w:t xml:space="preserve"> </w:t>
      </w:r>
      <w:hyperlink r:id="rId28">
        <w:r>
          <w:rPr>
            <w:rStyle w:val="Hyperlink"/>
          </w:rPr>
          <w:t xml:space="preserve">[21]</w:t>
        </w:r>
      </w:hyperlink>
      <w:r>
        <w:t xml:space="preserve"> </w:t>
      </w:r>
      <w:hyperlink r:id="rId28">
        <w:r>
          <w:rPr>
            <w:rStyle w:val="Hyperlink"/>
          </w:rPr>
          <w:t xml:space="preserve">[24]</w:t>
        </w:r>
      </w:hyperlink>
      <w:r>
        <w:t xml:space="preserve"> </w:t>
      </w:r>
      <w:hyperlink r:id="rId28">
        <w:r>
          <w:rPr>
            <w:rStyle w:val="Hyperlink"/>
          </w:rPr>
          <w:t xml:space="preserve">[42]</w:t>
        </w:r>
      </w:hyperlink>
      <w:r>
        <w:t xml:space="preserve"> </w:t>
      </w:r>
      <w:hyperlink r:id="rId28">
        <w:r>
          <w:rPr>
            <w:rStyle w:val="Hyperlink"/>
          </w:rPr>
          <w:t xml:space="preserve">[55]</w:t>
        </w:r>
      </w:hyperlink>
      <w:r>
        <w:t xml:space="preserve"> </w:t>
      </w:r>
      <w:r>
        <w:t xml:space="preserve">https://plato.stanford.edu/archives/sum2014/entries/popper/</w:t>
      </w:r>
    </w:p>
    <w:p>
      <w:pPr>
        <w:pStyle w:val="BodyText"/>
      </w:pPr>
      <w:hyperlink r:id="rId28">
        <w:r>
          <w:rPr>
            <w:rStyle w:val="Hyperlink"/>
          </w:rPr>
          <w:t xml:space="preserve">https://plato.stanford.edu/archives/sum2014/entries/popper/</w:t>
        </w:r>
      </w:hyperlink>
    </w:p>
    <w:p>
      <w:pPr>
        <w:pStyle w:val="BodyText"/>
      </w:pPr>
      <w:hyperlink r:id="rId29">
        <w:r>
          <w:rPr>
            <w:rStyle w:val="Hyperlink"/>
          </w:rPr>
          <w:t xml:space="preserve">[9]</w:t>
        </w:r>
      </w:hyperlink>
      <w:r>
        <w:t xml:space="preserve"> </w:t>
      </w:r>
      <w:hyperlink r:id="rId29">
        <w:r>
          <w:rPr>
            <w:rStyle w:val="Hyperlink"/>
          </w:rPr>
          <w:t xml:space="preserve">[51]</w:t>
        </w:r>
      </w:hyperlink>
      <w:r>
        <w:t xml:space="preserve"> </w:t>
      </w:r>
      <w:r>
        <w:t xml:space="preserve">https://www.jstor.org/stable/10.1525/j.ctt7zw28g</w:t>
      </w:r>
    </w:p>
    <w:p>
      <w:pPr>
        <w:pStyle w:val="BodyText"/>
      </w:pPr>
      <w:hyperlink r:id="rId29">
        <w:r>
          <w:rPr>
            <w:rStyle w:val="Hyperlink"/>
          </w:rPr>
          <w:t xml:space="preserve">https://www.jstor.org/stable/10.1525/j.ctt7zw28g</w:t>
        </w:r>
      </w:hyperlink>
    </w:p>
    <w:p>
      <w:pPr>
        <w:pStyle w:val="BodyText"/>
      </w:pPr>
      <w:hyperlink r:id="rId30">
        <w:r>
          <w:rPr>
            <w:rStyle w:val="Hyperlink"/>
          </w:rPr>
          <w:t xml:space="preserve">[10]</w:t>
        </w:r>
      </w:hyperlink>
      <w:r>
        <w:t xml:space="preserve"> </w:t>
      </w:r>
      <w:hyperlink r:id="rId30">
        <w:r>
          <w:rPr>
            <w:rStyle w:val="Hyperlink"/>
          </w:rPr>
          <w:t xml:space="preserve">[11]</w:t>
        </w:r>
      </w:hyperlink>
      <w:r>
        <w:t xml:space="preserve"> </w:t>
      </w:r>
      <w:r>
        <w:t xml:space="preserve">https://users.phhp.ufl.edu/rbauer/cognitive/loftus_false_memory.pdf</w:t>
      </w:r>
    </w:p>
    <w:p>
      <w:pPr>
        <w:pStyle w:val="BodyText"/>
      </w:pPr>
      <w:hyperlink r:id="rId30">
        <w:r>
          <w:rPr>
            <w:rStyle w:val="Hyperlink"/>
          </w:rPr>
          <w:t xml:space="preserve">https://users.phhp.ufl.edu/rbauer/cognitive/loftus_false_memory.pdf</w:t>
        </w:r>
      </w:hyperlink>
    </w:p>
    <w:p>
      <w:pPr>
        <w:pStyle w:val="BodyText"/>
      </w:pPr>
      <w:hyperlink r:id="rId31">
        <w:r>
          <w:rPr>
            <w:rStyle w:val="Hyperlink"/>
          </w:rPr>
          <w:t xml:space="preserve">[12]</w:t>
        </w:r>
      </w:hyperlink>
      <w:r>
        <w:t xml:space="preserve"> </w:t>
      </w:r>
      <w:r>
        <w:t xml:space="preserve">https://philpapers.org/archive/BRUFAE-2.pdf</w:t>
      </w:r>
    </w:p>
    <w:p>
      <w:pPr>
        <w:pStyle w:val="BodyText"/>
      </w:pPr>
      <w:hyperlink r:id="rId31">
        <w:r>
          <w:rPr>
            <w:rStyle w:val="Hyperlink"/>
          </w:rPr>
          <w:t xml:space="preserve">https://philpapers.org/archive/BRUFAE-2.pdf</w:t>
        </w:r>
      </w:hyperlink>
    </w:p>
    <w:p>
      <w:pPr>
        <w:pStyle w:val="BodyText"/>
      </w:pPr>
      <w:hyperlink r:id="rId34">
        <w:r>
          <w:rPr>
            <w:rStyle w:val="Hyperlink"/>
          </w:rPr>
          <w:t xml:space="preserve">[13]</w:t>
        </w:r>
      </w:hyperlink>
      <w:r>
        <w:t xml:space="preserve"> </w:t>
      </w:r>
      <w:hyperlink r:id="rId34">
        <w:r>
          <w:rPr>
            <w:rStyle w:val="Hyperlink"/>
          </w:rPr>
          <w:t xml:space="preserve">[39]</w:t>
        </w:r>
      </w:hyperlink>
      <w:r>
        <w:t xml:space="preserve"> </w:t>
      </w:r>
      <w:hyperlink r:id="rId34">
        <w:r>
          <w:rPr>
            <w:rStyle w:val="Hyperlink"/>
          </w:rPr>
          <w:t xml:space="preserve">[41]</w:t>
        </w:r>
      </w:hyperlink>
      <w:r>
        <w:t xml:space="preserve"> </w:t>
      </w:r>
      <w:r>
        <w:t xml:space="preserve">https://www.pnas.org/doi/10.1073/pnas.1718155115</w:t>
      </w:r>
    </w:p>
    <w:p>
      <w:pPr>
        <w:pStyle w:val="BodyText"/>
      </w:pPr>
      <w:hyperlink r:id="rId34">
        <w:r>
          <w:rPr>
            <w:rStyle w:val="Hyperlink"/>
          </w:rPr>
          <w:t xml:space="preserve">https://www.pnas.org/doi/10.1073/pnas.1718155115</w:t>
        </w:r>
      </w:hyperlink>
    </w:p>
    <w:p>
      <w:pPr>
        <w:pStyle w:val="BodyText"/>
      </w:pPr>
      <w:hyperlink r:id="rId35">
        <w:r>
          <w:rPr>
            <w:rStyle w:val="Hyperlink"/>
          </w:rPr>
          <w:t xml:space="preserve">[14]</w:t>
        </w:r>
      </w:hyperlink>
      <w:r>
        <w:t xml:space="preserve"> </w:t>
      </w:r>
      <w:hyperlink r:id="rId35">
        <w:r>
          <w:rPr>
            <w:rStyle w:val="Hyperlink"/>
          </w:rPr>
          <w:t xml:space="preserve">[43]</w:t>
        </w:r>
      </w:hyperlink>
      <w:r>
        <w:t xml:space="preserve"> </w:t>
      </w:r>
      <w:r>
        <w:t xml:space="preserve">https://eclass.uowm.gr/modules/document/file.php/NURED263/SPE%202015%20Sapountzis%20%26%20Vikka.pdf</w:t>
      </w:r>
    </w:p>
    <w:p>
      <w:pPr>
        <w:pStyle w:val="BodyText"/>
      </w:pPr>
      <w:hyperlink r:id="rId35">
        <w:r>
          <w:rPr>
            <w:rStyle w:val="Hyperlink"/>
          </w:rPr>
          <w:t xml:space="preserve">https://eclass.uowm.gr/modules/document/file.php/NURED263/SPE%202015%20Sapountzis%20%26%20Vikka.pdf</w:t>
        </w:r>
      </w:hyperlink>
    </w:p>
    <w:p>
      <w:pPr>
        <w:pStyle w:val="BodyText"/>
      </w:pPr>
      <w:hyperlink r:id="rId36">
        <w:r>
          <w:rPr>
            <w:rStyle w:val="Hyperlink"/>
          </w:rPr>
          <w:t xml:space="preserve">[16]</w:t>
        </w:r>
      </w:hyperlink>
      <w:r>
        <w:t xml:space="preserve"> </w:t>
      </w:r>
      <w:hyperlink r:id="rId36">
        <w:r>
          <w:rPr>
            <w:rStyle w:val="Hyperlink"/>
          </w:rPr>
          <w:t xml:space="preserve">[33]</w:t>
        </w:r>
      </w:hyperlink>
      <w:r>
        <w:t xml:space="preserve"> </w:t>
      </w:r>
      <w:r>
        <w:t xml:space="preserve">The Terrorism to Come | Hoover Institution The Terrorism to Come</w:t>
      </w:r>
    </w:p>
    <w:p>
      <w:pPr>
        <w:pStyle w:val="BodyText"/>
      </w:pPr>
      <w:hyperlink r:id="rId36">
        <w:r>
          <w:rPr>
            <w:rStyle w:val="Hyperlink"/>
          </w:rPr>
          <w:t xml:space="preserve">https://www.hoover.org/research/terrorism-come</w:t>
        </w:r>
      </w:hyperlink>
    </w:p>
    <w:p>
      <w:pPr>
        <w:pStyle w:val="BodyText"/>
      </w:pPr>
      <w:hyperlink r:id="rId37">
        <w:r>
          <w:rPr>
            <w:rStyle w:val="Hyperlink"/>
          </w:rPr>
          <w:t xml:space="preserve">[19]</w:t>
        </w:r>
      </w:hyperlink>
      <w:r>
        <w:t xml:space="preserve"> </w:t>
      </w:r>
      <w:hyperlink r:id="rId37">
        <w:r>
          <w:rPr>
            <w:rStyle w:val="Hyperlink"/>
          </w:rPr>
          <w:t xml:space="preserve">[40]</w:t>
        </w:r>
      </w:hyperlink>
      <w:r>
        <w:t xml:space="preserve"> </w:t>
      </w:r>
      <w:r>
        <w:t xml:space="preserve">https://onlinelibrary.wiley.com/doi/abs/10.1111/1468-4446.12319</w:t>
      </w:r>
    </w:p>
    <w:p>
      <w:pPr>
        <w:pStyle w:val="BodyText"/>
      </w:pPr>
      <w:hyperlink r:id="rId37">
        <w:r>
          <w:rPr>
            <w:rStyle w:val="Hyperlink"/>
          </w:rPr>
          <w:t xml:space="preserve">https://onlinelibrary.wiley.com/doi/abs/10.1111/1468-4446.12319</w:t>
        </w:r>
      </w:hyperlink>
    </w:p>
    <w:p>
      <w:pPr>
        <w:pStyle w:val="BodyText"/>
      </w:pPr>
      <w:hyperlink r:id="rId38">
        <w:r>
          <w:rPr>
            <w:rStyle w:val="Hyperlink"/>
          </w:rPr>
          <w:t xml:space="preserve">[20]</w:t>
        </w:r>
      </w:hyperlink>
      <w:r>
        <w:t xml:space="preserve"> </w:t>
      </w:r>
      <w:hyperlink r:id="rId38">
        <w:r>
          <w:rPr>
            <w:rStyle w:val="Hyperlink"/>
          </w:rPr>
          <w:t xml:space="preserve">[34]</w:t>
        </w:r>
      </w:hyperlink>
      <w:r>
        <w:t xml:space="preserve"> </w:t>
      </w:r>
      <w:r>
        <w:t xml:space="preserve">How psychoanalysis can help us make sense of Brexit | LSE British Politics</w:t>
      </w:r>
    </w:p>
    <w:p>
      <w:pPr>
        <w:pStyle w:val="BodyText"/>
      </w:pPr>
      <w:hyperlink r:id="rId38">
        <w:r>
          <w:rPr>
            <w:rStyle w:val="Hyperlink"/>
          </w:rPr>
          <w:t xml:space="preserve">https://blogs.lse.ac.uk/politicsandpolicy/how-psychoanalysis-can-help-us-make-sense-of-brexit/</w:t>
        </w:r>
      </w:hyperlink>
    </w:p>
    <w:p>
      <w:pPr>
        <w:pStyle w:val="BodyText"/>
      </w:pPr>
      <w:hyperlink r:id="rId39">
        <w:r>
          <w:rPr>
            <w:rStyle w:val="Hyperlink"/>
          </w:rPr>
          <w:t xml:space="preserve">[22]</w:t>
        </w:r>
      </w:hyperlink>
      <w:r>
        <w:t xml:space="preserve"> </w:t>
      </w:r>
      <w:hyperlink r:id="rId39">
        <w:r>
          <w:rPr>
            <w:rStyle w:val="Hyperlink"/>
          </w:rPr>
          <w:t xml:space="preserve">[27]</w:t>
        </w:r>
      </w:hyperlink>
      <w:r>
        <w:t xml:space="preserve"> </w:t>
      </w:r>
      <w:hyperlink r:id="rId39">
        <w:r>
          <w:rPr>
            <w:rStyle w:val="Hyperlink"/>
          </w:rPr>
          <w:t xml:space="preserve">[47]</w:t>
        </w:r>
      </w:hyperlink>
      <w:r>
        <w:t xml:space="preserve"> </w:t>
      </w:r>
      <w:hyperlink r:id="rId39">
        <w:r>
          <w:rPr>
            <w:rStyle w:val="Hyperlink"/>
          </w:rPr>
          <w:t xml:space="preserve">[50]</w:t>
        </w:r>
      </w:hyperlink>
      <w:r>
        <w:t xml:space="preserve"> </w:t>
      </w:r>
      <w:r>
        <w:t xml:space="preserve">https://www.researchgate.net/publication/248047301_The_Ultimate_Attribution_Error_Extending_Allport%27s_Cognitive_Analysis_of_Prejudice</w:t>
      </w:r>
    </w:p>
    <w:p>
      <w:pPr>
        <w:pStyle w:val="BodyText"/>
      </w:pPr>
      <w:hyperlink r:id="rId39">
        <w:r>
          <w:rPr>
            <w:rStyle w:val="Hyperlink"/>
          </w:rPr>
          <w:t xml:space="preserve">https://www.researchgate.net/publication/248047301_The_Ultimate_Attribution_Error_Extending_Allport%27s_Cognitive_Analysis_of_Prejudice</w:t>
        </w:r>
      </w:hyperlink>
    </w:p>
    <w:p>
      <w:pPr>
        <w:pStyle w:val="BodyText"/>
      </w:pPr>
      <w:hyperlink r:id="rId40">
        <w:r>
          <w:rPr>
            <w:rStyle w:val="Hyperlink"/>
          </w:rPr>
          <w:t xml:space="preserve">[23]</w:t>
        </w:r>
      </w:hyperlink>
      <w:r>
        <w:t xml:space="preserve"> </w:t>
      </w:r>
      <w:r>
        <w:t xml:space="preserve">https://www.euronews.com/2019/08/19/the-populist-wave-will-it-ebb-or-flow</w:t>
      </w:r>
    </w:p>
    <w:p>
      <w:pPr>
        <w:pStyle w:val="BodyText"/>
      </w:pPr>
      <w:hyperlink r:id="rId40">
        <w:r>
          <w:rPr>
            <w:rStyle w:val="Hyperlink"/>
          </w:rPr>
          <w:t xml:space="preserve">https://www.euronews.com/2019/08/19/the-populist-wave-will-it-ebb-or-flow</w:t>
        </w:r>
      </w:hyperlink>
    </w:p>
    <w:p>
      <w:pPr>
        <w:pStyle w:val="BodyText"/>
      </w:pPr>
      <w:hyperlink r:id="rId41">
        <w:r>
          <w:rPr>
            <w:rStyle w:val="Hyperlink"/>
          </w:rPr>
          <w:t xml:space="preserve">[25]</w:t>
        </w:r>
      </w:hyperlink>
      <w:r>
        <w:t xml:space="preserve"> </w:t>
      </w:r>
      <w:hyperlink r:id="rId41">
        <w:r>
          <w:rPr>
            <w:rStyle w:val="Hyperlink"/>
          </w:rPr>
          <w:t xml:space="preserve">[37]</w:t>
        </w:r>
      </w:hyperlink>
      <w:r>
        <w:t xml:space="preserve"> </w:t>
      </w:r>
      <w:r>
        <w:t xml:space="preserve">https://pmc.ncbi.nlm.nih.gov/articles/PMC5308407/</w:t>
      </w:r>
    </w:p>
    <w:p>
      <w:pPr>
        <w:pStyle w:val="BodyText"/>
      </w:pPr>
      <w:hyperlink r:id="rId41">
        <w:r>
          <w:rPr>
            <w:rStyle w:val="Hyperlink"/>
          </w:rPr>
          <w:t xml:space="preserve">https://pmc.ncbi.nlm.nih.gov/articles/PMC5308407/</w:t>
        </w:r>
      </w:hyperlink>
    </w:p>
    <w:p>
      <w:pPr>
        <w:pStyle w:val="BodyText"/>
      </w:pPr>
      <w:hyperlink r:id="rId42">
        <w:r>
          <w:rPr>
            <w:rStyle w:val="Hyperlink"/>
          </w:rPr>
          <w:t xml:space="preserve">[26]</w:t>
        </w:r>
      </w:hyperlink>
      <w:r>
        <w:t xml:space="preserve"> </w:t>
      </w:r>
      <w:r>
        <w:t xml:space="preserve">https://www.theguardian.com/world/2020/jul/03/online-hate-campaign-targets-indian-streaming-stars</w:t>
      </w:r>
    </w:p>
    <w:p>
      <w:pPr>
        <w:pStyle w:val="BodyText"/>
      </w:pPr>
      <w:hyperlink r:id="rId42">
        <w:r>
          <w:rPr>
            <w:rStyle w:val="Hyperlink"/>
          </w:rPr>
          <w:t xml:space="preserve">https://www.theguardian.com/world/2020/jul/03/online-hate-campaign-targets-indian-streaming-stars</w:t>
        </w:r>
      </w:hyperlink>
    </w:p>
    <w:p>
      <w:pPr>
        <w:pStyle w:val="BodyText"/>
      </w:pPr>
      <w:hyperlink r:id="rId43">
        <w:r>
          <w:rPr>
            <w:rStyle w:val="Hyperlink"/>
          </w:rPr>
          <w:t xml:space="preserve">[30]</w:t>
        </w:r>
      </w:hyperlink>
      <w:r>
        <w:t xml:space="preserve"> </w:t>
      </w:r>
      <w:r>
        <w:t xml:space="preserve">https://time.com/6151673/russia-ukraine-invasion-putin/</w:t>
      </w:r>
    </w:p>
    <w:p>
      <w:pPr>
        <w:pStyle w:val="BodyText"/>
      </w:pPr>
      <w:hyperlink r:id="rId43">
        <w:r>
          <w:rPr>
            <w:rStyle w:val="Hyperlink"/>
          </w:rPr>
          <w:t xml:space="preserve">https://time.com/6151673/russia-ukraine-invasion-putin/</w:t>
        </w:r>
      </w:hyperlink>
    </w:p>
    <w:p>
      <w:pPr>
        <w:pStyle w:val="BodyText"/>
      </w:pPr>
      <w:hyperlink r:id="rId44">
        <w:r>
          <w:rPr>
            <w:rStyle w:val="Hyperlink"/>
          </w:rPr>
          <w:t xml:space="preserve">[32]</w:t>
        </w:r>
      </w:hyperlink>
      <w:r>
        <w:t xml:space="preserve"> </w:t>
      </w:r>
      <w:r>
        <w:t xml:space="preserve">https://fastcapitalism.journal.library.uta.edu/index.php/fastcapitalism/article/view/355/407</w:t>
      </w:r>
    </w:p>
    <w:p>
      <w:pPr>
        <w:pStyle w:val="BodyText"/>
      </w:pPr>
      <w:hyperlink r:id="rId44">
        <w:r>
          <w:rPr>
            <w:rStyle w:val="Hyperlink"/>
          </w:rPr>
          <w:t xml:space="preserve">https://fastcapitalism.journal.library.uta.edu/index.php/fastcapitalism/article/view/355/407</w:t>
        </w:r>
      </w:hyperlink>
    </w:p>
    <w:p>
      <w:pPr>
        <w:pStyle w:val="BodyText"/>
      </w:pPr>
      <w:hyperlink r:id="rId51">
        <w:r>
          <w:rPr>
            <w:rStyle w:val="Hyperlink"/>
          </w:rPr>
          <w:t xml:space="preserve">[38]</w:t>
        </w:r>
      </w:hyperlink>
      <w:r>
        <w:t xml:space="preserve"> </w:t>
      </w:r>
      <w:r>
        <w:t xml:space="preserve">https://publications.aston.ac.uk/id/eprint/47966/1/Because_They_Are_Women_in_a_Man_s_World_A_Critical_Discourse_Analysis_of_Incel_Violent_Extremists_and_the_Stories_They_Tell.pdf</w:t>
      </w:r>
    </w:p>
    <w:p>
      <w:pPr>
        <w:pStyle w:val="BodyText"/>
      </w:pPr>
      <w:hyperlink r:id="rId51">
        <w:r>
          <w:rPr>
            <w:rStyle w:val="Hyperlink"/>
          </w:rPr>
          <w:t xml:space="preserve">https://publications.aston.ac.uk/id/eprint/47966/1/Because_They_Are_Women_in_a_Man_s_World_A_Critical_Discourse_Analysis_of_Incel_Violent_Extremists_and_the_Stories_They_Tell.pdf</w:t>
        </w:r>
      </w:hyperlink>
    </w:p>
    <w:p>
      <w:pPr>
        <w:pStyle w:val="BodyText"/>
      </w:pPr>
      <w:hyperlink r:id="rId56">
        <w:r>
          <w:rPr>
            <w:rStyle w:val="Hyperlink"/>
          </w:rPr>
          <w:t xml:space="preserve">[44]</w:t>
        </w:r>
      </w:hyperlink>
      <w:r>
        <w:t xml:space="preserve"> </w:t>
      </w:r>
      <w:r>
        <w:t xml:space="preserve">https://papers.ssrn.com/sol3/Delivery.cfm/SSRN_ID3739958_code2285938.pdf?abstractid=3433933&amp;mirid=1</w:t>
      </w:r>
    </w:p>
    <w:p>
      <w:pPr>
        <w:pStyle w:val="BodyText"/>
      </w:pPr>
      <w:hyperlink r:id="rId56">
        <w:r>
          <w:rPr>
            <w:rStyle w:val="Hyperlink"/>
          </w:rPr>
          <w:t xml:space="preserve">https://papers.ssrn.com/sol3/Delivery.cfm/SSRN_ID3739958_code2285938.pdf?abstractid=3433933&amp;mirid=1</w:t>
        </w:r>
      </w:hyperlink>
    </w:p>
    <w:p>
      <w:pPr>
        <w:pStyle w:val="BodyText"/>
      </w:pPr>
      <w:hyperlink r:id="rId57">
        <w:r>
          <w:rPr>
            <w:rStyle w:val="Hyperlink"/>
          </w:rPr>
          <w:t xml:space="preserve">[45]</w:t>
        </w:r>
      </w:hyperlink>
      <w:r>
        <w:t xml:space="preserve"> </w:t>
      </w:r>
      <w:r>
        <w:t xml:space="preserve">https://nlp.stanford.edu/pubs/demszky2019analyzing.pdf</w:t>
      </w:r>
    </w:p>
    <w:p>
      <w:pPr>
        <w:pStyle w:val="BodyText"/>
      </w:pPr>
      <w:hyperlink r:id="rId57">
        <w:r>
          <w:rPr>
            <w:rStyle w:val="Hyperlink"/>
          </w:rPr>
          <w:t xml:space="preserve">https://nlp.stanford.edu/pubs/demszky2019analyzing.pdf</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blogs.lse.ac.uk/politicsandpolicy/how-psychoanalysis-can-help-us-make-sense-of-brexit/" TargetMode="External" /><Relationship Type="http://schemas.openxmlformats.org/officeDocument/2006/relationships/hyperlink" Id="rId24" Target="https://dravni.co.il/wp-content/uploads/2013/12/Freud-S-1915.-Repression.pdf" TargetMode="External" /><Relationship Type="http://schemas.openxmlformats.org/officeDocument/2006/relationships/hyperlink" Id="rId35" Target="https://eclass.uowm.gr/modules/document/file.php/NURED263/SPE%202015%20Sapountzis%20%26%20Vikka.pdf" TargetMode="External" /><Relationship Type="http://schemas.openxmlformats.org/officeDocument/2006/relationships/hyperlink" Id="rId21" Target="https://faculty.fortlewis.edu/burke_b/personality/readings/freuddefense.pdf" TargetMode="External" /><Relationship Type="http://schemas.openxmlformats.org/officeDocument/2006/relationships/hyperlink" Id="rId44" Target="https://fastcapitalism.journal.library.uta.edu/index.php/fastcapitalism/article/view/355/407" TargetMode="External" /><Relationship Type="http://schemas.openxmlformats.org/officeDocument/2006/relationships/hyperlink" Id="rId22" Target="https://fbaum.unc.edu/teaching/articles/Psych-Bulletin-1990-Kunda.pdf" TargetMode="External" /><Relationship Type="http://schemas.openxmlformats.org/officeDocument/2006/relationships/hyperlink" Id="rId23" Target="https://naokiegami.com/paper/hatecrime.pdf" TargetMode="External" /><Relationship Type="http://schemas.openxmlformats.org/officeDocument/2006/relationships/hyperlink" Id="rId57" Target="https://nlp.stanford.edu/pubs/demszky2019analyzing.pdf" TargetMode="External" /><Relationship Type="http://schemas.openxmlformats.org/officeDocument/2006/relationships/hyperlink" Id="rId37" Target="https://onlinelibrary.wiley.com/doi/abs/10.1111/1468-4446.12319" TargetMode="External" /><Relationship Type="http://schemas.openxmlformats.org/officeDocument/2006/relationships/hyperlink" Id="rId56" Target="https://papers.ssrn.com/sol3/Delivery.cfm/SSRN_ID3739958_code2285938.pdf?abstractid=3433933&amp;mirid=1" TargetMode="External" /><Relationship Type="http://schemas.openxmlformats.org/officeDocument/2006/relationships/hyperlink" Id="rId31" Target="https://philpapers.org/archive/BRUFAE-2.pdf" TargetMode="External" /><Relationship Type="http://schemas.openxmlformats.org/officeDocument/2006/relationships/hyperlink" Id="rId28" Target="https://plato.stanford.edu/archives/sum2014/entries/popper/" TargetMode="External" /><Relationship Type="http://schemas.openxmlformats.org/officeDocument/2006/relationships/hyperlink" Id="rId41" Target="https://pmc.ncbi.nlm.nih.gov/articles/PMC5308407/" TargetMode="External" /><Relationship Type="http://schemas.openxmlformats.org/officeDocument/2006/relationships/hyperlink" Id="rId51" Target="https://publications.aston.ac.uk/id/eprint/47966/1/Because_They_Are_Women_in_a_Man_s_World_A_Critical_Discourse_Analysis_of_Incel_Violent_Extremists_and_the_Stories_They_Tell.pdf" TargetMode="External" /><Relationship Type="http://schemas.openxmlformats.org/officeDocument/2006/relationships/hyperlink" Id="rId43" Target="https://time.com/6151673/russia-ukraine-invasion-putin/" TargetMode="External" /><Relationship Type="http://schemas.openxmlformats.org/officeDocument/2006/relationships/hyperlink" Id="rId30" Target="https://users.phhp.ufl.edu/rbauer/cognitive/loftus_false_memory.pdf" TargetMode="External" /><Relationship Type="http://schemas.openxmlformats.org/officeDocument/2006/relationships/hyperlink" Id="rId40" Target="https://www.euronews.com/2019/08/19/the-populist-wave-will-it-ebb-or-flow" TargetMode="External" /><Relationship Type="http://schemas.openxmlformats.org/officeDocument/2006/relationships/hyperlink" Id="rId36" Target="https://www.hoover.org/research/terrorism-come" TargetMode="External" /><Relationship Type="http://schemas.openxmlformats.org/officeDocument/2006/relationships/hyperlink" Id="rId29" Target="https://www.jstor.org/stable/10.1525/j.ctt7zw28g" TargetMode="External" /><Relationship Type="http://schemas.openxmlformats.org/officeDocument/2006/relationships/hyperlink" Id="rId34" Target="https://www.pnas.org/doi/10.1073/pnas.1718155115" TargetMode="External" /><Relationship Type="http://schemas.openxmlformats.org/officeDocument/2006/relationships/hyperlink" Id="rId39" Target="https://www.researchgate.net/publication/248047301_The_Ultimate_Attribution_Error_Extending_Allport%27s_Cognitive_Analysis_of_Prejudice" TargetMode="External" /><Relationship Type="http://schemas.openxmlformats.org/officeDocument/2006/relationships/hyperlink" Id="rId26" Target="https://www.stephenhicks.org/wp-content/uploads/2015/10/FreudS-CIVILIZATION-AND-ITS-DISCONTENTS-text-final.pdf" TargetMode="External" /><Relationship Type="http://schemas.openxmlformats.org/officeDocument/2006/relationships/hyperlink" Id="rId42" Target="https://www.theguardian.com/world/2020/jul/03/online-hate-campaign-targets-indian-streaming-stars" TargetMode="External" /></Relationships>
</file>

<file path=word/_rels/footnotes.xml.rels><?xml version="1.0" encoding="UTF-8"?><Relationships xmlns="http://schemas.openxmlformats.org/package/2006/relationships"><Relationship Type="http://schemas.openxmlformats.org/officeDocument/2006/relationships/hyperlink" Id="rId38" Target="https://blogs.lse.ac.uk/politicsandpolicy/how-psychoanalysis-can-help-us-make-sense-of-brexit/" TargetMode="External" /><Relationship Type="http://schemas.openxmlformats.org/officeDocument/2006/relationships/hyperlink" Id="rId24" Target="https://dravni.co.il/wp-content/uploads/2013/12/Freud-S-1915.-Repression.pdf" TargetMode="External" /><Relationship Type="http://schemas.openxmlformats.org/officeDocument/2006/relationships/hyperlink" Id="rId35" Target="https://eclass.uowm.gr/modules/document/file.php/NURED263/SPE%202015%20Sapountzis%20%26%20Vikka.pdf" TargetMode="External" /><Relationship Type="http://schemas.openxmlformats.org/officeDocument/2006/relationships/hyperlink" Id="rId21" Target="https://faculty.fortlewis.edu/burke_b/personality/readings/freuddefense.pdf" TargetMode="External" /><Relationship Type="http://schemas.openxmlformats.org/officeDocument/2006/relationships/hyperlink" Id="rId44" Target="https://fastcapitalism.journal.library.uta.edu/index.php/fastcapitalism/article/view/355/407" TargetMode="External" /><Relationship Type="http://schemas.openxmlformats.org/officeDocument/2006/relationships/hyperlink" Id="rId22" Target="https://fbaum.unc.edu/teaching/articles/Psych-Bulletin-1990-Kunda.pdf" TargetMode="External" /><Relationship Type="http://schemas.openxmlformats.org/officeDocument/2006/relationships/hyperlink" Id="rId23" Target="https://naokiegami.com/paper/hatecrime.pdf" TargetMode="External" /><Relationship Type="http://schemas.openxmlformats.org/officeDocument/2006/relationships/hyperlink" Id="rId57" Target="https://nlp.stanford.edu/pubs/demszky2019analyzing.pdf" TargetMode="External" /><Relationship Type="http://schemas.openxmlformats.org/officeDocument/2006/relationships/hyperlink" Id="rId37" Target="https://onlinelibrary.wiley.com/doi/abs/10.1111/1468-4446.12319" TargetMode="External" /><Relationship Type="http://schemas.openxmlformats.org/officeDocument/2006/relationships/hyperlink" Id="rId56" Target="https://papers.ssrn.com/sol3/Delivery.cfm/SSRN_ID3739958_code2285938.pdf?abstractid=3433933&amp;mirid=1" TargetMode="External" /><Relationship Type="http://schemas.openxmlformats.org/officeDocument/2006/relationships/hyperlink" Id="rId31" Target="https://philpapers.org/archive/BRUFAE-2.pdf" TargetMode="External" /><Relationship Type="http://schemas.openxmlformats.org/officeDocument/2006/relationships/hyperlink" Id="rId28" Target="https://plato.stanford.edu/archives/sum2014/entries/popper/" TargetMode="External" /><Relationship Type="http://schemas.openxmlformats.org/officeDocument/2006/relationships/hyperlink" Id="rId41" Target="https://pmc.ncbi.nlm.nih.gov/articles/PMC5308407/" TargetMode="External" /><Relationship Type="http://schemas.openxmlformats.org/officeDocument/2006/relationships/hyperlink" Id="rId51" Target="https://publications.aston.ac.uk/id/eprint/47966/1/Because_They_Are_Women_in_a_Man_s_World_A_Critical_Discourse_Analysis_of_Incel_Violent_Extremists_and_the_Stories_They_Tell.pdf" TargetMode="External" /><Relationship Type="http://schemas.openxmlformats.org/officeDocument/2006/relationships/hyperlink" Id="rId43" Target="https://time.com/6151673/russia-ukraine-invasion-putin/" TargetMode="External" /><Relationship Type="http://schemas.openxmlformats.org/officeDocument/2006/relationships/hyperlink" Id="rId30" Target="https://users.phhp.ufl.edu/rbauer/cognitive/loftus_false_memory.pdf" TargetMode="External" /><Relationship Type="http://schemas.openxmlformats.org/officeDocument/2006/relationships/hyperlink" Id="rId40" Target="https://www.euronews.com/2019/08/19/the-populist-wave-will-it-ebb-or-flow" TargetMode="External" /><Relationship Type="http://schemas.openxmlformats.org/officeDocument/2006/relationships/hyperlink" Id="rId36" Target="https://www.hoover.org/research/terrorism-come" TargetMode="External" /><Relationship Type="http://schemas.openxmlformats.org/officeDocument/2006/relationships/hyperlink" Id="rId29" Target="https://www.jstor.org/stable/10.1525/j.ctt7zw28g" TargetMode="External" /><Relationship Type="http://schemas.openxmlformats.org/officeDocument/2006/relationships/hyperlink" Id="rId34" Target="https://www.pnas.org/doi/10.1073/pnas.1718155115" TargetMode="External" /><Relationship Type="http://schemas.openxmlformats.org/officeDocument/2006/relationships/hyperlink" Id="rId39" Target="https://www.researchgate.net/publication/248047301_The_Ultimate_Attribution_Error_Extending_Allport%27s_Cognitive_Analysis_of_Prejudice" TargetMode="External" /><Relationship Type="http://schemas.openxmlformats.org/officeDocument/2006/relationships/hyperlink" Id="rId26" Target="https://www.stephenhicks.org/wp-content/uploads/2015/10/FreudS-CIVILIZATION-AND-ITS-DISCONTENTS-text-final.pdf" TargetMode="External" /><Relationship Type="http://schemas.openxmlformats.org/officeDocument/2006/relationships/hyperlink" Id="rId42" Target="https://www.theguardian.com/world/2020/jul/03/online-hate-campaign-targets-indian-streaming-st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2026-03-21T02:56:44Z</dcterms:created>
  <dcterms:modified xsi:type="dcterms:W3CDTF">2026-03-21T02:56:44Z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