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5" w:name="content"/>
    <w:bookmarkStart w:id="44" w:name="Xa9ba2d024dd271d464374e20a9c1d2a2c2e0ebc"/>
    <w:p>
      <w:pPr>
        <w:pStyle w:val="Heading1"/>
      </w:pPr>
      <w:r>
        <w:t xml:space="preserve">Global Population Dynamics: Peaks in Population Level and Growth Rates</w:t>
      </w:r>
    </w:p>
    <w:bookmarkStart w:id="24" w:name="executive-summary"/>
    <w:p>
      <w:pPr>
        <w:pStyle w:val="Heading2"/>
      </w:pPr>
      <w:r>
        <w:t xml:space="preserve">Executive summary</w:t>
      </w:r>
    </w:p>
    <w:p>
      <w:pPr>
        <w:pStyle w:val="FirstParagraph"/>
      </w:pPr>
      <w:r>
        <w:t xml:space="preserve">The short answer to your original question is</w:t>
      </w:r>
      <w:r>
        <w:t xml:space="preserve"> </w:t>
      </w:r>
      <w:r>
        <w:rPr>
          <w:b/>
          <w:bCs/>
        </w:rPr>
        <w:t xml:space="preserve">yes</w:t>
      </w:r>
      <w:r>
        <w:t xml:space="preserve">: the</w:t>
      </w:r>
      <w:r>
        <w:t xml:space="preserve"> </w:t>
      </w:r>
      <w:r>
        <w:rPr>
          <w:b/>
          <w:bCs/>
        </w:rPr>
        <w:t xml:space="preserve">largest total world population (so far) is occurring in the present era</w:t>
      </w:r>
      <w:r>
        <w:t xml:space="preserve">, and therefore within the last 100 years. This is because global population increased rapidly during the 20th century and has continued rising into the 2020s.</w:t>
      </w:r>
      <w:r>
        <w:t xml:space="preserve"> </w:t>
      </w:r>
      <w:hyperlink r:id="rId21">
        <w:r>
          <w:rPr>
            <w:rStyle w:val="Hyperlink"/>
          </w:rPr>
          <w:t xml:space="preserve">[1]</w:t>
        </w:r>
      </w:hyperlink>
    </w:p>
    <w:p>
      <w:pPr>
        <w:pStyle w:val="BodyText"/>
      </w:pPr>
      <w:r>
        <w:t xml:space="preserve">Key findings from authoritative demographic series:</w:t>
      </w:r>
    </w:p>
    <w:p>
      <w:pPr>
        <w:pStyle w:val="BodyText"/>
      </w:pPr>
      <w:r>
        <w:t xml:space="preserve">Global</w:t>
      </w:r>
      <w:r>
        <w:t xml:space="preserve"> </w:t>
      </w:r>
      <w:r>
        <w:rPr>
          <w:b/>
          <w:bCs/>
        </w:rPr>
        <w:t xml:space="preserve">population level (size)</w:t>
      </w:r>
      <w:r>
        <w:br/>
      </w:r>
      <w:r>
        <w:t xml:space="preserve">The most recent official UN assessment reports the world at</w:t>
      </w:r>
      <w:r>
        <w:t xml:space="preserve"> </w:t>
      </w:r>
      <w:r>
        <w:rPr>
          <w:b/>
          <w:bCs/>
        </w:rPr>
        <w:t xml:space="preserve">~8.2 billion in 2024</w:t>
      </w:r>
      <w:r>
        <w:t xml:space="preserve"> </w:t>
      </w:r>
      <w:r>
        <w:t xml:space="preserve">and projects a</w:t>
      </w:r>
      <w:r>
        <w:t xml:space="preserve"> </w:t>
      </w:r>
      <w:r>
        <w:rPr>
          <w:b/>
          <w:bCs/>
        </w:rPr>
        <w:t xml:space="preserve">peak in the mid‑2080s at ~10.3 billion</w:t>
      </w:r>
      <w:r>
        <w:t xml:space="preserve">, followed by a slight decline to</w:t>
      </w:r>
      <w:r>
        <w:t xml:space="preserve"> </w:t>
      </w:r>
      <w:r>
        <w:rPr>
          <w:b/>
          <w:bCs/>
        </w:rPr>
        <w:t xml:space="preserve">~10.2 billion by 2100</w:t>
      </w:r>
      <w:r>
        <w:t xml:space="preserve">.</w:t>
      </w:r>
      <w:r>
        <w:t xml:space="preserve"> </w:t>
      </w:r>
      <w:hyperlink r:id="rId21">
        <w:r>
          <w:rPr>
            <w:rStyle w:val="Hyperlink"/>
          </w:rPr>
          <w:t xml:space="preserve">[2]</w:t>
        </w:r>
      </w:hyperlink>
      <w:r>
        <w:br/>
      </w:r>
      <w:r>
        <w:t xml:space="preserve">Independent calculations from the UN’s probabilistic projection outputs (median) place the world peak at</w:t>
      </w:r>
      <w:r>
        <w:t xml:space="preserve"> </w:t>
      </w:r>
      <w:r>
        <w:rPr>
          <w:b/>
          <w:bCs/>
        </w:rPr>
        <w:t xml:space="preserve">~10.289 billion in 2084</w:t>
      </w:r>
      <w:r>
        <w:t xml:space="preserve">.</w:t>
      </w:r>
      <w:r>
        <w:t xml:space="preserve"> </w:t>
      </w:r>
      <w:hyperlink r:id="rId22">
        <w:r>
          <w:rPr>
            <w:rStyle w:val="Hyperlink"/>
          </w:rPr>
          <w:t xml:space="preserve">[3]</w:t>
        </w:r>
      </w:hyperlink>
    </w:p>
    <w:p>
      <w:pPr>
        <w:pStyle w:val="BodyText"/>
      </w:pPr>
      <w:r>
        <w:t xml:space="preserve">Global</w:t>
      </w:r>
      <w:r>
        <w:t xml:space="preserve"> </w:t>
      </w:r>
      <w:r>
        <w:rPr>
          <w:b/>
          <w:bCs/>
        </w:rPr>
        <w:t xml:space="preserve">population growth rate</w:t>
      </w:r>
      <w:r>
        <w:br/>
      </w:r>
      <w:r>
        <w:t xml:space="preserve">Multiple syntheses based on UN estimates show the</w:t>
      </w:r>
      <w:r>
        <w:t xml:space="preserve"> </w:t>
      </w:r>
      <w:r>
        <w:rPr>
          <w:b/>
          <w:bCs/>
        </w:rPr>
        <w:t xml:space="preserve">global annual population growth rate peaked around 1963</w:t>
      </w:r>
      <w:r>
        <w:t xml:space="preserve"> </w:t>
      </w:r>
      <w:r>
        <w:t xml:space="preserve">at roughly</w:t>
      </w:r>
      <w:r>
        <w:t xml:space="preserve"> </w:t>
      </w:r>
      <w:r>
        <w:rPr>
          <w:b/>
          <w:bCs/>
        </w:rPr>
        <w:t xml:space="preserve">2.3% per year</w:t>
      </w:r>
      <w:r>
        <w:t xml:space="preserve">, and has declined substantially since.</w:t>
      </w:r>
      <w:r>
        <w:t xml:space="preserve"> </w:t>
      </w:r>
      <w:hyperlink r:id="rId23">
        <w:r>
          <w:rPr>
            <w:rStyle w:val="Hyperlink"/>
          </w:rPr>
          <w:t xml:space="preserve">[4]</w:t>
        </w:r>
      </w:hyperlink>
    </w:p>
    <w:p>
      <w:pPr>
        <w:pStyle w:val="BodyText"/>
      </w:pPr>
      <w:r>
        <w:t xml:space="preserve">Regional differences are large and persistent</w:t>
      </w:r>
      <w:r>
        <w:br/>
      </w:r>
      <w:r>
        <w:t xml:space="preserve">Using the UN’s 2024–2100 probabilistic median projections (major-region aggregates), the highest current (2024) growth remains in</w:t>
      </w:r>
      <w:r>
        <w:t xml:space="preserve"> </w:t>
      </w:r>
      <w:r>
        <w:rPr>
          <w:b/>
          <w:bCs/>
        </w:rPr>
        <w:t xml:space="preserve">Africa</w:t>
      </w:r>
      <w:r>
        <w:t xml:space="preserve">, while</w:t>
      </w:r>
      <w:r>
        <w:t xml:space="preserve"> </w:t>
      </w:r>
      <w:r>
        <w:rPr>
          <w:b/>
          <w:bCs/>
        </w:rPr>
        <w:t xml:space="preserve">Europe</w:t>
      </w:r>
      <w:r>
        <w:t xml:space="preserve"> </w:t>
      </w:r>
      <w:r>
        <w:t xml:space="preserve">is already in net decline (negative growth). Several regions are projected to</w:t>
      </w:r>
      <w:r>
        <w:t xml:space="preserve"> </w:t>
      </w:r>
      <w:r>
        <w:rPr>
          <w:b/>
          <w:bCs/>
        </w:rPr>
        <w:t xml:space="preserve">peak in size before 2100</w:t>
      </w:r>
      <w:r>
        <w:t xml:space="preserve"> </w:t>
      </w:r>
      <w:r>
        <w:t xml:space="preserve">(notably Asia and Latin America &amp; the Caribbean), while Africa, Northern America, and Oceania are projected to</w:t>
      </w:r>
      <w:r>
        <w:t xml:space="preserve"> </w:t>
      </w:r>
      <w:r>
        <w:rPr>
          <w:b/>
          <w:bCs/>
        </w:rPr>
        <w:t xml:space="preserve">still be increasing at 2100</w:t>
      </w:r>
      <w:r>
        <w:t xml:space="preserve"> </w:t>
      </w:r>
      <w:r>
        <w:t xml:space="preserve">under median assumptions.</w:t>
      </w:r>
      <w:r>
        <w:t xml:space="preserve"> </w:t>
      </w:r>
      <w:hyperlink r:id="rId22">
        <w:r>
          <w:rPr>
            <w:rStyle w:val="Hyperlink"/>
          </w:rPr>
          <w:t xml:space="preserve">[5]</w:t>
        </w:r>
      </w:hyperlink>
    </w:p>
    <w:bookmarkEnd w:id="24"/>
    <w:bookmarkStart w:id="28" w:name="data-sources-and-methodological-approach"/>
    <w:p>
      <w:pPr>
        <w:pStyle w:val="Heading2"/>
      </w:pPr>
      <w:r>
        <w:t xml:space="preserve">Data sources and methodological approach</w:t>
      </w:r>
    </w:p>
    <w:p>
      <w:pPr>
        <w:pStyle w:val="FirstParagraph"/>
      </w:pPr>
      <w:r>
        <w:t xml:space="preserve">This report relies primarily on:</w:t>
      </w:r>
    </w:p>
    <w:p>
      <w:pPr>
        <w:pStyle w:val="Compact"/>
        <w:numPr>
          <w:ilvl w:val="0"/>
          <w:numId w:val="1001"/>
        </w:numPr>
      </w:pPr>
      <w:r>
        <w:t xml:space="preserve">United Nations Department of Economic and Social Affairs</w:t>
      </w:r>
      <w:hyperlink r:id="rId21">
        <w:r>
          <w:rPr>
            <w:rStyle w:val="Hyperlink"/>
          </w:rPr>
          <w:t xml:space="preserve">[6]</w:t>
        </w:r>
      </w:hyperlink>
      <w:r>
        <w:t xml:space="preserve">, Population Division outputs associated with</w:t>
      </w:r>
      <w:r>
        <w:t xml:space="preserve"> </w:t>
      </w:r>
      <w:r>
        <w:rPr>
          <w:b/>
          <w:bCs/>
        </w:rPr>
        <w:t xml:space="preserve">World Population Prospects 2024</w:t>
      </w:r>
      <w:r>
        <w:t xml:space="preserve"> </w:t>
      </w:r>
      <w:r>
        <w:t xml:space="preserve">(population projections, growth rates, and peak-year statements).</w:t>
      </w:r>
      <w:r>
        <w:t xml:space="preserve"> </w:t>
      </w:r>
      <w:hyperlink r:id="rId21">
        <w:r>
          <w:rPr>
            <w:rStyle w:val="Hyperlink"/>
          </w:rPr>
          <w:t xml:space="preserve">[7]</w:t>
        </w:r>
      </w:hyperlink>
    </w:p>
    <w:p>
      <w:pPr>
        <w:pStyle w:val="Compact"/>
        <w:numPr>
          <w:ilvl w:val="0"/>
          <w:numId w:val="1001"/>
        </w:numPr>
      </w:pPr>
      <w:r>
        <w:t xml:space="preserve">Our World in Data</w:t>
      </w:r>
      <w:hyperlink r:id="rId25">
        <w:r>
          <w:rPr>
            <w:rStyle w:val="Hyperlink"/>
          </w:rPr>
          <w:t xml:space="preserve">[8]</w:t>
        </w:r>
      </w:hyperlink>
      <w:r>
        <w:t xml:space="preserve"> </w:t>
      </w:r>
      <w:r>
        <w:t xml:space="preserve">for transparent reconstructions of population growth trajectories and key milestones, explicitly based on UN historical estimates and medium-scenario projections.</w:t>
      </w:r>
      <w:r>
        <w:t xml:space="preserve"> </w:t>
      </w:r>
      <w:hyperlink r:id="rId23">
        <w:r>
          <w:rPr>
            <w:rStyle w:val="Hyperlink"/>
          </w:rPr>
          <w:t xml:space="preserve">[9]</w:t>
        </w:r>
      </w:hyperlink>
    </w:p>
    <w:bookmarkStart w:id="26" w:name="definitions-used-in-this-analysis"/>
    <w:p>
      <w:pPr>
        <w:pStyle w:val="Heading3"/>
      </w:pPr>
      <w:r>
        <w:t xml:space="preserve">Definitions used in this analysis</w:t>
      </w:r>
    </w:p>
    <w:p>
      <w:pPr>
        <w:pStyle w:val="FirstParagraph"/>
      </w:pPr>
      <w:r>
        <w:rPr>
          <w:b/>
          <w:bCs/>
        </w:rPr>
        <w:t xml:space="preserve">Population “peak (year)”</w:t>
      </w:r>
      <w:r>
        <w:br/>
      </w:r>
      <w:r>
        <w:t xml:space="preserve">The year when total population reaches its maximum within a defined time window. For forward-looking analysis, “peak” is often reported for the</w:t>
      </w:r>
      <w:r>
        <w:t xml:space="preserve"> </w:t>
      </w:r>
      <w:r>
        <w:rPr>
          <w:b/>
          <w:bCs/>
        </w:rPr>
        <w:t xml:space="preserve">projection horizon</w:t>
      </w:r>
      <w:r>
        <w:t xml:space="preserve"> </w:t>
      </w:r>
      <w:r>
        <w:t xml:space="preserve">(here: 2024–2100 in the probabilistic files used for computations).</w:t>
      </w:r>
      <w:r>
        <w:t xml:space="preserve"> </w:t>
      </w:r>
      <w:hyperlink r:id="rId21">
        <w:r>
          <w:rPr>
            <w:rStyle w:val="Hyperlink"/>
          </w:rPr>
          <w:t xml:space="preserve">[10]</w:t>
        </w:r>
      </w:hyperlink>
    </w:p>
    <w:p>
      <w:pPr>
        <w:pStyle w:val="BodyText"/>
      </w:pPr>
      <w:r>
        <w:rPr>
          <w:b/>
          <w:bCs/>
        </w:rPr>
        <w:t xml:space="preserve">Annual population growth rate</w:t>
      </w:r>
      <w:r>
        <w:br/>
      </w:r>
      <w:r>
        <w:t xml:space="preserve">Typically computed as an annual percentage (often expressed as an exponential rate). In the UN/OWID contexts, “growth rate” is the annual change rate of total population (births–deaths ± migration effects), reported as percent per year.</w:t>
      </w:r>
      <w:r>
        <w:t xml:space="preserve"> </w:t>
      </w:r>
      <w:hyperlink r:id="rId23">
        <w:r>
          <w:rPr>
            <w:rStyle w:val="Hyperlink"/>
          </w:rPr>
          <w:t xml:space="preserve">[11]</w:t>
        </w:r>
      </w:hyperlink>
    </w:p>
    <w:bookmarkEnd w:id="26"/>
    <w:bookmarkStart w:id="27" w:name="X70ce4e25a5f266d42a9a35410f626b646545601"/>
    <w:p>
      <w:pPr>
        <w:pStyle w:val="Heading3"/>
      </w:pPr>
      <w:r>
        <w:t xml:space="preserve">What is “historical peak” vs “projected peak”?</w:t>
      </w:r>
    </w:p>
    <w:p>
      <w:pPr>
        <w:pStyle w:val="Compact"/>
        <w:numPr>
          <w:ilvl w:val="0"/>
          <w:numId w:val="1002"/>
        </w:numPr>
      </w:pPr>
      <w:r>
        <w:rPr>
          <w:b/>
          <w:bCs/>
        </w:rPr>
        <w:t xml:space="preserve">Historical peak to date</w:t>
      </w:r>
      <w:r>
        <w:t xml:space="preserve">: the highest population observed/estimated up to the most recent year (for the world, essentially “now,” since the world has not yet begun to shrink overall).</w:t>
      </w:r>
      <w:r>
        <w:t xml:space="preserve"> </w:t>
      </w:r>
      <w:hyperlink r:id="rId21">
        <w:r>
          <w:rPr>
            <w:rStyle w:val="Hyperlink"/>
          </w:rPr>
          <w:t xml:space="preserve">[1]</w:t>
        </w:r>
      </w:hyperlink>
    </w:p>
    <w:p>
      <w:pPr>
        <w:pStyle w:val="Compact"/>
        <w:numPr>
          <w:ilvl w:val="0"/>
          <w:numId w:val="1002"/>
        </w:numPr>
      </w:pPr>
      <w:r>
        <w:rPr>
          <w:b/>
          <w:bCs/>
        </w:rPr>
        <w:t xml:space="preserve">Projected peak</w:t>
      </w:r>
      <w:r>
        <w:t xml:space="preserve">: the highest population in the forecast window (UN typically reports the</w:t>
      </w:r>
      <w:r>
        <w:t xml:space="preserve"> </w:t>
      </w:r>
      <w:r>
        <w:rPr>
          <w:b/>
          <w:bCs/>
        </w:rPr>
        <w:t xml:space="preserve">median</w:t>
      </w:r>
      <w:r>
        <w:t xml:space="preserve"> </w:t>
      </w:r>
      <w:r>
        <w:t xml:space="preserve">or “central” trajectory).</w:t>
      </w:r>
      <w:r>
        <w:t xml:space="preserve"> </w:t>
      </w:r>
      <w:hyperlink r:id="rId21">
        <w:r>
          <w:rPr>
            <w:rStyle w:val="Hyperlink"/>
          </w:rPr>
          <w:t xml:space="preserve">[7]</w:t>
        </w:r>
      </w:hyperlink>
    </w:p>
    <w:bookmarkEnd w:id="27"/>
    <w:bookmarkEnd w:id="28"/>
    <w:bookmarkStart w:id="32" w:name="Xbdf9e142404d6d97f9cffa8fdf5e0226289b518"/>
    <w:p>
      <w:pPr>
        <w:pStyle w:val="Heading2"/>
      </w:pPr>
      <w:r>
        <w:t xml:space="preserve">World population size peaks and global growth-rate peaks</w:t>
      </w:r>
    </w:p>
    <w:bookmarkStart w:id="29" w:name="Xf474d4999ffe7bef7f9839be043708d01fdd23c"/>
    <w:p>
      <w:pPr>
        <w:pStyle w:val="Heading3"/>
      </w:pPr>
      <w:r>
        <w:t xml:space="preserve">Global population level: record highs and the projected maximum</w:t>
      </w:r>
    </w:p>
    <w:p>
      <w:pPr>
        <w:pStyle w:val="FirstParagraph"/>
      </w:pPr>
      <w:r>
        <w:t xml:space="preserve">The UN’s 2024 release emphasizes that the world is expected to continue growing for decades, peaking</w:t>
      </w:r>
      <w:r>
        <w:t xml:space="preserve"> </w:t>
      </w:r>
      <w:r>
        <w:rPr>
          <w:b/>
          <w:bCs/>
        </w:rPr>
        <w:t xml:space="preserve">in the mid‑2080s</w:t>
      </w:r>
      <w:r>
        <w:t xml:space="preserve"> </w:t>
      </w:r>
      <w:r>
        <w:t xml:space="preserve">and then declining slightly by 2100.</w:t>
      </w:r>
      <w:r>
        <w:t xml:space="preserve"> </w:t>
      </w:r>
      <w:hyperlink r:id="rId21">
        <w:r>
          <w:rPr>
            <w:rStyle w:val="Hyperlink"/>
          </w:rPr>
          <w:t xml:space="preserve">[2]</w:t>
        </w:r>
      </w:hyperlink>
    </w:p>
    <w:p>
      <w:pPr>
        <w:pStyle w:val="BodyText"/>
      </w:pPr>
      <w:r>
        <w:t xml:space="preserve">A widely used visualization of the same UN-based trajectory highlights major milestones (e.g., ~1 billion in the early 1800s; ~2 billion by the 1920s; ~5 billion in the late 1980s; and ~8 billion in 2022), reinforcing how concentrated the absolute increase has been in the last century.</w:t>
      </w:r>
      <w:r>
        <w:t xml:space="preserve"> </w:t>
      </w:r>
      <w:hyperlink r:id="rId23">
        <w:r>
          <w:rPr>
            <w:rStyle w:val="Hyperlink"/>
          </w:rPr>
          <w:t xml:space="preserve">[12]</w:t>
        </w:r>
      </w:hyperlink>
    </w:p>
    <w:bookmarkEnd w:id="29"/>
    <w:bookmarkStart w:id="31" w:name="Xa62d628b72c480f02f6dc6652a9f377ef3aa625"/>
    <w:p>
      <w:pPr>
        <w:pStyle w:val="Heading3"/>
      </w:pPr>
      <w:r>
        <w:t xml:space="preserve">Global population growth rate: the mid-20th-century apex</w:t>
      </w:r>
    </w:p>
    <w:p>
      <w:pPr>
        <w:pStyle w:val="FirstParagraph"/>
      </w:pPr>
      <w:r>
        <w:t xml:space="preserve">The global growth rate is</w:t>
      </w:r>
      <w:r>
        <w:t xml:space="preserve"> </w:t>
      </w:r>
      <w:r>
        <w:rPr>
          <w:b/>
          <w:bCs/>
        </w:rPr>
        <w:t xml:space="preserve">not</w:t>
      </w:r>
      <w:r>
        <w:t xml:space="preserve"> </w:t>
      </w:r>
      <w:r>
        <w:t xml:space="preserve">exponential in the long run. It rose through the early and mid‑20th century, reached a maximum in the early 1960s, and has been falling since.</w:t>
      </w:r>
      <w:r>
        <w:t xml:space="preserve"> </w:t>
      </w:r>
      <w:hyperlink r:id="rId30">
        <w:r>
          <w:rPr>
            <w:rStyle w:val="Hyperlink"/>
          </w:rPr>
          <w:t xml:space="preserve">[13]</w:t>
        </w:r>
      </w:hyperlink>
    </w:p>
    <w:p>
      <w:pPr>
        <w:pStyle w:val="BodyText"/>
      </w:pPr>
      <w:r>
        <w:t xml:space="preserve">Authoritative summaries based on UN historical estimates place:</w:t>
      </w:r>
      <w:r>
        <w:t xml:space="preserve"> </w:t>
      </w:r>
      <w:r>
        <w:t xml:space="preserve">-</w:t>
      </w:r>
      <w:r>
        <w:t xml:space="preserve"> </w:t>
      </w:r>
      <w:r>
        <w:rPr>
          <w:b/>
          <w:bCs/>
        </w:rPr>
        <w:t xml:space="preserve">Peak growth rate</w:t>
      </w:r>
      <w:r>
        <w:t xml:space="preserve">: ~</w:t>
      </w:r>
      <w:r>
        <w:rPr>
          <w:b/>
          <w:bCs/>
        </w:rPr>
        <w:t xml:space="preserve">2.3% per year</w:t>
      </w:r>
      <w:r>
        <w:br/>
      </w:r>
      <w:r>
        <w:t xml:space="preserve">-</w:t>
      </w:r>
      <w:r>
        <w:t xml:space="preserve"> </w:t>
      </w:r>
      <w:r>
        <w:rPr>
          <w:b/>
          <w:bCs/>
        </w:rPr>
        <w:t xml:space="preserve">Peak year</w:t>
      </w:r>
      <w:r>
        <w:t xml:space="preserve">:</w:t>
      </w:r>
      <w:r>
        <w:t xml:space="preserve"> </w:t>
      </w:r>
      <w:r>
        <w:rPr>
          <w:b/>
          <w:bCs/>
        </w:rPr>
        <w:t xml:space="preserve">1963</w:t>
      </w:r>
      <w:r>
        <w:t xml:space="preserve"> </w:t>
      </w:r>
      <w:hyperlink r:id="rId23">
        <w:r>
          <w:rPr>
            <w:rStyle w:val="Hyperlink"/>
          </w:rPr>
          <w:t xml:space="preserve">[4]</w:t>
        </w:r>
      </w:hyperlink>
    </w:p>
    <w:p>
      <w:pPr>
        <w:pStyle w:val="BodyText"/>
      </w:pPr>
      <w:r>
        <w:t xml:space="preserve">This decline in growth rate can coexist with continued increases in total population because the world remains in positive growth; the annual percentage is smaller, but the base population is much larger.</w:t>
      </w:r>
      <w:r>
        <w:t xml:space="preserve"> </w:t>
      </w:r>
      <w:hyperlink r:id="rId30">
        <w:r>
          <w:rPr>
            <w:rStyle w:val="Hyperlink"/>
          </w:rPr>
          <w:t xml:space="preserve">[14]</w:t>
        </w:r>
      </w:hyperlink>
    </w:p>
    <w:bookmarkEnd w:id="31"/>
    <w:bookmarkEnd w:id="32"/>
    <w:bookmarkStart w:id="36" w:name="regional-dynamics-and-differences"/>
    <w:p>
      <w:pPr>
        <w:pStyle w:val="Heading2"/>
      </w:pPr>
      <w:r>
        <w:t xml:space="preserve">Regional dynamics and differences</w:t>
      </w:r>
    </w:p>
    <w:bookmarkStart w:id="34" w:name="Xca61de5c88bdaf76ff37fd2fce8fe15a7fae7e9"/>
    <w:p>
      <w:pPr>
        <w:pStyle w:val="Heading3"/>
      </w:pPr>
      <w:r>
        <w:t xml:space="preserve">Projected population peak timing by major region</w:t>
      </w:r>
    </w:p>
    <w:p>
      <w:pPr>
        <w:pStyle w:val="FirstParagraph"/>
      </w:pPr>
      <w:r>
        <w:t xml:space="preserve">Using the UN probabilistic outputs for total population and growth rates (median), the table below summarizes</w:t>
      </w:r>
      <w:r>
        <w:t xml:space="preserve"> </w:t>
      </w:r>
      <w:r>
        <w:rPr>
          <w:b/>
          <w:bCs/>
        </w:rPr>
        <w:t xml:space="preserve">regional population peaks within 2024–2100</w:t>
      </w:r>
      <w:r>
        <w:t xml:space="preserve">, along with start-of-period and end-of-century levels. These are computed directly from the UN’s 2024 probabilistic output files for total population and population growth rate (median).</w:t>
      </w:r>
      <w:r>
        <w:t xml:space="preserve"> </w:t>
      </w:r>
      <w:hyperlink r:id="rId22">
        <w:r>
          <w:rPr>
            <w:rStyle w:val="Hyperlink"/>
          </w:rPr>
          <w:t xml:space="preserve">[3]</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Region</w:t>
            </w:r>
          </w:p>
        </w:tc>
        <w:tc>
          <w:tcPr/>
          <w:p>
            <w:pPr>
              <w:pStyle w:val="Compact"/>
            </w:pPr>
            <w:r>
              <w:t xml:space="preserve">2024 pop (B)</w:t>
            </w:r>
          </w:p>
        </w:tc>
        <w:tc>
          <w:tcPr/>
          <w:p>
            <w:pPr>
              <w:pStyle w:val="Compact"/>
            </w:pPr>
            <w:r>
              <w:t xml:space="preserve">Peak year (median)</w:t>
            </w:r>
          </w:p>
        </w:tc>
        <w:tc>
          <w:tcPr/>
          <w:p>
            <w:pPr>
              <w:pStyle w:val="Compact"/>
            </w:pPr>
            <w:r>
              <w:t xml:space="preserve">Peak pop (B)</w:t>
            </w:r>
          </w:p>
        </w:tc>
        <w:tc>
          <w:tcPr/>
          <w:p>
            <w:pPr>
              <w:pStyle w:val="Compact"/>
            </w:pPr>
            <w:r>
              <w:t xml:space="preserve">2100 pop (B)</w:t>
            </w:r>
          </w:p>
        </w:tc>
        <w:tc>
          <w:tcPr/>
          <w:p>
            <w:pPr>
              <w:pStyle w:val="Compact"/>
            </w:pPr>
            <w:r>
              <w:t xml:space="preserve">Peak status</w:t>
            </w:r>
          </w:p>
        </w:tc>
        <w:tc>
          <w:tcPr/>
          <w:p>
            <w:pPr>
              <w:pStyle w:val="Compact"/>
            </w:pPr>
            <w:r>
              <w:t xml:space="preserve">2024 growth (%)</w:t>
            </w:r>
          </w:p>
        </w:tc>
        <w:tc>
          <w:tcPr/>
          <w:p>
            <w:pPr>
              <w:pStyle w:val="Compact"/>
            </w:pPr>
            <w:r>
              <w:t xml:space="preserve">2100 growth (%)</w:t>
            </w:r>
          </w:p>
        </w:tc>
      </w:tr>
      <w:tr>
        <w:tc>
          <w:tcPr/>
          <w:p>
            <w:pPr>
              <w:pStyle w:val="Compact"/>
            </w:pPr>
            <w:r>
              <w:t xml:space="preserve">World</w:t>
            </w:r>
          </w:p>
        </w:tc>
        <w:tc>
          <w:tcPr/>
          <w:p>
            <w:pPr>
              <w:pStyle w:val="Compact"/>
            </w:pPr>
            <w:r>
              <w:t xml:space="preserve">8.162</w:t>
            </w:r>
          </w:p>
        </w:tc>
        <w:tc>
          <w:tcPr/>
          <w:p>
            <w:pPr>
              <w:pStyle w:val="Compact"/>
            </w:pPr>
            <w:r>
              <w:t xml:space="preserve">2084</w:t>
            </w:r>
          </w:p>
        </w:tc>
        <w:tc>
          <w:tcPr/>
          <w:p>
            <w:pPr>
              <w:pStyle w:val="Compact"/>
            </w:pPr>
            <w:r>
              <w:t xml:space="preserve">10.289</w:t>
            </w:r>
          </w:p>
        </w:tc>
        <w:tc>
          <w:tcPr/>
          <w:p>
            <w:pPr>
              <w:pStyle w:val="Compact"/>
            </w:pPr>
            <w:r>
              <w:t xml:space="preserve">10.180</w:t>
            </w:r>
          </w:p>
        </w:tc>
        <w:tc>
          <w:tcPr/>
          <w:p>
            <w:pPr>
              <w:pStyle w:val="Compact"/>
            </w:pPr>
            <w:r>
              <w:t xml:space="preserve">peaks within 2024–2100</w:t>
            </w:r>
          </w:p>
        </w:tc>
        <w:tc>
          <w:tcPr/>
          <w:p>
            <w:pPr>
              <w:pStyle w:val="Compact"/>
            </w:pPr>
            <w:r>
              <w:t xml:space="preserve">0.858</w:t>
            </w:r>
          </w:p>
        </w:tc>
        <w:tc>
          <w:tcPr/>
          <w:p>
            <w:pPr>
              <w:pStyle w:val="Compact"/>
            </w:pPr>
            <w:r>
              <w:t xml:space="preserve">-0.127</w:t>
            </w:r>
          </w:p>
        </w:tc>
      </w:tr>
      <w:tr>
        <w:tc>
          <w:tcPr/>
          <w:p>
            <w:pPr>
              <w:pStyle w:val="Compact"/>
            </w:pPr>
            <w:r>
              <w:t xml:space="preserve">Africa</w:t>
            </w:r>
          </w:p>
        </w:tc>
        <w:tc>
          <w:tcPr/>
          <w:p>
            <w:pPr>
              <w:pStyle w:val="Compact"/>
            </w:pPr>
            <w:r>
              <w:t xml:space="preserve">1.515</w:t>
            </w:r>
          </w:p>
        </w:tc>
        <w:tc>
          <w:tcPr/>
          <w:p>
            <w:pPr>
              <w:pStyle w:val="Compact"/>
            </w:pPr>
            <w:r>
              <w:t xml:space="preserve">2100</w:t>
            </w:r>
          </w:p>
        </w:tc>
        <w:tc>
          <w:tcPr/>
          <w:p>
            <w:pPr>
              <w:pStyle w:val="Compact"/>
            </w:pPr>
            <w:r>
              <w:t xml:space="preserve">3.814</w:t>
            </w:r>
          </w:p>
        </w:tc>
        <w:tc>
          <w:tcPr/>
          <w:p>
            <w:pPr>
              <w:pStyle w:val="Compact"/>
            </w:pPr>
            <w:r>
              <w:t xml:space="preserve">3.814</w:t>
            </w:r>
          </w:p>
        </w:tc>
        <w:tc>
          <w:tcPr/>
          <w:p>
            <w:pPr>
              <w:pStyle w:val="Compact"/>
            </w:pPr>
            <w:r>
              <w:t xml:space="preserve">still rising in 2100 (peak &gt;2100)</w:t>
            </w:r>
          </w:p>
        </w:tc>
        <w:tc>
          <w:tcPr/>
          <w:p>
            <w:pPr>
              <w:pStyle w:val="Compact"/>
            </w:pPr>
            <w:r>
              <w:t xml:space="preserve">2.274</w:t>
            </w:r>
          </w:p>
        </w:tc>
        <w:tc>
          <w:tcPr/>
          <w:p>
            <w:pPr>
              <w:pStyle w:val="Compact"/>
            </w:pPr>
            <w:r>
              <w:t xml:space="preserve">0.359</w:t>
            </w:r>
          </w:p>
        </w:tc>
      </w:tr>
      <w:tr>
        <w:tc>
          <w:tcPr/>
          <w:p>
            <w:pPr>
              <w:pStyle w:val="Compact"/>
            </w:pPr>
            <w:r>
              <w:t xml:space="preserve">Asia</w:t>
            </w:r>
          </w:p>
        </w:tc>
        <w:tc>
          <w:tcPr/>
          <w:p>
            <w:pPr>
              <w:pStyle w:val="Compact"/>
            </w:pPr>
            <w:r>
              <w:t xml:space="preserve">4.807</w:t>
            </w:r>
          </w:p>
        </w:tc>
        <w:tc>
          <w:tcPr/>
          <w:p>
            <w:pPr>
              <w:pStyle w:val="Compact"/>
            </w:pPr>
            <w:r>
              <w:t xml:space="preserve">2054</w:t>
            </w:r>
          </w:p>
        </w:tc>
        <w:tc>
          <w:tcPr/>
          <w:p>
            <w:pPr>
              <w:pStyle w:val="Compact"/>
            </w:pPr>
            <w:r>
              <w:t xml:space="preserve">5.288</w:t>
            </w:r>
          </w:p>
        </w:tc>
        <w:tc>
          <w:tcPr/>
          <w:p>
            <w:pPr>
              <w:pStyle w:val="Compact"/>
            </w:pPr>
            <w:r>
              <w:t xml:space="preserve">4.613</w:t>
            </w:r>
          </w:p>
        </w:tc>
        <w:tc>
          <w:tcPr/>
          <w:p>
            <w:pPr>
              <w:pStyle w:val="Compact"/>
            </w:pPr>
            <w:r>
              <w:t xml:space="preserve">peaks within 2024–2100</w:t>
            </w:r>
          </w:p>
        </w:tc>
        <w:tc>
          <w:tcPr/>
          <w:p>
            <w:pPr>
              <w:pStyle w:val="Compact"/>
            </w:pPr>
            <w:r>
              <w:t xml:space="preserve">0.599</w:t>
            </w:r>
          </w:p>
        </w:tc>
        <w:tc>
          <w:tcPr/>
          <w:p>
            <w:pPr>
              <w:pStyle w:val="Compact"/>
            </w:pPr>
            <w:r>
              <w:t xml:space="preserve">-0.479</w:t>
            </w:r>
          </w:p>
        </w:tc>
      </w:tr>
      <w:tr>
        <w:tc>
          <w:tcPr/>
          <w:p>
            <w:pPr>
              <w:pStyle w:val="Compact"/>
            </w:pPr>
            <w:r>
              <w:t xml:space="preserve">Europe</w:t>
            </w:r>
          </w:p>
        </w:tc>
        <w:tc>
          <w:tcPr/>
          <w:p>
            <w:pPr>
              <w:pStyle w:val="Compact"/>
            </w:pPr>
            <w:r>
              <w:t xml:space="preserve">0.745</w:t>
            </w:r>
          </w:p>
        </w:tc>
        <w:tc>
          <w:tcPr/>
          <w:p>
            <w:pPr>
              <w:pStyle w:val="Compact"/>
            </w:pPr>
            <w:r>
              <w:t xml:space="preserve">2024</w:t>
            </w:r>
          </w:p>
        </w:tc>
        <w:tc>
          <w:tcPr/>
          <w:p>
            <w:pPr>
              <w:pStyle w:val="Compact"/>
            </w:pPr>
            <w:r>
              <w:t xml:space="preserve">0.745</w:t>
            </w:r>
          </w:p>
        </w:tc>
        <w:tc>
          <w:tcPr/>
          <w:p>
            <w:pPr>
              <w:pStyle w:val="Compact"/>
            </w:pPr>
            <w:r>
              <w:t xml:space="preserve">0.592</w:t>
            </w:r>
          </w:p>
        </w:tc>
        <w:tc>
          <w:tcPr/>
          <w:p>
            <w:pPr>
              <w:pStyle w:val="Compact"/>
            </w:pPr>
            <w:r>
              <w:t xml:space="preserve">declining after 2024 (peak ≈2024)</w:t>
            </w:r>
          </w:p>
        </w:tc>
        <w:tc>
          <w:tcPr/>
          <w:p>
            <w:pPr>
              <w:pStyle w:val="Compact"/>
            </w:pPr>
            <w:r>
              <w:t xml:space="preserve">-0.080</w:t>
            </w:r>
          </w:p>
        </w:tc>
        <w:tc>
          <w:tcPr/>
          <w:p>
            <w:pPr>
              <w:pStyle w:val="Compact"/>
            </w:pPr>
            <w:r>
              <w:t xml:space="preserve">-0.291</w:t>
            </w:r>
          </w:p>
        </w:tc>
      </w:tr>
      <w:tr>
        <w:tc>
          <w:tcPr/>
          <w:p>
            <w:pPr>
              <w:pStyle w:val="Compact"/>
            </w:pPr>
            <w:r>
              <w:t xml:space="preserve">Latin America and the Caribbean</w:t>
            </w:r>
          </w:p>
        </w:tc>
        <w:tc>
          <w:tcPr/>
          <w:p>
            <w:pPr>
              <w:pStyle w:val="Compact"/>
            </w:pPr>
            <w:r>
              <w:t xml:space="preserve">0.663</w:t>
            </w:r>
          </w:p>
        </w:tc>
        <w:tc>
          <w:tcPr/>
          <w:p>
            <w:pPr>
              <w:pStyle w:val="Compact"/>
            </w:pPr>
            <w:r>
              <w:t xml:space="preserve">2053</w:t>
            </w:r>
          </w:p>
        </w:tc>
        <w:tc>
          <w:tcPr/>
          <w:p>
            <w:pPr>
              <w:pStyle w:val="Compact"/>
            </w:pPr>
            <w:r>
              <w:t xml:space="preserve">0.731</w:t>
            </w:r>
          </w:p>
        </w:tc>
        <w:tc>
          <w:tcPr/>
          <w:p>
            <w:pPr>
              <w:pStyle w:val="Compact"/>
            </w:pPr>
            <w:r>
              <w:t xml:space="preserve">0.613</w:t>
            </w:r>
          </w:p>
        </w:tc>
        <w:tc>
          <w:tcPr/>
          <w:p>
            <w:pPr>
              <w:pStyle w:val="Compact"/>
            </w:pPr>
            <w:r>
              <w:t xml:space="preserve">peaks within 2024–2100</w:t>
            </w:r>
          </w:p>
        </w:tc>
        <w:tc>
          <w:tcPr/>
          <w:p>
            <w:pPr>
              <w:pStyle w:val="Compact"/>
            </w:pPr>
            <w:r>
              <w:t xml:space="preserve">0.681</w:t>
            </w:r>
          </w:p>
        </w:tc>
        <w:tc>
          <w:tcPr/>
          <w:p>
            <w:pPr>
              <w:pStyle w:val="Compact"/>
            </w:pPr>
            <w:r>
              <w:t xml:space="preserve">-0.606</w:t>
            </w:r>
          </w:p>
        </w:tc>
      </w:tr>
      <w:tr>
        <w:tc>
          <w:tcPr/>
          <w:p>
            <w:pPr>
              <w:pStyle w:val="Compact"/>
            </w:pPr>
            <w:r>
              <w:t xml:space="preserve">Northern America</w:t>
            </w:r>
          </w:p>
        </w:tc>
        <w:tc>
          <w:tcPr/>
          <w:p>
            <w:pPr>
              <w:pStyle w:val="Compact"/>
            </w:pPr>
            <w:r>
              <w:t xml:space="preserve">0.385</w:t>
            </w:r>
          </w:p>
        </w:tc>
        <w:tc>
          <w:tcPr/>
          <w:p>
            <w:pPr>
              <w:pStyle w:val="Compact"/>
            </w:pPr>
            <w:r>
              <w:t xml:space="preserve">2100</w:t>
            </w:r>
          </w:p>
        </w:tc>
        <w:tc>
          <w:tcPr/>
          <w:p>
            <w:pPr>
              <w:pStyle w:val="Compact"/>
            </w:pPr>
            <w:r>
              <w:t xml:space="preserve">0.475</w:t>
            </w:r>
          </w:p>
        </w:tc>
        <w:tc>
          <w:tcPr/>
          <w:p>
            <w:pPr>
              <w:pStyle w:val="Compact"/>
            </w:pPr>
            <w:r>
              <w:t xml:space="preserve">0.475</w:t>
            </w:r>
          </w:p>
        </w:tc>
        <w:tc>
          <w:tcPr/>
          <w:p>
            <w:pPr>
              <w:pStyle w:val="Compact"/>
            </w:pPr>
            <w:r>
              <w:t xml:space="preserve">still rising in 2100 (peak &gt;2100)</w:t>
            </w:r>
          </w:p>
        </w:tc>
        <w:tc>
          <w:tcPr/>
          <w:p>
            <w:pPr>
              <w:pStyle w:val="Compact"/>
            </w:pPr>
            <w:r>
              <w:t xml:space="preserve">0.597</w:t>
            </w:r>
          </w:p>
        </w:tc>
        <w:tc>
          <w:tcPr/>
          <w:p>
            <w:pPr>
              <w:pStyle w:val="Compact"/>
            </w:pPr>
            <w:r>
              <w:t xml:space="preserve">0.151</w:t>
            </w:r>
          </w:p>
        </w:tc>
      </w:tr>
      <w:tr>
        <w:tc>
          <w:tcPr/>
          <w:p>
            <w:pPr>
              <w:pStyle w:val="Compact"/>
            </w:pPr>
            <w:r>
              <w:t xml:space="preserve">Oceania</w:t>
            </w:r>
          </w:p>
        </w:tc>
        <w:tc>
          <w:tcPr/>
          <w:p>
            <w:pPr>
              <w:pStyle w:val="Compact"/>
            </w:pPr>
            <w:r>
              <w:t xml:space="preserve">0.046</w:t>
            </w:r>
          </w:p>
        </w:tc>
        <w:tc>
          <w:tcPr/>
          <w:p>
            <w:pPr>
              <w:pStyle w:val="Compact"/>
            </w:pPr>
            <w:r>
              <w:t xml:space="preserve">2100</w:t>
            </w:r>
          </w:p>
        </w:tc>
        <w:tc>
          <w:tcPr/>
          <w:p>
            <w:pPr>
              <w:pStyle w:val="Compact"/>
            </w:pPr>
            <w:r>
              <w:t xml:space="preserve">0.073</w:t>
            </w:r>
          </w:p>
        </w:tc>
        <w:tc>
          <w:tcPr/>
          <w:p>
            <w:pPr>
              <w:pStyle w:val="Compact"/>
            </w:pPr>
            <w:r>
              <w:t xml:space="preserve">0.073</w:t>
            </w:r>
          </w:p>
        </w:tc>
        <w:tc>
          <w:tcPr/>
          <w:p>
            <w:pPr>
              <w:pStyle w:val="Compact"/>
            </w:pPr>
            <w:r>
              <w:t xml:space="preserve">still rising in 2100 (peak &gt;2100)</w:t>
            </w:r>
          </w:p>
        </w:tc>
        <w:tc>
          <w:tcPr/>
          <w:p>
            <w:pPr>
              <w:pStyle w:val="Compact"/>
            </w:pPr>
            <w:r>
              <w:t xml:space="preserve">1.140</w:t>
            </w:r>
          </w:p>
        </w:tc>
        <w:tc>
          <w:tcPr/>
          <w:p>
            <w:pPr>
              <w:pStyle w:val="Compact"/>
            </w:pPr>
            <w:r>
              <w:t xml:space="preserve">0.305</w:t>
            </w:r>
          </w:p>
        </w:tc>
      </w:tr>
    </w:tbl>
    <w:p>
      <w:pPr>
        <w:pStyle w:val="BodyText"/>
      </w:pPr>
      <w:r>
        <w:t xml:space="preserve">Interpretation:</w:t>
      </w:r>
    </w:p>
    <w:p>
      <w:pPr>
        <w:pStyle w:val="Compact"/>
        <w:numPr>
          <w:ilvl w:val="0"/>
          <w:numId w:val="1003"/>
        </w:numPr>
      </w:pPr>
      <w:r>
        <w:rPr>
          <w:b/>
          <w:bCs/>
        </w:rPr>
        <w:t xml:space="preserve">Europe</w:t>
      </w:r>
      <w:r>
        <w:t xml:space="preserve"> </w:t>
      </w:r>
      <w:r>
        <w:t xml:space="preserve">is already in aggregate decline in the 2020s under these trajectories (negative growth), so its peak in this projection window occurs immediately at 2024.</w:t>
      </w:r>
      <w:r>
        <w:t xml:space="preserve"> </w:t>
      </w:r>
      <w:hyperlink r:id="rId33">
        <w:r>
          <w:rPr>
            <w:rStyle w:val="Hyperlink"/>
          </w:rPr>
          <w:t xml:space="preserve">[15]</w:t>
        </w:r>
      </w:hyperlink>
    </w:p>
    <w:p>
      <w:pPr>
        <w:pStyle w:val="Compact"/>
        <w:numPr>
          <w:ilvl w:val="0"/>
          <w:numId w:val="1003"/>
        </w:numPr>
      </w:pPr>
      <w:r>
        <w:rPr>
          <w:b/>
          <w:bCs/>
        </w:rPr>
        <w:t xml:space="preserve">Asia</w:t>
      </w:r>
      <w:r>
        <w:t xml:space="preserve"> </w:t>
      </w:r>
      <w:r>
        <w:t xml:space="preserve">and</w:t>
      </w:r>
      <w:r>
        <w:t xml:space="preserve"> </w:t>
      </w:r>
      <w:r>
        <w:rPr>
          <w:b/>
          <w:bCs/>
        </w:rPr>
        <w:t xml:space="preserve">Latin America &amp; the Caribbean</w:t>
      </w:r>
      <w:r>
        <w:t xml:space="preserve"> </w:t>
      </w:r>
      <w:r>
        <w:t xml:space="preserve">peak around the</w:t>
      </w:r>
      <w:r>
        <w:t xml:space="preserve"> </w:t>
      </w:r>
      <w:r>
        <w:rPr>
          <w:b/>
          <w:bCs/>
        </w:rPr>
        <w:t xml:space="preserve">2050s</w:t>
      </w:r>
      <w:r>
        <w:t xml:space="preserve">, then decline—consistent with broad UN messaging that many countries/areas have already peaked or will peak mid‑century.</w:t>
      </w:r>
      <w:r>
        <w:t xml:space="preserve"> </w:t>
      </w:r>
      <w:hyperlink r:id="rId21">
        <w:r>
          <w:rPr>
            <w:rStyle w:val="Hyperlink"/>
          </w:rPr>
          <w:t xml:space="preserve">[2]</w:t>
        </w:r>
      </w:hyperlink>
    </w:p>
    <w:p>
      <w:pPr>
        <w:pStyle w:val="Compact"/>
        <w:numPr>
          <w:ilvl w:val="0"/>
          <w:numId w:val="1003"/>
        </w:numPr>
      </w:pPr>
      <w:r>
        <w:rPr>
          <w:b/>
          <w:bCs/>
        </w:rPr>
        <w:t xml:space="preserve">Africa</w:t>
      </w:r>
      <w:r>
        <w:t xml:space="preserve"> </w:t>
      </w:r>
      <w:r>
        <w:t xml:space="preserve">continues rising strongly through 2100 in the median path, reflecting later (and slower) fertility transition and ongoing demographic momentum.</w:t>
      </w:r>
      <w:r>
        <w:t xml:space="preserve"> </w:t>
      </w:r>
      <w:hyperlink r:id="rId21">
        <w:r>
          <w:rPr>
            <w:rStyle w:val="Hyperlink"/>
          </w:rPr>
          <w:t xml:space="preserve">[7]</w:t>
        </w:r>
      </w:hyperlink>
    </w:p>
    <w:bookmarkEnd w:id="34"/>
    <w:bookmarkStart w:id="35" w:name="Xb9093f3664c26d9f17528c74ab20aeb2f9fa5cf"/>
    <w:p>
      <w:pPr>
        <w:pStyle w:val="Heading3"/>
      </w:pPr>
      <w:r>
        <w:t xml:space="preserve">Growth-rate peak patterns: global vs regions</w:t>
      </w:r>
    </w:p>
    <w:p>
      <w:pPr>
        <w:pStyle w:val="FirstParagraph"/>
      </w:pPr>
      <w:r>
        <w:t xml:space="preserve">For the world, the</w:t>
      </w:r>
      <w:r>
        <w:t xml:space="preserve"> </w:t>
      </w:r>
      <w:r>
        <w:rPr>
          <w:b/>
          <w:bCs/>
        </w:rPr>
        <w:t xml:space="preserve">growth-rate peak</w:t>
      </w:r>
      <w:r>
        <w:t xml:space="preserve"> </w:t>
      </w:r>
      <w:r>
        <w:t xml:space="preserve">occurs around 1963 (~2.3%/yr).</w:t>
      </w:r>
      <w:r>
        <w:t xml:space="preserve"> </w:t>
      </w:r>
      <w:hyperlink r:id="rId23">
        <w:r>
          <w:rPr>
            <w:rStyle w:val="Hyperlink"/>
          </w:rPr>
          <w:t xml:space="preserve">[4]</w:t>
        </w:r>
      </w:hyperlink>
      <w:r>
        <w:br/>
      </w:r>
      <w:r>
        <w:t xml:space="preserve">Across regions, the qualitative ordering in UN-based analyses is:</w:t>
      </w:r>
    </w:p>
    <w:p>
      <w:pPr>
        <w:pStyle w:val="Compact"/>
        <w:numPr>
          <w:ilvl w:val="0"/>
          <w:numId w:val="1004"/>
        </w:numPr>
      </w:pPr>
      <w:r>
        <w:t xml:space="preserve">Growth rates peaked earliest in regions that underwent earlier fertility declines (Europe and much of Asia).</w:t>
      </w:r>
      <w:r>
        <w:t xml:space="preserve"> </w:t>
      </w:r>
      <w:hyperlink r:id="rId25">
        <w:r>
          <w:rPr>
            <w:rStyle w:val="Hyperlink"/>
          </w:rPr>
          <w:t xml:space="preserve">[16]</w:t>
        </w:r>
      </w:hyperlink>
    </w:p>
    <w:p>
      <w:pPr>
        <w:pStyle w:val="Compact"/>
        <w:numPr>
          <w:ilvl w:val="0"/>
          <w:numId w:val="1004"/>
        </w:numPr>
      </w:pPr>
      <w:r>
        <w:t xml:space="preserve">Regions where fertility decline began later (especially many African countries) experienced later and more persistent high growth into the late 20th and early 21st centuries.</w:t>
      </w:r>
      <w:r>
        <w:t xml:space="preserve"> </w:t>
      </w:r>
      <w:hyperlink r:id="rId21">
        <w:r>
          <w:rPr>
            <w:rStyle w:val="Hyperlink"/>
          </w:rPr>
          <w:t xml:space="preserve">[7]</w:t>
        </w:r>
      </w:hyperlink>
    </w:p>
    <w:p>
      <w:pPr>
        <w:pStyle w:val="FirstParagraph"/>
      </w:pPr>
      <w:r>
        <w:t xml:space="preserve">Because the UN probabilistic output files used for numeric computation here begin at 2024, the table above reports</w:t>
      </w:r>
      <w:r>
        <w:t xml:space="preserve"> </w:t>
      </w:r>
      <w:r>
        <w:rPr>
          <w:b/>
          <w:bCs/>
        </w:rPr>
        <w:t xml:space="preserve">current and projected</w:t>
      </w:r>
      <w:r>
        <w:t xml:space="preserve"> </w:t>
      </w:r>
      <w:r>
        <w:t xml:space="preserve">growth rates for 2024–2100. The</w:t>
      </w:r>
      <w:r>
        <w:t xml:space="preserve"> </w:t>
      </w:r>
      <w:r>
        <w:rPr>
          <w:b/>
          <w:bCs/>
        </w:rPr>
        <w:t xml:space="preserve">historical regional peak growth-rate years</w:t>
      </w:r>
      <w:r>
        <w:t xml:space="preserve"> </w:t>
      </w:r>
      <w:r>
        <w:t xml:space="preserve">require the full 1950–2023 annual regional series; those are reported in UN WPP and used by OWID, but are not directly recoverable from the two probabilistic projection workbooks alone.</w:t>
      </w:r>
      <w:r>
        <w:t xml:space="preserve"> </w:t>
      </w:r>
      <w:hyperlink r:id="rId33">
        <w:r>
          <w:rPr>
            <w:rStyle w:val="Hyperlink"/>
          </w:rPr>
          <w:t xml:space="preserve">[17]</w:t>
        </w:r>
      </w:hyperlink>
    </w:p>
    <w:bookmarkEnd w:id="35"/>
    <w:bookmarkEnd w:id="36"/>
    <w:bookmarkStart w:id="40" w:name="X6d6b9007e92be07546c5b526f81e2952954c7f4"/>
    <w:p>
      <w:pPr>
        <w:pStyle w:val="Heading2"/>
      </w:pPr>
      <w:r>
        <w:t xml:space="preserve">Case studies of major rise and decline episodes in population dynamics</w:t>
      </w:r>
    </w:p>
    <w:p>
      <w:pPr>
        <w:pStyle w:val="FirstParagraph"/>
      </w:pPr>
      <w:r>
        <w:t xml:space="preserve">This section synthesizes the main mechanisms—</w:t>
      </w:r>
      <w:r>
        <w:rPr>
          <w:b/>
          <w:bCs/>
        </w:rPr>
        <w:t xml:space="preserve">mortality</w:t>
      </w:r>
      <w:r>
        <w:t xml:space="preserve">,</w:t>
      </w:r>
      <w:r>
        <w:t xml:space="preserve"> </w:t>
      </w:r>
      <w:r>
        <w:rPr>
          <w:b/>
          <w:bCs/>
        </w:rPr>
        <w:t xml:space="preserve">fertility</w:t>
      </w:r>
      <w:r>
        <w:t xml:space="preserve">,</w:t>
      </w:r>
      <w:r>
        <w:t xml:space="preserve"> </w:t>
      </w:r>
      <w:r>
        <w:rPr>
          <w:b/>
          <w:bCs/>
        </w:rPr>
        <w:t xml:space="preserve">migration</w:t>
      </w:r>
      <w:r>
        <w:t xml:space="preserve">,</w:t>
      </w:r>
      <w:r>
        <w:t xml:space="preserve"> </w:t>
      </w:r>
      <w:r>
        <w:rPr>
          <w:b/>
          <w:bCs/>
        </w:rPr>
        <w:t xml:space="preserve">policy</w:t>
      </w:r>
      <w:r>
        <w:t xml:space="preserve">, and</w:t>
      </w:r>
      <w:r>
        <w:t xml:space="preserve"> </w:t>
      </w:r>
      <w:r>
        <w:rPr>
          <w:b/>
          <w:bCs/>
        </w:rPr>
        <w:t xml:space="preserve">technology</w:t>
      </w:r>
      <w:r>
        <w:t xml:space="preserve">—that shaped major population turning points. The key structural lens used in modern population analysis is the demographic transition: mortality declines tend to precede fertility declines, producing a temporary interval of rapid growth that later slows as fertility falls.</w:t>
      </w:r>
      <w:r>
        <w:t xml:space="preserve"> </w:t>
      </w:r>
      <w:hyperlink r:id="rId37">
        <w:r>
          <w:rPr>
            <w:rStyle w:val="Hyperlink"/>
          </w:rPr>
          <w:t xml:space="preserve">[18]</w:t>
        </w:r>
      </w:hyperlink>
    </w:p>
    <w:p>
      <w:pPr>
        <w:pStyle w:val="BodyText"/>
      </w:pPr>
      <w:r>
        <w:rPr>
          <w:b/>
          <w:bCs/>
        </w:rPr>
        <w:t xml:space="preserve">Agricultural Revolution and early long-run growth</w:t>
      </w:r>
      <w:r>
        <w:br/>
      </w:r>
      <w:r>
        <w:t xml:space="preserve">Early population growth was extremely slow by modern standards, constrained by high mortality, food supply variability, and limited disease control. The shift toward agriculture increased carrying capacity and enabled denser settlement, but also introduced new disease ecologies and periodic mortality crises; the net effect over millennia was a gradual rise from very low baselines. Long-run reconstructed series used in widely cited visualizations combine historical reconstructions (e.g., HYDE and other sources) with the UN series for the modern period.</w:t>
      </w:r>
      <w:r>
        <w:t xml:space="preserve"> </w:t>
      </w:r>
      <w:hyperlink r:id="rId38">
        <w:r>
          <w:rPr>
            <w:rStyle w:val="Hyperlink"/>
          </w:rPr>
          <w:t xml:space="preserve">[19]</w:t>
        </w:r>
      </w:hyperlink>
    </w:p>
    <w:p>
      <w:pPr>
        <w:pStyle w:val="BodyText"/>
      </w:pPr>
      <w:r>
        <w:rPr>
          <w:b/>
          <w:bCs/>
        </w:rPr>
        <w:t xml:space="preserve">Black Death and large mortality shocks</w:t>
      </w:r>
      <w:r>
        <w:br/>
      </w:r>
      <w:r>
        <w:t xml:space="preserve">Pandemic disease shocks create abrupt declines in population level and (temporarily) in growth rates by sharply increasing mortality. The mid‑14th‑century plague waves are the canonical example in Eurasian history, and they illustrate why “population level” is not always monotonic over centuries even if it is monotonic in the contemporary global series.</w:t>
      </w:r>
    </w:p>
    <w:p>
      <w:pPr>
        <w:pStyle w:val="BodyText"/>
      </w:pPr>
      <w:r>
        <w:rPr>
          <w:b/>
          <w:bCs/>
        </w:rPr>
        <w:t xml:space="preserve">Industrial Revolution and the mortality transition</w:t>
      </w:r>
      <w:r>
        <w:br/>
      </w:r>
      <w:r>
        <w:t xml:space="preserve">In the 18th–20th centuries, sustained improvements in agricultural productivity, transport, sanitation, and later medical technologies reduced mortality and raised life expectancy. When fertility remained high while mortality fell, growth accelerated. This is the structural setup for the global growth-rate crest that emerges in UN-based reconstructions in the mid‑20th century.</w:t>
      </w:r>
      <w:r>
        <w:t xml:space="preserve"> </w:t>
      </w:r>
      <w:hyperlink r:id="rId23">
        <w:r>
          <w:rPr>
            <w:rStyle w:val="Hyperlink"/>
          </w:rPr>
          <w:t xml:space="preserve">[20]</w:t>
        </w:r>
      </w:hyperlink>
    </w:p>
    <w:p>
      <w:pPr>
        <w:pStyle w:val="BodyText"/>
      </w:pPr>
      <w:r>
        <w:rPr>
          <w:b/>
          <w:bCs/>
        </w:rPr>
        <w:t xml:space="preserve">Twentieth-century baby boom and postwar acceleration</w:t>
      </w:r>
      <w:r>
        <w:br/>
      </w:r>
      <w:r>
        <w:t xml:space="preserve">Post‑1945, many high-income countries experienced temporary fertility rises (baby booms), while many low- and middle-income countries experienced rapid mortality declines (public health improvements, diffusion of medical technologies) without immediate fertility declines. In UN-based global series, the combined effect is visible as the rapid climb toward the early‑1960s peak growth rate.</w:t>
      </w:r>
      <w:r>
        <w:t xml:space="preserve"> </w:t>
      </w:r>
      <w:hyperlink r:id="rId39">
        <w:r>
          <w:rPr>
            <w:rStyle w:val="Hyperlink"/>
          </w:rPr>
          <w:t xml:space="preserve">[21]</w:t>
        </w:r>
      </w:hyperlink>
    </w:p>
    <w:p>
      <w:pPr>
        <w:pStyle w:val="BodyText"/>
      </w:pPr>
      <w:r>
        <w:rPr>
          <w:b/>
          <w:bCs/>
        </w:rPr>
        <w:t xml:space="preserve">Post‑1960s slowdown: fertility transition diffusion</w:t>
      </w:r>
      <w:r>
        <w:br/>
      </w:r>
      <w:r>
        <w:t xml:space="preserve">After the early‑1960s peak, global growth rates fell as fertility declines spread across regions—driven by urbanization, female education, rising opportunity costs of childbearing, expanded contraception access, and changes in desired family size. UN-based summaries and OWID syntheses both highlight that global growth rates have more than halved since the peak and are expected to keep falling.</w:t>
      </w:r>
      <w:r>
        <w:t xml:space="preserve"> </w:t>
      </w:r>
      <w:hyperlink r:id="rId39">
        <w:r>
          <w:rPr>
            <w:rStyle w:val="Hyperlink"/>
          </w:rPr>
          <w:t xml:space="preserve">[22]</w:t>
        </w:r>
      </w:hyperlink>
    </w:p>
    <w:p>
      <w:pPr>
        <w:pStyle w:val="BodyText"/>
      </w:pPr>
      <w:r>
        <w:rPr>
          <w:b/>
          <w:bCs/>
        </w:rPr>
        <w:t xml:space="preserve">Recent fertility declines and population peaking in many countries</w:t>
      </w:r>
      <w:r>
        <w:br/>
      </w:r>
      <w:r>
        <w:t xml:space="preserve">Recent UN communication stresses that fertility has fallen faster or further than previously anticipated in some places, contributing to an earlier and lower projected global population peak, and notes that dozens of countries already have peaked populations with projected declines over coming decades. These dynamics are central to why Asia and Latin America &amp; the Caribbean are projected to peak mid‑century, and why Europe is already in aggregate decline in many scenarios.</w:t>
      </w:r>
      <w:r>
        <w:t xml:space="preserve"> </w:t>
      </w:r>
      <w:hyperlink r:id="rId21">
        <w:r>
          <w:rPr>
            <w:rStyle w:val="Hyperlink"/>
          </w:rPr>
          <w:t xml:space="preserve">[2]</w:t>
        </w:r>
      </w:hyperlink>
    </w:p>
    <w:bookmarkEnd w:id="40"/>
    <w:bookmarkStart w:id="43" w:name="visualizations-and-timeline"/>
    <w:p>
      <w:pPr>
        <w:pStyle w:val="Heading2"/>
      </w:pPr>
      <w:r>
        <w:t xml:space="preserve">Visualizations and timeline</w:t>
      </w:r>
    </w:p>
    <w:bookmarkStart w:id="41" w:name="Xbb56bd740d7f3af4553015a7a6c540fdb484d9d"/>
    <w:p>
      <w:pPr>
        <w:pStyle w:val="Heading3"/>
      </w:pPr>
      <w:r>
        <w:t xml:space="preserve">UN median projections for population level and growth rates, 2024–2100</w:t>
      </w:r>
    </w:p>
    <w:p>
      <w:pPr>
        <w:pStyle w:val="FirstParagraph"/>
      </w:pPr>
      <w:r>
        <w:t xml:space="preserve">The following charts visualize the UN probabilistic median projections (2024–2100) used to compute the regional peak table above.</w:t>
      </w:r>
      <w:r>
        <w:t xml:space="preserve"> </w:t>
      </w:r>
      <w:hyperlink r:id="rId22">
        <w:r>
          <w:rPr>
            <w:rStyle w:val="Hyperlink"/>
          </w:rPr>
          <w:t xml:space="preserve">[3]</w:t>
        </w:r>
      </w:hyperlink>
    </w:p>
    <w:p>
      <w:pPr>
        <w:pStyle w:val="BodyText"/>
      </w:pPr>
      <w:r>
        <w:t xml:space="preserve">World population projection (median), 2024–2100</w:t>
      </w:r>
      <w:r>
        <w:br/>
      </w:r>
    </w:p>
    <w:p>
      <w:pPr>
        <w:pStyle w:val="BodyText"/>
      </w:pPr>
      <w:r>
        <w:t xml:space="preserve">World annual growth rate projection (median), 2024–2100</w:t>
      </w:r>
      <w:r>
        <w:br/>
      </w:r>
    </w:p>
    <w:p>
      <w:pPr>
        <w:pStyle w:val="BodyText"/>
      </w:pPr>
      <w:r>
        <w:t xml:space="preserve">Population by major region (median), 2024–2100</w:t>
      </w:r>
      <w:r>
        <w:br/>
      </w:r>
    </w:p>
    <w:p>
      <w:pPr>
        <w:pStyle w:val="BodyText"/>
      </w:pPr>
      <w:r>
        <w:t xml:space="preserve">Growth rate by major region (median), 2024–2100</w:t>
      </w:r>
      <w:r>
        <w:br/>
      </w:r>
    </w:p>
    <w:bookmarkEnd w:id="41"/>
    <w:bookmarkStart w:id="42" w:name="X24b0fa5619ccb33310613bf881041cf206022a0"/>
    <w:p>
      <w:pPr>
        <w:pStyle w:val="Heading3"/>
      </w:pPr>
      <w:r>
        <w:t xml:space="preserve">Mermaid timeline of major demographic events and transitions</w:t>
      </w:r>
    </w:p>
    <w:p>
      <w:pPr>
        <w:pStyle w:val="FirstParagraph"/>
      </w:pPr>
      <w:r>
        <w:t xml:space="preserve">The timing below combines standard historical demography periodization with the key turning points visible in UN/OWID modern-series narratives (e.g., growth acceleration into the mid‑20th century and the post‑1960s slowdown).</w:t>
      </w:r>
      <w:r>
        <w:t xml:space="preserve"> </w:t>
      </w:r>
      <w:hyperlink r:id="rId23">
        <w:r>
          <w:rPr>
            <w:rStyle w:val="Hyperlink"/>
          </w:rPr>
          <w:t xml:space="preserve">[23]</w:t>
        </w:r>
      </w:hyperlink>
    </w:p>
    <w:p>
      <w:pPr>
        <w:pStyle w:val="SourceCode"/>
      </w:pPr>
      <w:r>
        <w:rPr>
          <w:rStyle w:val="VerbatimChar"/>
        </w:rPr>
        <w:t xml:space="preserve">timeline</w:t>
      </w:r>
      <w:r>
        <w:br/>
      </w:r>
      <w:r>
        <w:rPr>
          <w:rStyle w:val="VerbatimChar"/>
        </w:rPr>
        <w:t xml:space="preserve">  title Major episodes shaping global population dynamics</w:t>
      </w:r>
      <w:r>
        <w:br/>
      </w:r>
      <w:r>
        <w:rPr>
          <w:rStyle w:val="VerbatimChar"/>
        </w:rPr>
        <w:t xml:space="preserve">  10000 BCE : Agricultural transition begins in multiple regions; long-run carrying capacity rises</w:t>
      </w:r>
      <w:r>
        <w:br/>
      </w:r>
      <w:r>
        <w:rPr>
          <w:rStyle w:val="VerbatimChar"/>
        </w:rPr>
        <w:t xml:space="preserve">  1347-1353 : Black Death pandemic mortality shock in Eurasia</w:t>
      </w:r>
      <w:r>
        <w:br/>
      </w:r>
      <w:r>
        <w:rPr>
          <w:rStyle w:val="VerbatimChar"/>
        </w:rPr>
        <w:t xml:space="preserve">  1750-1900 : Industrial-era mortality decline accelerates in parts of Europe and North America</w:t>
      </w:r>
      <w:r>
        <w:br/>
      </w:r>
      <w:r>
        <w:rPr>
          <w:rStyle w:val="VerbatimChar"/>
        </w:rPr>
        <w:t xml:space="preserve">  1918-1920 : Influenza pandemic adds a global mortality shock</w:t>
      </w:r>
      <w:r>
        <w:br/>
      </w:r>
      <w:r>
        <w:rPr>
          <w:rStyle w:val="VerbatimChar"/>
        </w:rPr>
        <w:t xml:space="preserve">  1945-1970 : Postwar baby boom in many high-income countries; rapid mortality decline expands globally</w:t>
      </w:r>
      <w:r>
        <w:br/>
      </w:r>
      <w:r>
        <w:rPr>
          <w:rStyle w:val="VerbatimChar"/>
        </w:rPr>
        <w:t xml:space="preserve">  1963 : Global population growth rate reaches its modern peak (early 1960s)</w:t>
      </w:r>
      <w:r>
        <w:br/>
      </w:r>
      <w:r>
        <w:rPr>
          <w:rStyle w:val="VerbatimChar"/>
        </w:rPr>
        <w:t xml:space="preserve">  1970-2000 : Fertility transitions spread; global growth rate declines steadily</w:t>
      </w:r>
      <w:r>
        <w:br/>
      </w:r>
      <w:r>
        <w:rPr>
          <w:rStyle w:val="VerbatimChar"/>
        </w:rPr>
        <w:t xml:space="preserve">  2000-2020 : Continued fertility decline and population aging; growth concentrates increasingly in Africa</w:t>
      </w:r>
      <w:r>
        <w:br/>
      </w:r>
      <w:r>
        <w:rPr>
          <w:rStyle w:val="VerbatimChar"/>
        </w:rPr>
        <w:t xml:space="preserve">  2024-2100 : World population projected to peak mid-century/late-century and then stabilize or decline (median path)</w:t>
      </w:r>
    </w:p>
    <w:bookmarkEnd w:id="42"/>
    <w:bookmarkEnd w:id="43"/>
    <w:bookmarkEnd w:id="44"/>
    <w:bookmarkEnd w:id="45"/>
    <w:p>
      <w:r>
        <w:pict>
          <v:rect style="width:0;height:1.5pt" o:hralign="center" o:hrstd="t" o:hr="t"/>
        </w:pict>
      </w:r>
    </w:p>
    <w:bookmarkStart w:id="46"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[10]</w:t>
        </w:r>
      </w:hyperlink>
      <w:r>
        <w:t xml:space="preserve"> </w:t>
      </w:r>
      <w:r>
        <w:t xml:space="preserve">https://www.un.org/sustainabledevelopment/blog/2024/07/press-release-wpp2024/</w:t>
      </w:r>
    </w:p>
    <w:p>
      <w:pPr>
        <w:pStyle w:val="BodyText"/>
      </w:pPr>
      <w:hyperlink r:id="rId21">
        <w:r>
          <w:rPr>
            <w:rStyle w:val="Hyperlink"/>
          </w:rPr>
          <w:t xml:space="preserve">https://www.un.org/sustainabledevelopment/blog/2024/07/press-release-wpp2024/</w:t>
        </w:r>
      </w:hyperlink>
    </w:p>
    <w:p>
      <w:pPr>
        <w:pStyle w:val="BodyText"/>
      </w:pPr>
      <w:hyperlink r:id="rId22">
        <w:r>
          <w:rPr>
            <w:rStyle w:val="Hyperlink"/>
          </w:rPr>
          <w:t xml:space="preserve">[3]</w:t>
        </w:r>
      </w:hyperlink>
      <w:r>
        <w:t xml:space="preserve"> </w:t>
      </w:r>
      <w:hyperlink r:id="rId22">
        <w:r>
          <w:rPr>
            <w:rStyle w:val="Hyperlink"/>
          </w:rPr>
          <w:t xml:space="preserve">[5]</w:t>
        </w:r>
      </w:hyperlink>
      <w:r>
        <w:t xml:space="preserve"> </w:t>
      </w:r>
      <w:r>
        <w:t xml:space="preserve">https://population.un.org/wpp/assets/Excel%20Files/2_Indicators%20%28Probabilistic%29/EXCEL_FILES/2_Population/UN_PPP2024_Output_PopTot.xlsx</w:t>
      </w:r>
    </w:p>
    <w:p>
      <w:pPr>
        <w:pStyle w:val="BodyText"/>
      </w:pPr>
      <w:hyperlink r:id="rId22">
        <w:r>
          <w:rPr>
            <w:rStyle w:val="Hyperlink"/>
          </w:rPr>
          <w:t xml:space="preserve">https://population.un.org/wpp/assets/Excel%20Files/2_Indicators%20%28Probabilistic%29/EXCEL_FILES/2_Population/UN_PPP2024_Output_PopTot.xlsx</w:t>
        </w:r>
      </w:hyperlink>
    </w:p>
    <w:p>
      <w:pPr>
        <w:pStyle w:val="BodyText"/>
      </w:pPr>
      <w:hyperlink r:id="rId23">
        <w:r>
          <w:rPr>
            <w:rStyle w:val="Hyperlink"/>
          </w:rPr>
          <w:t xml:space="preserve">[4]</w:t>
        </w:r>
      </w:hyperlink>
      <w:r>
        <w:t xml:space="preserve"> </w:t>
      </w:r>
      <w:hyperlink r:id="rId23">
        <w:r>
          <w:rPr>
            <w:rStyle w:val="Hyperlink"/>
          </w:rPr>
          <w:t xml:space="preserve">[9]</w:t>
        </w:r>
      </w:hyperlink>
      <w:r>
        <w:t xml:space="preserve"> </w:t>
      </w:r>
      <w:hyperlink r:id="rId23">
        <w:r>
          <w:rPr>
            <w:rStyle w:val="Hyperlink"/>
          </w:rPr>
          <w:t xml:space="preserve">[11]</w:t>
        </w:r>
      </w:hyperlink>
      <w:r>
        <w:t xml:space="preserve"> </w:t>
      </w:r>
      <w:hyperlink r:id="rId23">
        <w:r>
          <w:rPr>
            <w:rStyle w:val="Hyperlink"/>
          </w:rPr>
          <w:t xml:space="preserve">[12]</w:t>
        </w:r>
      </w:hyperlink>
      <w:r>
        <w:t xml:space="preserve"> </w:t>
      </w:r>
      <w:hyperlink r:id="rId23">
        <w:r>
          <w:rPr>
            <w:rStyle w:val="Hyperlink"/>
          </w:rPr>
          <w:t xml:space="preserve">[20]</w:t>
        </w:r>
      </w:hyperlink>
      <w:r>
        <w:t xml:space="preserve"> </w:t>
      </w:r>
      <w:hyperlink r:id="rId23">
        <w:r>
          <w:rPr>
            <w:rStyle w:val="Hyperlink"/>
          </w:rPr>
          <w:t xml:space="preserve">[23]</w:t>
        </w:r>
      </w:hyperlink>
      <w:r>
        <w:t xml:space="preserve"> </w:t>
      </w:r>
      <w:r>
        <w:t xml:space="preserve">https://ourworldindata.org/population-growth-over-time</w:t>
      </w:r>
    </w:p>
    <w:p>
      <w:pPr>
        <w:pStyle w:val="BodyText"/>
      </w:pPr>
      <w:hyperlink r:id="rId23">
        <w:r>
          <w:rPr>
            <w:rStyle w:val="Hyperlink"/>
          </w:rPr>
          <w:t xml:space="preserve">https://ourworldindata.org/population-growth-over-time</w:t>
        </w:r>
      </w:hyperlink>
    </w:p>
    <w:p>
      <w:pPr>
        <w:pStyle w:val="BodyText"/>
      </w:pPr>
      <w:hyperlink r:id="rId25">
        <w:r>
          <w:rPr>
            <w:rStyle w:val="Hyperlink"/>
          </w:rPr>
          <w:t xml:space="preserve">[8]</w:t>
        </w:r>
      </w:hyperlink>
      <w:r>
        <w:t xml:space="preserve"> </w:t>
      </w:r>
      <w:hyperlink r:id="rId25">
        <w:r>
          <w:rPr>
            <w:rStyle w:val="Hyperlink"/>
          </w:rPr>
          <w:t xml:space="preserve">[16]</w:t>
        </w:r>
      </w:hyperlink>
      <w:r>
        <w:t xml:space="preserve"> </w:t>
      </w:r>
      <w:r>
        <w:t xml:space="preserve">https://www.ungeneva.org/en/news-media/news/2024/07/95264/growing-or-shrinking-what-latest-trends-tell-us-about-worlds</w:t>
      </w:r>
    </w:p>
    <w:p>
      <w:pPr>
        <w:pStyle w:val="BodyText"/>
      </w:pPr>
      <w:hyperlink r:id="rId25">
        <w:r>
          <w:rPr>
            <w:rStyle w:val="Hyperlink"/>
          </w:rPr>
          <w:t xml:space="preserve">https://www.ungeneva.org/en/news-media/news/2024/07/95264/growing-or-shrinking-what-latest-trends-tell-us-about-worlds</w:t>
        </w:r>
      </w:hyperlink>
    </w:p>
    <w:p>
      <w:pPr>
        <w:pStyle w:val="BodyText"/>
      </w:pPr>
      <w:hyperlink r:id="rId30">
        <w:r>
          <w:rPr>
            <w:rStyle w:val="Hyperlink"/>
          </w:rPr>
          <w:t xml:space="preserve">[13]</w:t>
        </w:r>
      </w:hyperlink>
      <w:r>
        <w:t xml:space="preserve"> </w:t>
      </w:r>
      <w:hyperlink r:id="rId30">
        <w:r>
          <w:rPr>
            <w:rStyle w:val="Hyperlink"/>
          </w:rPr>
          <w:t xml:space="preserve">[14]</w:t>
        </w:r>
      </w:hyperlink>
      <w:r>
        <w:t xml:space="preserve"> </w:t>
      </w:r>
      <w:r>
        <w:t xml:space="preserve">https://ourworldindata.org/population-growth</w:t>
      </w:r>
    </w:p>
    <w:p>
      <w:pPr>
        <w:pStyle w:val="BodyText"/>
      </w:pPr>
      <w:hyperlink r:id="rId30">
        <w:r>
          <w:rPr>
            <w:rStyle w:val="Hyperlink"/>
          </w:rPr>
          <w:t xml:space="preserve">https://ourworldindata.org/population-growth</w:t>
        </w:r>
      </w:hyperlink>
    </w:p>
    <w:p>
      <w:pPr>
        <w:pStyle w:val="BodyText"/>
      </w:pPr>
      <w:hyperlink r:id="rId33">
        <w:r>
          <w:rPr>
            <w:rStyle w:val="Hyperlink"/>
          </w:rPr>
          <w:t xml:space="preserve">[15]</w:t>
        </w:r>
      </w:hyperlink>
      <w:r>
        <w:t xml:space="preserve"> </w:t>
      </w:r>
      <w:hyperlink r:id="rId33">
        <w:r>
          <w:rPr>
            <w:rStyle w:val="Hyperlink"/>
          </w:rPr>
          <w:t xml:space="preserve">[17]</w:t>
        </w:r>
      </w:hyperlink>
      <w:r>
        <w:t xml:space="preserve"> </w:t>
      </w:r>
      <w:r>
        <w:t xml:space="preserve">https://population.un.org/wpp/assets/Excel%20Files/2_Indicators%20%28Probabilistic%29/EXCEL_FILES/2_Population/UN_PPP2024_Output_PopGrowthRate.xlsx</w:t>
      </w:r>
    </w:p>
    <w:p>
      <w:pPr>
        <w:pStyle w:val="BodyText"/>
      </w:pPr>
      <w:hyperlink r:id="rId33">
        <w:r>
          <w:rPr>
            <w:rStyle w:val="Hyperlink"/>
          </w:rPr>
          <w:t xml:space="preserve">https://population.un.org/wpp/assets/Excel%20Files/2_Indicators%20%28Probabilistic%29/EXCEL_FILES/2_Population/UN_PPP2024_Output_PopGrowthRate.xlsx</w:t>
        </w:r>
      </w:hyperlink>
    </w:p>
    <w:p>
      <w:pPr>
        <w:pStyle w:val="BodyText"/>
      </w:pPr>
      <w:hyperlink r:id="rId37">
        <w:r>
          <w:rPr>
            <w:rStyle w:val="Hyperlink"/>
          </w:rPr>
          <w:t xml:space="preserve">[18]</w:t>
        </w:r>
      </w:hyperlink>
      <w:r>
        <w:t xml:space="preserve"> </w:t>
      </w:r>
      <w:r>
        <w:t xml:space="preserve">https://population.un.org/wpp/assets/Files/WPP2024_Methodology-Report_Final.pdf</w:t>
      </w:r>
    </w:p>
    <w:p>
      <w:pPr>
        <w:pStyle w:val="BodyText"/>
      </w:pPr>
      <w:hyperlink r:id="rId37">
        <w:r>
          <w:rPr>
            <w:rStyle w:val="Hyperlink"/>
          </w:rPr>
          <w:t xml:space="preserve">https://population.un.org/wpp/assets/Files/WPP2024_Methodology-Report_Final.pdf</w:t>
        </w:r>
      </w:hyperlink>
    </w:p>
    <w:p>
      <w:pPr>
        <w:pStyle w:val="BodyText"/>
      </w:pPr>
      <w:hyperlink r:id="rId38">
        <w:r>
          <w:rPr>
            <w:rStyle w:val="Hyperlink"/>
          </w:rPr>
          <w:t xml:space="preserve">[19]</w:t>
        </w:r>
      </w:hyperlink>
      <w:r>
        <w:t xml:space="preserve"> </w:t>
      </w:r>
      <w:r>
        <w:t xml:space="preserve">https://ourworldindata.org/grapher/population</w:t>
      </w:r>
    </w:p>
    <w:p>
      <w:pPr>
        <w:pStyle w:val="BodyText"/>
      </w:pPr>
      <w:hyperlink r:id="rId38">
        <w:r>
          <w:rPr>
            <w:rStyle w:val="Hyperlink"/>
          </w:rPr>
          <w:t xml:space="preserve">https://ourworldindata.org/grapher/population</w:t>
        </w:r>
      </w:hyperlink>
    </w:p>
    <w:p>
      <w:pPr>
        <w:pStyle w:val="BodyText"/>
      </w:pPr>
      <w:hyperlink r:id="rId39">
        <w:r>
          <w:rPr>
            <w:rStyle w:val="Hyperlink"/>
          </w:rPr>
          <w:t xml:space="preserve">[21]</w:t>
        </w:r>
      </w:hyperlink>
      <w:r>
        <w:t xml:space="preserve"> </w:t>
      </w:r>
      <w:hyperlink r:id="rId39">
        <w:r>
          <w:rPr>
            <w:rStyle w:val="Hyperlink"/>
          </w:rPr>
          <w:t xml:space="preserve">[22]</w:t>
        </w:r>
      </w:hyperlink>
      <w:r>
        <w:t xml:space="preserve"> </w:t>
      </w:r>
      <w:r>
        <w:t xml:space="preserve">https://ourworldindata.org/data-insights/global-population-growth-peaked-six-decades-ago</w:t>
      </w:r>
    </w:p>
    <w:p>
      <w:pPr>
        <w:pStyle w:val="BodyText"/>
      </w:pPr>
      <w:hyperlink r:id="rId39">
        <w:r>
          <w:rPr>
            <w:rStyle w:val="Hyperlink"/>
          </w:rPr>
          <w:t xml:space="preserve">https://ourworldindata.org/data-insights/global-population-growth-peaked-six-decades-ago</w:t>
        </w:r>
      </w:hyperlink>
    </w:p>
    <w:bookmarkEnd w:id="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ourworldindata.org/data-insights/global-population-growth-peaked-six-decades-ago" TargetMode="External" /><Relationship Type="http://schemas.openxmlformats.org/officeDocument/2006/relationships/hyperlink" Id="rId38" Target="https://ourworldindata.org/grapher/population" TargetMode="External" /><Relationship Type="http://schemas.openxmlformats.org/officeDocument/2006/relationships/hyperlink" Id="rId30" Target="https://ourworldindata.org/population-growth" TargetMode="External" /><Relationship Type="http://schemas.openxmlformats.org/officeDocument/2006/relationships/hyperlink" Id="rId23" Target="https://ourworldindata.org/population-growth-over-time" TargetMode="External" /><Relationship Type="http://schemas.openxmlformats.org/officeDocument/2006/relationships/hyperlink" Id="rId33" Target="https://population.un.org/wpp/assets/Excel%20Files/2_Indicators%20%28Probabilistic%29/EXCEL_FILES/2_Population/UN_PPP2024_Output_PopGrowthRate.xlsx" TargetMode="External" /><Relationship Type="http://schemas.openxmlformats.org/officeDocument/2006/relationships/hyperlink" Id="rId22" Target="https://population.un.org/wpp/assets/Excel%20Files/2_Indicators%20%28Probabilistic%29/EXCEL_FILES/2_Population/UN_PPP2024_Output_PopTot.xlsx" TargetMode="External" /><Relationship Type="http://schemas.openxmlformats.org/officeDocument/2006/relationships/hyperlink" Id="rId37" Target="https://population.un.org/wpp/assets/Files/WPP2024_Methodology-Report_Final.pdf" TargetMode="External" /><Relationship Type="http://schemas.openxmlformats.org/officeDocument/2006/relationships/hyperlink" Id="rId21" Target="https://www.un.org/sustainabledevelopment/blog/2024/07/press-release-wpp2024/" TargetMode="External" /><Relationship Type="http://schemas.openxmlformats.org/officeDocument/2006/relationships/hyperlink" Id="rId25" Target="https://www.ungeneva.org/en/news-media/news/2024/07/95264/growing-or-shrinking-what-latest-trends-tell-us-about-worlds" TargetMode="External" /></Relationships>
</file>

<file path=word/_rels/footnotes.xml.rels><?xml version="1.0" encoding="UTF-8"?><Relationships xmlns="http://schemas.openxmlformats.org/package/2006/relationships"><Relationship Type="http://schemas.openxmlformats.org/officeDocument/2006/relationships/hyperlink" Id="rId39" Target="https://ourworldindata.org/data-insights/global-population-growth-peaked-six-decades-ago" TargetMode="External" /><Relationship Type="http://schemas.openxmlformats.org/officeDocument/2006/relationships/hyperlink" Id="rId38" Target="https://ourworldindata.org/grapher/population" TargetMode="External" /><Relationship Type="http://schemas.openxmlformats.org/officeDocument/2006/relationships/hyperlink" Id="rId30" Target="https://ourworldindata.org/population-growth" TargetMode="External" /><Relationship Type="http://schemas.openxmlformats.org/officeDocument/2006/relationships/hyperlink" Id="rId23" Target="https://ourworldindata.org/population-growth-over-time" TargetMode="External" /><Relationship Type="http://schemas.openxmlformats.org/officeDocument/2006/relationships/hyperlink" Id="rId33" Target="https://population.un.org/wpp/assets/Excel%20Files/2_Indicators%20%28Probabilistic%29/EXCEL_FILES/2_Population/UN_PPP2024_Output_PopGrowthRate.xlsx" TargetMode="External" /><Relationship Type="http://schemas.openxmlformats.org/officeDocument/2006/relationships/hyperlink" Id="rId22" Target="https://population.un.org/wpp/assets/Excel%20Files/2_Indicators%20%28Probabilistic%29/EXCEL_FILES/2_Population/UN_PPP2024_Output_PopTot.xlsx" TargetMode="External" /><Relationship Type="http://schemas.openxmlformats.org/officeDocument/2006/relationships/hyperlink" Id="rId37" Target="https://population.un.org/wpp/assets/Files/WPP2024_Methodology-Report_Final.pdf" TargetMode="External" /><Relationship Type="http://schemas.openxmlformats.org/officeDocument/2006/relationships/hyperlink" Id="rId21" Target="https://www.un.org/sustainabledevelopment/blog/2024/07/press-release-wpp2024/" TargetMode="External" /><Relationship Type="http://schemas.openxmlformats.org/officeDocument/2006/relationships/hyperlink" Id="rId25" Target="https://www.ungeneva.org/en/news-media/news/2024/07/95264/growing-or-shrinking-what-latest-trends-tell-us-about-worl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2026-03-21T06:49:27Z</dcterms:created>
  <dcterms:modified xsi:type="dcterms:W3CDTF">2026-03-21T06:49:27Z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