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1b1845bc796b81f043f3c563320e53aee6c918f"/>
    <w:p>
      <w:pPr>
        <w:pStyle w:val="Heading1"/>
      </w:pPr>
      <w:r>
        <w:t xml:space="preserve">History of Business Accounting – A Comprehensive Review</w:t>
      </w:r>
    </w:p>
    <w:p>
      <w:pPr>
        <w:pStyle w:val="FirstParagraph"/>
      </w:pPr>
      <w:r>
        <w:rPr>
          <w:b/>
          <w:bCs/>
        </w:rPr>
        <w:t xml:space="preserve">Executive Summary:</w:t>
      </w:r>
      <w:r>
        <w:t xml:space="preserve"> </w:t>
      </w:r>
      <w:r>
        <w:t xml:space="preserve">Accounting is one of humanity’s oldest practices, dating back over 5,000 B.C. in Mesopotamia where clay tokens and early cuneiform tablets recorded bartered goods</w:t>
      </w:r>
      <w:hyperlink r:id="rId21">
        <w:r>
          <w:rPr>
            <w:rStyle w:val="Hyperlink"/>
          </w:rPr>
          <w:t xml:space="preserve">[1]</w:t>
        </w:r>
      </w:hyperlink>
      <w:hyperlink r:id="rId22">
        <w:r>
          <w:rPr>
            <w:rStyle w:val="Hyperlink"/>
          </w:rPr>
          <w:t xml:space="preserve">[2]</w:t>
        </w:r>
      </w:hyperlink>
      <w:r>
        <w:t xml:space="preserve">. Ancient Egyptians and Babylonians developed rudimentary auditing systems, and the Romans maintained detailed financial accounts</w:t>
      </w:r>
      <w:hyperlink r:id="rId22">
        <w:r>
          <w:rPr>
            <w:rStyle w:val="Hyperlink"/>
          </w:rPr>
          <w:t xml:space="preserve">[2]</w:t>
        </w:r>
      </w:hyperlink>
      <w:r>
        <w:t xml:space="preserve">. The double-entry method – the hallmark of modern accounting – evolved gradually in medieval Italy; early 13th c. Italian ledgers (e.g. the 1299 Giovanni Farolfi ledger) already show debit‐credit balancing</w:t>
      </w:r>
      <w:hyperlink r:id="rId23">
        <w:r>
          <w:rPr>
            <w:rStyle w:val="Hyperlink"/>
          </w:rPr>
          <w:t xml:space="preserve">[3]</w:t>
        </w:r>
      </w:hyperlink>
      <w:hyperlink r:id="rId24">
        <w:r>
          <w:rPr>
            <w:rStyle w:val="Hyperlink"/>
          </w:rPr>
          <w:t xml:space="preserve">[4]</w:t>
        </w:r>
      </w:hyperlink>
      <w:r>
        <w:t xml:space="preserve">. In 1494 Luca Pacioli (1445–1517) codified double-entry bookkeeping in his</w:t>
      </w:r>
      <w:r>
        <w:t xml:space="preserve"> </w:t>
      </w:r>
      <w:r>
        <w:rPr>
          <w:i/>
          <w:iCs/>
        </w:rPr>
        <w:t xml:space="preserve">Summa</w:t>
      </w:r>
      <w:hyperlink r:id="rId24">
        <w:r>
          <w:rPr>
            <w:rStyle w:val="Hyperlink"/>
          </w:rPr>
          <w:t xml:space="preserve">[4]</w:t>
        </w:r>
      </w:hyperlink>
      <w:hyperlink r:id="rId25">
        <w:r>
          <w:rPr>
            <w:rStyle w:val="Hyperlink"/>
          </w:rPr>
          <w:t xml:space="preserve">[5]</w:t>
        </w:r>
      </w:hyperlink>
      <w:r>
        <w:t xml:space="preserve">, often earning him the title “Father of Accounting.” Over ensuing centuries, accounting matured with commerce: the Renaissance saw growth of merchant capital accounting; the Industrial Revolution (mid-18th–19th c.) saw rapid proliferation of joint-stock companies and cost‐based industries, which drove advances in cost accounting, financial reporting, and auditing</w:t>
      </w:r>
      <w:hyperlink r:id="rId26">
        <w:r>
          <w:rPr>
            <w:rStyle w:val="Hyperlink"/>
          </w:rPr>
          <w:t xml:space="preserve">[6]</w:t>
        </w:r>
      </w:hyperlink>
      <w:hyperlink r:id="rId27">
        <w:r>
          <w:rPr>
            <w:rStyle w:val="Hyperlink"/>
          </w:rPr>
          <w:t xml:space="preserve">[7]</w:t>
        </w:r>
      </w:hyperlink>
      <w:r>
        <w:t xml:space="preserve">. By the 19th century accounting was professionalized (e.g.</w:t>
      </w:r>
      <w:r>
        <w:t xml:space="preserve"> </w:t>
      </w:r>
      <w:r>
        <w:rPr>
          <w:i/>
          <w:iCs/>
        </w:rPr>
        <w:t xml:space="preserve">“chartered accountant”</w:t>
      </w:r>
      <w:r>
        <w:t xml:space="preserve"> </w:t>
      </w:r>
      <w:r>
        <w:t xml:space="preserve">in Scotland, 1854</w:t>
      </w:r>
      <w:hyperlink r:id="rId28">
        <w:r>
          <w:rPr>
            <w:rStyle w:val="Hyperlink"/>
          </w:rPr>
          <w:t xml:space="preserve">[8]</w:t>
        </w:r>
      </w:hyperlink>
      <w:r>
        <w:t xml:space="preserve">; AAPA in the U.S., 1887</w:t>
      </w:r>
      <w:hyperlink r:id="rId29">
        <w:r>
          <w:rPr>
            <w:rStyle w:val="Hyperlink"/>
          </w:rPr>
          <w:t xml:space="preserve">[9]</w:t>
        </w:r>
      </w:hyperlink>
      <w:r>
        <w:t xml:space="preserve">) and modern standards began to emerge (e.g. ICAEW 1880 in England). The 20th c. brought formal U.S. GAAP and international standards: after the 1930s SEC and Great Depression reforms (SEC, 1934), bodies like the FASB (est. 1973) and IASC/IASB (1973/2001) set detailed rules. Landmark reforms and scandals (Enron/2001, Sarbanes-Oxley Act 2002</w:t>
      </w:r>
      <w:hyperlink r:id="rId30">
        <w:r>
          <w:rPr>
            <w:rStyle w:val="Hyperlink"/>
          </w:rPr>
          <w:t xml:space="preserve">[10]</w:t>
        </w:r>
      </w:hyperlink>
      <w:r>
        <w:t xml:space="preserve">) shaped ethics and disclosure rules. Today, financial accounting globally follows either local GAAP or IFRS (principles-based international standards</w:t>
      </w:r>
      <w:hyperlink r:id="rId31">
        <w:r>
          <w:rPr>
            <w:rStyle w:val="Hyperlink"/>
          </w:rPr>
          <w:t xml:space="preserve">[11]</w:t>
        </w:r>
      </w:hyperlink>
      <w:r>
        <w:t xml:space="preserve">); managerial and cost accounting support internal decision-making. Modern tools (ERP systems, cloud accounting, AI/analytics, blockchain) are revolutionizing the practice</w:t>
      </w:r>
      <w:hyperlink r:id="rId32">
        <w:r>
          <w:rPr>
            <w:rStyle w:val="Hyperlink"/>
          </w:rPr>
          <w:t xml:space="preserve">[12]</w:t>
        </w:r>
      </w:hyperlink>
      <w:r>
        <w:t xml:space="preserve">. This report traces these developments chronologically and thematically, highlighting methods, milestones, regulations, key figures, and emerging trends.</w:t>
      </w:r>
    </w:p>
    <w:bookmarkStart w:id="35" w:name="ancient-origins-and-early-bookkeeping"/>
    <w:p>
      <w:pPr>
        <w:pStyle w:val="Heading2"/>
      </w:pPr>
      <w:r>
        <w:t xml:space="preserve">1. Ancient Origins and Early Bookkeeping</w:t>
      </w:r>
    </w:p>
    <w:p>
      <w:pPr>
        <w:pStyle w:val="FirstParagraph"/>
      </w:pPr>
      <w:r>
        <w:t xml:space="preserve">Accounting traces to the dawn of writing. In Mesopotamia (modern Iraq) by the 5th millennium B.C., temple priests used clay tokens and cuneiform tablets to record grain, livestock and trade. One source notes that</w:t>
      </w:r>
      <w:r>
        <w:t xml:space="preserve"> </w:t>
      </w:r>
      <w:r>
        <w:rPr>
          <w:i/>
          <w:iCs/>
        </w:rPr>
        <w:t xml:space="preserve">“over 7,000 years”</w:t>
      </w:r>
      <w:r>
        <w:t xml:space="preserve"> </w:t>
      </w:r>
      <w:r>
        <w:t xml:space="preserve">ago Mesopotamians tracked goods using ledger-like records</w:t>
      </w:r>
      <w:hyperlink r:id="rId21">
        <w:r>
          <w:rPr>
            <w:rStyle w:val="Hyperlink"/>
          </w:rPr>
          <w:t xml:space="preserve">[1]</w:t>
        </w:r>
      </w:hyperlink>
      <w:r>
        <w:t xml:space="preserve">. Similarly in Egypt and Babylonia ancient scribes used numerical papyri and ledgers to oversee temple wealth and tax collection</w:t>
      </w:r>
      <w:hyperlink r:id="rId22">
        <w:r>
          <w:rPr>
            <w:rStyle w:val="Hyperlink"/>
          </w:rPr>
          <w:t xml:space="preserve">[2]</w:t>
        </w:r>
      </w:hyperlink>
      <w:r>
        <w:t xml:space="preserve">. By the first millennium B.C., alphabets (e.g. Phoenician) facilitated shorthand bookkeeping. The earliest</w:t>
      </w:r>
      <w:r>
        <w:t xml:space="preserve"> </w:t>
      </w:r>
      <w:r>
        <w:rPr>
          <w:i/>
          <w:iCs/>
        </w:rPr>
        <w:t xml:space="preserve">accountants</w:t>
      </w:r>
      <w:r>
        <w:t xml:space="preserve"> </w:t>
      </w:r>
      <w:r>
        <w:t xml:space="preserve">(by one definition) appear around 300 B.C. in the Persian empire (Iran) where administrative tablets listed receipts and disbursements</w:t>
      </w:r>
      <w:hyperlink r:id="rId33">
        <w:r>
          <w:rPr>
            <w:rStyle w:val="Hyperlink"/>
          </w:rPr>
          <w:t xml:space="preserve">[13]</w:t>
        </w:r>
      </w:hyperlink>
      <w:r>
        <w:t xml:space="preserve">. The Romans (1st c. A.D.) kept detailed public accounts (aerarium, fiscus) and private ledgers. In sum, accounting evolved alongside writing and numerals in almost every cradle of civilization</w:t>
      </w:r>
      <w:hyperlink r:id="rId22">
        <w:r>
          <w:rPr>
            <w:rStyle w:val="Hyperlink"/>
          </w:rPr>
          <w:t xml:space="preserve">[2]</w:t>
        </w:r>
      </w:hyperlink>
      <w:hyperlink r:id="rId21">
        <w:r>
          <w:rPr>
            <w:rStyle w:val="Hyperlink"/>
          </w:rPr>
          <w:t xml:space="preserve">[1]</w:t>
        </w:r>
      </w:hyperlink>
      <w:r>
        <w:t xml:space="preserve">.</w:t>
      </w:r>
    </w:p>
    <w:p>
      <w:pPr>
        <w:pStyle w:val="BodyText"/>
      </w:pPr>
      <w:r>
        <w:t xml:space="preserve">Despite these ancient roots, bookkeeping remained largely single-entry and narrative until the late Middle Ages. Under single-entry, each transaction was recorded once (often in diary form), with no formal balancing</w:t>
      </w:r>
      <w:hyperlink r:id="rId34">
        <w:r>
          <w:rPr>
            <w:rStyle w:val="Hyperlink"/>
          </w:rPr>
          <w:t xml:space="preserve">[14]</w:t>
        </w:r>
      </w:hyperlink>
      <w:r>
        <w:t xml:space="preserve">. Medieval Italian merchants gradually developed a paired entry method: each sale or purchase was recorded twice (a</w:t>
      </w:r>
      <w:r>
        <w:t xml:space="preserve"> </w:t>
      </w:r>
      <w:r>
        <w:rPr>
          <w:i/>
          <w:iCs/>
        </w:rPr>
        <w:t xml:space="preserve">debit</w:t>
      </w:r>
      <w:r>
        <w:t xml:space="preserve"> </w:t>
      </w:r>
      <w:r>
        <w:t xml:space="preserve">and a</w:t>
      </w:r>
      <w:r>
        <w:t xml:space="preserve"> </w:t>
      </w:r>
      <w:r>
        <w:rPr>
          <w:i/>
          <w:iCs/>
        </w:rPr>
        <w:t xml:space="preserve">credit</w:t>
      </w:r>
      <w:r>
        <w:t xml:space="preserve">). One surviving example is the 1299–1300 Farolfi ledger (Tuscany), which scholars describe as</w:t>
      </w:r>
      <w:r>
        <w:t xml:space="preserve"> </w:t>
      </w:r>
      <w:r>
        <w:rPr>
          <w:i/>
          <w:iCs/>
        </w:rPr>
        <w:t xml:space="preserve">“a sophisticated accounting system, with a debit and credit for every item… the earliest known example of commercial double entry”</w:t>
      </w:r>
      <w:hyperlink r:id="rId23">
        <w:r>
          <w:rPr>
            <w:rStyle w:val="Hyperlink"/>
          </w:rPr>
          <w:t xml:space="preserve">[3]</w:t>
        </w:r>
      </w:hyperlink>
      <w:r>
        <w:t xml:space="preserve">. By the 14th c., the Italian city-states (Venice, Florence, Genoa) used bilateral ledgers (venetian style journals), balancing books annually. In sum, double-entry bookkeeping</w:t>
      </w:r>
      <w:r>
        <w:t xml:space="preserve"> </w:t>
      </w:r>
      <w:r>
        <w:rPr>
          <w:b/>
          <w:bCs/>
        </w:rPr>
        <w:t xml:space="preserve">gradually emerged in medieval Italy</w:t>
      </w:r>
      <w:r>
        <w:t xml:space="preserve"> </w:t>
      </w:r>
      <w:r>
        <w:t xml:space="preserve">through practice, rather than a single invention</w:t>
      </w:r>
      <w:hyperlink r:id="rId23">
        <w:r>
          <w:rPr>
            <w:rStyle w:val="Hyperlink"/>
          </w:rPr>
          <w:t xml:space="preserve">[3]</w:t>
        </w:r>
      </w:hyperlink>
      <w:hyperlink r:id="rId24">
        <w:r>
          <w:rPr>
            <w:rStyle w:val="Hyperlink"/>
          </w:rPr>
          <w:t xml:space="preserve">[4]</w:t>
        </w:r>
      </w:hyperlink>
      <w:r>
        <w:t xml:space="preserve">.</w:t>
      </w:r>
    </w:p>
    <w:bookmarkEnd w:id="35"/>
    <w:bookmarkStart w:id="39" w:name="renaissance-to-early-modern-developments"/>
    <w:p>
      <w:pPr>
        <w:pStyle w:val="Heading2"/>
      </w:pPr>
      <w:r>
        <w:t xml:space="preserve">2. Renaissance to Early Modern Developments</w:t>
      </w:r>
    </w:p>
    <w:bookmarkStart w:id="37" w:name="luca-pacioli-and-double-entry-1494"/>
    <w:p>
      <w:pPr>
        <w:pStyle w:val="Heading3"/>
      </w:pPr>
      <w:r>
        <w:t xml:space="preserve">2.1 Luca Pacioli and Double-Entry (1494)</w:t>
      </w:r>
    </w:p>
    <w:p>
      <w:pPr>
        <w:pStyle w:val="FirstParagraph"/>
      </w:pPr>
      <w:r>
        <w:t xml:space="preserve">The first</w:t>
      </w:r>
      <w:r>
        <w:t xml:space="preserve"> </w:t>
      </w:r>
      <w:r>
        <w:rPr>
          <w:i/>
          <w:iCs/>
        </w:rPr>
        <w:t xml:space="preserve">printed</w:t>
      </w:r>
      <w:r>
        <w:t xml:space="preserve"> </w:t>
      </w:r>
      <w:r>
        <w:t xml:space="preserve">exposition of double-entry was by Franciscan friar Luca Pacioli in 1494. In his</w:t>
      </w:r>
      <w:r>
        <w:t xml:space="preserve"> </w:t>
      </w:r>
      <w:r>
        <w:rPr>
          <w:i/>
          <w:iCs/>
        </w:rPr>
        <w:t xml:space="preserve">Summa de Arithmetica</w:t>
      </w:r>
      <w:r>
        <w:t xml:space="preserve"> </w:t>
      </w:r>
      <w:r>
        <w:t xml:space="preserve">(Venice), Pacioli outlined the ledger/journal system: separate</w:t>
      </w:r>
      <w:r>
        <w:t xml:space="preserve"> </w:t>
      </w:r>
      <w:r>
        <w:rPr>
          <w:i/>
          <w:iCs/>
        </w:rPr>
        <w:t xml:space="preserve">Particulars de computis et scripturis</w:t>
      </w:r>
      <w:r>
        <w:t xml:space="preserve"> </w:t>
      </w:r>
      <w:r>
        <w:t xml:space="preserve">(accounts) with matched debits and credits</w:t>
      </w:r>
      <w:hyperlink r:id="rId24">
        <w:r>
          <w:rPr>
            <w:rStyle w:val="Hyperlink"/>
          </w:rPr>
          <w:t xml:space="preserve">[4]</w:t>
        </w:r>
      </w:hyperlink>
      <w:hyperlink r:id="rId25">
        <w:r>
          <w:rPr>
            <w:rStyle w:val="Hyperlink"/>
          </w:rPr>
          <w:t xml:space="preserve">[5]</w:t>
        </w:r>
      </w:hyperlink>
      <w:r>
        <w:t xml:space="preserve">. He famously remarked that a servant who keeps “three columns” in his diary will do an auditor’s job</w:t>
      </w:r>
      <w:hyperlink r:id="rId25">
        <w:r>
          <w:rPr>
            <w:rStyle w:val="Hyperlink"/>
          </w:rPr>
          <w:t xml:space="preserve">[5]</w:t>
        </w:r>
      </w:hyperlink>
      <w:r>
        <w:t xml:space="preserve">. Pacioli did</w:t>
      </w:r>
      <w:r>
        <w:t xml:space="preserve"> </w:t>
      </w:r>
      <w:r>
        <w:rPr>
          <w:b/>
          <w:bCs/>
        </w:rPr>
        <w:t xml:space="preserve">not</w:t>
      </w:r>
      <w:r>
        <w:t xml:space="preserve"> </w:t>
      </w:r>
      <w:r>
        <w:t xml:space="preserve">claim to invent bookkeeping, but his clear description codified existing Venetian practice. His tract on accounting became widely influential in Europe, and he is often honored as the “father of accounting”</w:t>
      </w:r>
      <w:hyperlink r:id="rId24">
        <w:r>
          <w:rPr>
            <w:rStyle w:val="Hyperlink"/>
          </w:rPr>
          <w:t xml:space="preserve">[4]</w:t>
        </w:r>
      </w:hyperlink>
      <w:hyperlink r:id="rId25">
        <w:r>
          <w:rPr>
            <w:rStyle w:val="Hyperlink"/>
          </w:rPr>
          <w:t xml:space="preserve">[5]</w:t>
        </w:r>
      </w:hyperlink>
      <w:r>
        <w:t xml:space="preserve">.</w:t>
      </w:r>
    </w:p>
    <w:p>
      <w:pPr>
        <w:pStyle w:val="BodyText"/>
      </w:pPr>
      <w:r>
        <w:t xml:space="preserve">(Meanwhile, other treatises surfaced. Notably, Benedetto Cotrugli of Ragusa (Dubrovnik) completed</w:t>
      </w:r>
      <w:r>
        <w:t xml:space="preserve"> </w:t>
      </w:r>
      <w:r>
        <w:rPr>
          <w:i/>
          <w:iCs/>
        </w:rPr>
        <w:t xml:space="preserve">Il Libro dell’Arte di Mercatura</w:t>
      </w:r>
      <w:r>
        <w:t xml:space="preserve"> </w:t>
      </w:r>
      <w:r>
        <w:t xml:space="preserve">in 1458, which included a chapter on double-entry bookkeeping. Although it was not printed until 1573, modern historians recognize Cotrugli’s 15th c. text as one of the earliest detailed descriptions of double-entry practice</w:t>
      </w:r>
      <w:hyperlink r:id="rId36">
        <w:r>
          <w:rPr>
            <w:rStyle w:val="Hyperlink"/>
          </w:rPr>
          <w:t xml:space="preserve">[15]</w:t>
        </w:r>
      </w:hyperlink>
      <w:r>
        <w:t xml:space="preserve">.)</w:t>
      </w:r>
    </w:p>
    <w:bookmarkEnd w:id="37"/>
    <w:bookmarkStart w:id="38" w:name="X17d8b62b24574813d22e8d4e0961bbaeaafa683"/>
    <w:p>
      <w:pPr>
        <w:pStyle w:val="Heading3"/>
      </w:pPr>
      <w:r>
        <w:t xml:space="preserve">2.2 Accounting in Commerce, 16th–18th Centuries</w:t>
      </w:r>
    </w:p>
    <w:p>
      <w:pPr>
        <w:pStyle w:val="FirstParagraph"/>
      </w:pPr>
      <w:r>
        <w:t xml:space="preserve">As international trade expanded, specialized accounting techniques proliferated. European merchants and colonial firms maintained ledgers, account books and bills of exchange. The growth of banking and stock companies (e.g. the Dutch East India Company) spurred the need for consolidated accounts and profit calculation. By the 17th–18th centuries, detailed mercantile accounting manuals appeared (e.g. by Agostino Parnisetti, 1699). However, formal auditing remained rare until later. Governments also began to adopt accounting: for example, the exchequers of British and European states developed periodic financial reports, though these often remained internal.</w:t>
      </w:r>
    </w:p>
    <w:p>
      <w:pPr>
        <w:pStyle w:val="BodyText"/>
      </w:pPr>
      <w:r>
        <w:t xml:space="preserve">Contemporaneously, the scientific and administrative revolutions spurred thought about financial control. Sir Isaac Newton (as British Treasurer in the 1690s) famously insisted on rigorous accounting. But accounting standards were ad hoc, often prescribed by law (e.g. 1749 British Companies Act).</w:t>
      </w:r>
    </w:p>
    <w:bookmarkEnd w:id="38"/>
    <w:bookmarkEnd w:id="39"/>
    <w:bookmarkStart w:id="48" w:name="X7625509ca914b421f120505e6f454ea48782f45"/>
    <w:p>
      <w:pPr>
        <w:pStyle w:val="Heading2"/>
      </w:pPr>
      <w:r>
        <w:t xml:space="preserve">3. The Industrial Revolution and 19th Century Expansion</w:t>
      </w:r>
    </w:p>
    <w:bookmarkStart w:id="44" w:name="X7564cc2b920799c970ac195122b9316ca3d75af"/>
    <w:p>
      <w:pPr>
        <w:pStyle w:val="Heading3"/>
      </w:pPr>
      <w:r>
        <w:t xml:space="preserve">3.1 Corporations, Auditing, and the Rise of the Profession</w:t>
      </w:r>
    </w:p>
    <w:p>
      <w:pPr>
        <w:pStyle w:val="FirstParagraph"/>
      </w:pPr>
      <w:r>
        <w:t xml:space="preserve">The Industrial Revolution (c.1760–1850) and the rise of joint-stock companies transformed accounting. Factories, railways, and banks amassed capital from many investors, necessitating standardized financial reports. By mid-1800s, Britain was the world’s financial center, and accountants became essential for managing complex enterprises</w:t>
      </w:r>
      <w:hyperlink r:id="rId40">
        <w:r>
          <w:rPr>
            <w:rStyle w:val="Hyperlink"/>
          </w:rPr>
          <w:t xml:space="preserve">[16]</w:t>
        </w:r>
      </w:hyperlink>
      <w:hyperlink r:id="rId27">
        <w:r>
          <w:rPr>
            <w:rStyle w:val="Hyperlink"/>
          </w:rPr>
          <w:t xml:space="preserve">[7]</w:t>
        </w:r>
      </w:hyperlink>
      <w:r>
        <w:t xml:space="preserve">.</w:t>
      </w:r>
    </w:p>
    <w:p>
      <w:pPr>
        <w:pStyle w:val="BodyText"/>
      </w:pPr>
      <w:r>
        <w:t xml:space="preserve">Recognizing this, professional bodies formed: in</w:t>
      </w:r>
      <w:r>
        <w:t xml:space="preserve"> </w:t>
      </w:r>
      <w:r>
        <w:rPr>
          <w:b/>
          <w:bCs/>
        </w:rPr>
        <w:t xml:space="preserve">Scotland</w:t>
      </w:r>
      <w:r>
        <w:t xml:space="preserve"> </w:t>
      </w:r>
      <w:r>
        <w:t xml:space="preserve">1854 accountants (originally linked with solicitors) successfully petitioned Queen Victoria to distinguish “Chartered Accountants”</w:t>
      </w:r>
      <w:hyperlink r:id="rId28">
        <w:r>
          <w:rPr>
            <w:rStyle w:val="Hyperlink"/>
          </w:rPr>
          <w:t xml:space="preserve">[8]</w:t>
        </w:r>
      </w:hyperlink>
      <w:r>
        <w:t xml:space="preserve">. In</w:t>
      </w:r>
      <w:r>
        <w:t xml:space="preserve"> </w:t>
      </w:r>
      <w:r>
        <w:rPr>
          <w:b/>
          <w:bCs/>
        </w:rPr>
        <w:t xml:space="preserve">England</w:t>
      </w:r>
      <w:r>
        <w:t xml:space="preserve"> </w:t>
      </w:r>
      <w:r>
        <w:t xml:space="preserve">the Institute of Chartered Accountants in England &amp; Wales (ICAEW) was founded by Royal Charter in 1880. In</w:t>
      </w:r>
      <w:r>
        <w:t xml:space="preserve"> </w:t>
      </w:r>
      <w:r>
        <w:rPr>
          <w:b/>
          <w:bCs/>
        </w:rPr>
        <w:t xml:space="preserve">the United States</w:t>
      </w:r>
      <w:r>
        <w:t xml:space="preserve">, the American Association of Public Accountants (AAPA) was established in 1887 (by 1896, its members adopted the</w:t>
      </w:r>
      <w:r>
        <w:t xml:space="preserve"> </w:t>
      </w:r>
      <w:r>
        <w:rPr>
          <w:i/>
          <w:iCs/>
        </w:rPr>
        <w:t xml:space="preserve">Certified Public Accountant</w:t>
      </w:r>
      <w:r>
        <w:t xml:space="preserve"> </w:t>
      </w:r>
      <w:r>
        <w:t xml:space="preserve">(CPA) title)</w:t>
      </w:r>
      <w:hyperlink r:id="rId41">
        <w:r>
          <w:rPr>
            <w:rStyle w:val="Hyperlink"/>
          </w:rPr>
          <w:t xml:space="preserve">[17]</w:t>
        </w:r>
      </w:hyperlink>
      <w:hyperlink r:id="rId29">
        <w:r>
          <w:rPr>
            <w:rStyle w:val="Hyperlink"/>
          </w:rPr>
          <w:t xml:space="preserve">[9]</w:t>
        </w:r>
      </w:hyperlink>
      <w:r>
        <w:t xml:space="preserve">. Smaller UK bodies merged into today’s ACCA (founded 1904 as the London Association of Accountants)</w:t>
      </w:r>
      <w:hyperlink r:id="rId42">
        <w:r>
          <w:rPr>
            <w:rStyle w:val="Hyperlink"/>
          </w:rPr>
          <w:t xml:space="preserve">[18]</w:t>
        </w:r>
      </w:hyperlink>
      <w:r>
        <w:t xml:space="preserve">. Overall, by the late 19th c. accounting had professional standards, examinations and ethics.</w:t>
      </w:r>
    </w:p>
    <w:p>
      <w:pPr>
        <w:pStyle w:val="BodyText"/>
      </w:pPr>
      <w:r>
        <w:t xml:space="preserve">With corporations came external audit. Early company laws (1844 UK Joint Stock Companies Act; 1884 UK Companies Act) required officers to produce annual accounts. Auditors (often solicitors originally) became empowered to review those books. By the 1860s–1890s auditing was an established function: independent accountants examined corporate financial statements to protect shareholders. As one history notes, the growth of shareholders required “independent financial reviews of a company’s operations”</w:t>
      </w:r>
      <w:hyperlink r:id="rId43">
        <w:r>
          <w:rPr>
            <w:rStyle w:val="Hyperlink"/>
          </w:rPr>
          <w:t xml:space="preserve">[19]</w:t>
        </w:r>
      </w:hyperlink>
      <w:r>
        <w:t xml:space="preserve"> </w:t>
      </w:r>
      <w:r>
        <w:t xml:space="preserve">to maintain investor trust. Hence, auditing became integral to modern accounting practice by the turn of the 20th century.</w:t>
      </w:r>
    </w:p>
    <w:bookmarkEnd w:id="44"/>
    <w:bookmarkStart w:id="47" w:name="accounting-methods-cost-and-management"/>
    <w:p>
      <w:pPr>
        <w:pStyle w:val="Heading3"/>
      </w:pPr>
      <w:r>
        <w:t xml:space="preserve">3.2 Accounting Methods – Cost and Management</w:t>
      </w:r>
    </w:p>
    <w:p>
      <w:pPr>
        <w:pStyle w:val="FirstParagraph"/>
      </w:pPr>
      <w:r>
        <w:t xml:space="preserve">The 19th century also saw the birth of</w:t>
      </w:r>
      <w:r>
        <w:t xml:space="preserve"> </w:t>
      </w:r>
      <w:r>
        <w:rPr>
          <w:b/>
          <w:bCs/>
        </w:rPr>
        <w:t xml:space="preserve">cost accounting</w:t>
      </w:r>
      <w:r>
        <w:t xml:space="preserve">. As production scaled, business owners needed to track manufacturing expenses by product. Early factories in textile and metal industries (e.g. printing press of Christopher Plantin, 16th c.; copper smelting, 17th c.) kept detailed cost ledgers</w:t>
      </w:r>
      <w:hyperlink r:id="rId45">
        <w:r>
          <w:rPr>
            <w:rStyle w:val="Hyperlink"/>
          </w:rPr>
          <w:t xml:space="preserve">[20]</w:t>
        </w:r>
      </w:hyperlink>
      <w:r>
        <w:t xml:space="preserve">. Formal</w:t>
      </w:r>
      <w:r>
        <w:t xml:space="preserve"> </w:t>
      </w:r>
      <w:r>
        <w:rPr>
          <w:i/>
          <w:iCs/>
        </w:rPr>
        <w:t xml:space="preserve">cost accounting</w:t>
      </w:r>
      <w:r>
        <w:t xml:space="preserve"> </w:t>
      </w:r>
      <w:r>
        <w:t xml:space="preserve">methods evolved: allocating labor, materials, and overhead to units of output. By the late 1800s, evolving costing techniques (job costing, standard costing) supported factory management and pricing decisions.</w:t>
      </w:r>
    </w:p>
    <w:p>
      <w:pPr>
        <w:pStyle w:val="BodyText"/>
      </w:pPr>
      <w:r>
        <w:t xml:space="preserve">Parallel to cost accounting,</w:t>
      </w:r>
      <w:r>
        <w:t xml:space="preserve"> </w:t>
      </w:r>
      <w:r>
        <w:rPr>
          <w:b/>
          <w:bCs/>
        </w:rPr>
        <w:t xml:space="preserve">managerial accounting</w:t>
      </w:r>
      <w:r>
        <w:t xml:space="preserve"> </w:t>
      </w:r>
      <w:r>
        <w:t xml:space="preserve">emerged. While</w:t>
      </w:r>
      <w:r>
        <w:t xml:space="preserve"> </w:t>
      </w:r>
      <w:r>
        <w:rPr>
          <w:i/>
          <w:iCs/>
        </w:rPr>
        <w:t xml:space="preserve">financial accounting</w:t>
      </w:r>
      <w:r>
        <w:t xml:space="preserve"> </w:t>
      </w:r>
      <w:r>
        <w:t xml:space="preserve">produced external reports (balance sheets, income statements) under general accounting postulates, managerial accounting focused on internal planning, budgeting and analysis. Industrialists relied on cost and performance metrics (e.g. operating ratios) to run large enterprises. Thus by early 20th c., “bookkeeping became the practice of accounting with cost estimates, financial statements, operating ratios, [etc.]” to inform decisions</w:t>
      </w:r>
      <w:hyperlink r:id="rId46">
        <w:r>
          <w:rPr>
            <w:rStyle w:val="Hyperlink"/>
          </w:rPr>
          <w:t xml:space="preserve">[21]</w:t>
        </w:r>
      </w:hyperlink>
      <w:r>
        <w:t xml:space="preserve">. The academic field of management accounting formalized later, but its roots lie in these industrial needs.</w:t>
      </w:r>
    </w:p>
    <w:bookmarkEnd w:id="47"/>
    <w:bookmarkEnd w:id="48"/>
    <w:bookmarkStart w:id="54" w:name="X307fa50da4ad457e6d43476ca31cb3b10af1c23"/>
    <w:p>
      <w:pPr>
        <w:pStyle w:val="Heading2"/>
      </w:pPr>
      <w:r>
        <w:t xml:space="preserve">4. 20th Century: Standards, Institutions, and Crises</w:t>
      </w:r>
    </w:p>
    <w:bookmarkStart w:id="52" w:name="Xc44781d78b6e2ce0d89b53ad3a89f8de6d2446b"/>
    <w:p>
      <w:pPr>
        <w:pStyle w:val="Heading3"/>
      </w:pPr>
      <w:r>
        <w:t xml:space="preserve">4.1 Standardization and Regulation (Early–Mid 20th C.)</w:t>
      </w:r>
    </w:p>
    <w:p>
      <w:pPr>
        <w:pStyle w:val="FirstParagraph"/>
      </w:pPr>
      <w:r>
        <w:t xml:space="preserve">The early 20th century brought formal standard-setting. In the</w:t>
      </w:r>
      <w:r>
        <w:t xml:space="preserve"> </w:t>
      </w:r>
      <w:r>
        <w:rPr>
          <w:b/>
          <w:bCs/>
        </w:rPr>
        <w:t xml:space="preserve">United States</w:t>
      </w:r>
      <w:r>
        <w:t xml:space="preserve">, the 1913 creation of the federal income tax (16th Amendment) drastically increased accountants’ workloads (preparing tax returns, advising on deductions)</w:t>
      </w:r>
      <w:hyperlink r:id="rId29">
        <w:r>
          <w:rPr>
            <w:rStyle w:val="Hyperlink"/>
          </w:rPr>
          <w:t xml:space="preserve">[9]</w:t>
        </w:r>
      </w:hyperlink>
      <w:r>
        <w:t xml:space="preserve">. In response, the AAPA merged with other groups to become the American Institute of Accountants (AIA) in 1916 (later AICPA in 1957). In 1934, after the Stock Market Crash of 1929, the U.S. Congress created the Securities and Exchange Commission (SEC)</w:t>
      </w:r>
      <w:hyperlink r:id="rId30">
        <w:r>
          <w:rPr>
            <w:rStyle w:val="Hyperlink"/>
          </w:rPr>
          <w:t xml:space="preserve">[10]</w:t>
        </w:r>
      </w:hyperlink>
      <w:r>
        <w:t xml:space="preserve">, charging it with establishing GAAP (Generally Accepted Accounting Principles) and requiring audited financials for public companies. GAAP – initially a collection of industry custom and AIA pronouncements (Committee on Accounting Procedure, 1939–1959) – became more authoritative under the APB (Accounting Principles Board, 1959–1973) and finally the FASB (Financial Accounting Standards Board, est. 1973)</w:t>
      </w:r>
      <w:hyperlink r:id="rId49">
        <w:r>
          <w:rPr>
            <w:rStyle w:val="Hyperlink"/>
          </w:rPr>
          <w:t xml:space="preserve">[22]</w:t>
        </w:r>
      </w:hyperlink>
      <w:hyperlink r:id="rId50">
        <w:r>
          <w:rPr>
            <w:rStyle w:val="Hyperlink"/>
          </w:rPr>
          <w:t xml:space="preserve">[23]</w:t>
        </w:r>
      </w:hyperlink>
      <w:r>
        <w:t xml:space="preserve">. These bodies issued detailed rules for revenue recognition, matching, disclosures, etc., turning financial reporting into a regulated discipline.</w:t>
      </w:r>
    </w:p>
    <w:p>
      <w:pPr>
        <w:pStyle w:val="BodyText"/>
      </w:pPr>
      <w:r>
        <w:t xml:space="preserve">Globally, the push for harmony began mid-century. In 1973 major accountancy institutes from 10 countries formed the</w:t>
      </w:r>
      <w:r>
        <w:t xml:space="preserve"> </w:t>
      </w:r>
      <w:r>
        <w:rPr>
          <w:b/>
          <w:bCs/>
        </w:rPr>
        <w:t xml:space="preserve">International Accounting Standards Committee (IASC)</w:t>
      </w:r>
      <w:r>
        <w:t xml:space="preserve"> </w:t>
      </w:r>
      <w:r>
        <w:t xml:space="preserve">to develop a single set of international standards (IAS)</w:t>
      </w:r>
      <w:hyperlink r:id="rId49">
        <w:r>
          <w:rPr>
            <w:rStyle w:val="Hyperlink"/>
          </w:rPr>
          <w:t xml:space="preserve">[22]</w:t>
        </w:r>
      </w:hyperlink>
      <w:r>
        <w:t xml:space="preserve">. The OECD (1976) and IOSCO (securities regulators) endorsed these efforts</w:t>
      </w:r>
      <w:hyperlink r:id="rId49">
        <w:r>
          <w:rPr>
            <w:rStyle w:val="Hyperlink"/>
          </w:rPr>
          <w:t xml:space="preserve">[22]</w:t>
        </w:r>
      </w:hyperlink>
      <w:r>
        <w:t xml:space="preserve">. In 2001 the IASC was reorganized into the IASB (International Accounting Standards Board), adopting the name IFRS (International Financial Reporting Standards) for its rules</w:t>
      </w:r>
      <w:hyperlink r:id="rId50">
        <w:r>
          <w:rPr>
            <w:rStyle w:val="Hyperlink"/>
          </w:rPr>
          <w:t xml:space="preserve">[23]</w:t>
        </w:r>
      </w:hyperlink>
      <w:r>
        <w:t xml:space="preserve">. Today over 140 jurisdictions require or permit IFRS for public companies</w:t>
      </w:r>
      <w:hyperlink r:id="rId51">
        <w:r>
          <w:rPr>
            <w:rStyle w:val="Hyperlink"/>
          </w:rPr>
          <w:t xml:space="preserve">[24]</w:t>
        </w:r>
      </w:hyperlink>
      <w:r>
        <w:t xml:space="preserve"> </w:t>
      </w:r>
      <w:r>
        <w:t xml:space="preserve">(the EU mandated IFRS in 2005</w:t>
      </w:r>
      <w:hyperlink r:id="rId50">
        <w:r>
          <w:rPr>
            <w:rStyle w:val="Hyperlink"/>
          </w:rPr>
          <w:t xml:space="preserve">[23]</w:t>
        </w:r>
      </w:hyperlink>
      <w:r>
        <w:t xml:space="preserve">). The SEC’s 2002 Sarbanes-Oxley Act (following Enron/WorldCom) reaffirmed FASB as the U.S. standard-setter, even as it endorsed convergence projects with the IASB</w:t>
      </w:r>
      <w:hyperlink r:id="rId50">
        <w:r>
          <w:rPr>
            <w:rStyle w:val="Hyperlink"/>
          </w:rPr>
          <w:t xml:space="preserve">[23]</w:t>
        </w:r>
      </w:hyperlink>
      <w:hyperlink r:id="rId31">
        <w:r>
          <w:rPr>
            <w:rStyle w:val="Hyperlink"/>
          </w:rPr>
          <w:t xml:space="preserve">[11]</w:t>
        </w:r>
      </w:hyperlink>
      <w:r>
        <w:t xml:space="preserve">.</w:t>
      </w:r>
    </w:p>
    <w:bookmarkEnd w:id="52"/>
    <w:bookmarkStart w:id="53" w:name="accounting-scandals-and-ethics"/>
    <w:p>
      <w:pPr>
        <w:pStyle w:val="Heading3"/>
      </w:pPr>
      <w:r>
        <w:t xml:space="preserve">4.2 Accounting Scandals and Ethics</w:t>
      </w:r>
    </w:p>
    <w:p>
      <w:pPr>
        <w:pStyle w:val="FirstParagraph"/>
      </w:pPr>
      <w:r>
        <w:t xml:space="preserve">The 20th–21st centuries saw major scandals that shaped regulation. In the U.S., failures of Enron and WorldCom (2001) – involving fraudulent accounting for off-balance-sheet entities and inflated earnings – led to Sarbanes-Oxley Act of 2002</w:t>
      </w:r>
      <w:hyperlink r:id="rId30">
        <w:r>
          <w:rPr>
            <w:rStyle w:val="Hyperlink"/>
          </w:rPr>
          <w:t xml:space="preserve">[10]</w:t>
        </w:r>
      </w:hyperlink>
      <w:r>
        <w:t xml:space="preserve">. (SOX imposed strict new auditor independence rules, CEO/CFO certification of statements, and the PCAOB oversight board.) Other notable cases include Lehman Brothers’ 2008 filing loophole (Repo 105), and Europe’s Parmalat fraud (2003), each demonstrating the need for transparency. Responding, regulators worldwide tightened corporate governance and disclosure. International bodies like the Basel Committee and FATF further aligned financial reporting with anti-fraud and anti-corruption frameworks.</w:t>
      </w:r>
    </w:p>
    <w:bookmarkEnd w:id="53"/>
    <w:bookmarkEnd w:id="54"/>
    <w:bookmarkStart w:id="57" w:name="major-methods-and-techniques"/>
    <w:p>
      <w:pPr>
        <w:pStyle w:val="Heading2"/>
      </w:pPr>
      <w:r>
        <w:t xml:space="preserve">5. Major Methods and Techniques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Method / Technique</w:t>
            </w:r>
          </w:p>
        </w:tc>
        <w:tc>
          <w:tcPr/>
          <w:p>
            <w:pPr>
              <w:pStyle w:val="Compact"/>
            </w:pPr>
            <w:r>
              <w:rPr>
                <w:b/>
                <w:bCs/>
              </w:rPr>
              <w:t xml:space="preserve">Description &amp; Origin</w:t>
            </w:r>
          </w:p>
        </w:tc>
        <w:tc>
          <w:tcPr/>
          <w:p>
            <w:pPr>
              <w:pStyle w:val="Compact"/>
            </w:pPr>
            <w:r>
              <w:rPr>
                <w:b/>
                <w:bCs/>
              </w:rPr>
              <w:t xml:space="preserve">Key Features</w:t>
            </w:r>
          </w:p>
        </w:tc>
        <w:tc>
          <w:tcPr/>
          <w:p>
            <w:pPr>
              <w:pStyle w:val="Compact"/>
            </w:pPr>
            <w:r>
              <w:rPr>
                <w:b/>
                <w:bCs/>
              </w:rPr>
              <w:t xml:space="preserve">Source</w:t>
            </w:r>
          </w:p>
        </w:tc>
      </w:tr>
      <w:tr>
        <w:tc>
          <w:tcPr/>
          <w:p>
            <w:pPr>
              <w:pStyle w:val="Compact"/>
            </w:pPr>
            <w:r>
              <w:rPr>
                <w:b/>
                <w:bCs/>
              </w:rPr>
              <w:t xml:space="preserve">Single‐Entry Bookkeeping</w:t>
            </w:r>
          </w:p>
        </w:tc>
        <w:tc>
          <w:tcPr/>
          <w:p>
            <w:pPr>
              <w:pStyle w:val="Compact"/>
            </w:pPr>
            <w:r>
              <w:t xml:space="preserve">Used up to late 15th c.; narrative recording with one column of figures</w:t>
            </w:r>
            <w:hyperlink r:id="rId34">
              <w:r>
                <w:rPr>
                  <w:rStyle w:val="Hyperlink"/>
                </w:rPr>
                <w:t xml:space="preserve">[14]</w:t>
              </w:r>
            </w:hyperlink>
            <w:r>
              <w:t xml:space="preserve">.</w:t>
            </w:r>
          </w:p>
        </w:tc>
        <w:tc>
          <w:tcPr/>
          <w:p>
            <w:pPr>
              <w:pStyle w:val="Compact"/>
            </w:pPr>
            <w:r>
              <w:t xml:space="preserve">Simple receipts/expense log; no formal trial balance; used for small ledger.</w:t>
            </w:r>
          </w:p>
        </w:tc>
        <w:tc>
          <w:tcPr/>
          <w:p>
            <w:pPr>
              <w:pStyle w:val="Compact"/>
            </w:pPr>
            <w:hyperlink r:id="rId34">
              <w:r>
                <w:rPr>
                  <w:rStyle w:val="Hyperlink"/>
                </w:rPr>
                <w:t xml:space="preserve">[14]</w:t>
              </w:r>
            </w:hyperlink>
          </w:p>
        </w:tc>
      </w:tr>
      <w:tr>
        <w:tc>
          <w:tcPr/>
          <w:p>
            <w:pPr>
              <w:pStyle w:val="Compact"/>
            </w:pPr>
            <w:r>
              <w:rPr>
                <w:b/>
                <w:bCs/>
              </w:rPr>
              <w:t xml:space="preserve">Double‐Entry Bookkeeping</w:t>
            </w:r>
          </w:p>
        </w:tc>
        <w:tc>
          <w:tcPr/>
          <w:p>
            <w:pPr>
              <w:pStyle w:val="Compact"/>
            </w:pPr>
            <w:r>
              <w:t xml:space="preserve">Systematized by medieval Italians; codified by Luca Pacioli (1494)</w:t>
            </w:r>
            <w:hyperlink r:id="rId24">
              <w:r>
                <w:rPr>
                  <w:rStyle w:val="Hyperlink"/>
                </w:rPr>
                <w:t xml:space="preserve">[4]</w:t>
              </w:r>
            </w:hyperlink>
            <w:hyperlink r:id="rId25">
              <w:r>
                <w:rPr>
                  <w:rStyle w:val="Hyperlink"/>
                </w:rPr>
                <w:t xml:space="preserve">[5]</w:t>
              </w:r>
            </w:hyperlink>
            <w:r>
              <w:t xml:space="preserve">.</w:t>
            </w:r>
          </w:p>
        </w:tc>
        <w:tc>
          <w:tcPr/>
          <w:p>
            <w:pPr>
              <w:pStyle w:val="Compact"/>
            </w:pPr>
            <w:r>
              <w:t xml:space="preserve">Each transaction recorded as equal debit/credit; produces balanced books and balance sheet.</w:t>
            </w:r>
          </w:p>
        </w:tc>
        <w:tc>
          <w:tcPr/>
          <w:p>
            <w:pPr>
              <w:pStyle w:val="Compact"/>
            </w:pPr>
            <w:hyperlink r:id="rId24">
              <w:r>
                <w:rPr>
                  <w:rStyle w:val="Hyperlink"/>
                </w:rPr>
                <w:t xml:space="preserve">[4]</w:t>
              </w:r>
            </w:hyperlink>
            <w:hyperlink r:id="rId25">
              <w:r>
                <w:rPr>
                  <w:rStyle w:val="Hyperlink"/>
                </w:rPr>
                <w:t xml:space="preserve">[5]</w:t>
              </w:r>
            </w:hyperlink>
          </w:p>
        </w:tc>
      </w:tr>
      <w:tr>
        <w:tc>
          <w:tcPr/>
          <w:p>
            <w:pPr>
              <w:pStyle w:val="Compact"/>
            </w:pPr>
            <w:r>
              <w:rPr>
                <w:b/>
                <w:bCs/>
              </w:rPr>
              <w:t xml:space="preserve">Cost Accounting</w:t>
            </w:r>
          </w:p>
        </w:tc>
        <w:tc>
          <w:tcPr/>
          <w:p>
            <w:pPr>
              <w:pStyle w:val="Compact"/>
            </w:pPr>
            <w:r>
              <w:t xml:space="preserve">Emerged with industrial factories (late 18th–19th c.) to allocate production costs</w:t>
            </w:r>
            <w:hyperlink r:id="rId55">
              <w:r>
                <w:rPr>
                  <w:rStyle w:val="Hyperlink"/>
                </w:rPr>
                <w:t xml:space="preserve">[25]</w:t>
              </w:r>
            </w:hyperlink>
            <w:r>
              <w:t xml:space="preserve">.</w:t>
            </w:r>
          </w:p>
        </w:tc>
        <w:tc>
          <w:tcPr/>
          <w:p>
            <w:pPr>
              <w:pStyle w:val="Compact"/>
            </w:pPr>
            <w:r>
              <w:t xml:space="preserve">Tracks direct/indirect costs by product/job; uses standard vs actual costing; key to pricing and control.</w:t>
            </w:r>
          </w:p>
        </w:tc>
        <w:tc>
          <w:tcPr/>
          <w:p>
            <w:pPr>
              <w:pStyle w:val="Compact"/>
            </w:pPr>
            <w:hyperlink r:id="rId55">
              <w:r>
                <w:rPr>
                  <w:rStyle w:val="Hyperlink"/>
                </w:rPr>
                <w:t xml:space="preserve">[25]</w:t>
              </w:r>
            </w:hyperlink>
          </w:p>
        </w:tc>
      </w:tr>
      <w:tr>
        <w:tc>
          <w:tcPr/>
          <w:p>
            <w:pPr>
              <w:pStyle w:val="Compact"/>
            </w:pPr>
            <w:r>
              <w:rPr>
                <w:b/>
                <w:bCs/>
              </w:rPr>
              <w:t xml:space="preserve">Managerial (Management) Accounting</w:t>
            </w:r>
          </w:p>
        </w:tc>
        <w:tc>
          <w:tcPr/>
          <w:p>
            <w:pPr>
              <w:pStyle w:val="Compact"/>
            </w:pPr>
            <w:r>
              <w:t xml:space="preserve">Developed as a practice by late 19th c.; formalized mid-20th c.</w:t>
            </w:r>
          </w:p>
        </w:tc>
        <w:tc>
          <w:tcPr/>
          <w:p>
            <w:pPr>
              <w:pStyle w:val="Compact"/>
            </w:pPr>
            <w:r>
              <w:t xml:space="preserve">Internal focus on budgeting, forecasting, variance analysis; not legally required; emphasizes decision support.</w:t>
            </w:r>
          </w:p>
        </w:tc>
        <w:tc>
          <w:tcPr/>
          <w:p>
            <w:pPr>
              <w:pStyle w:val="Compact"/>
            </w:pPr>
            <w:r>
              <w:t xml:space="preserve">(See text discussion)</w:t>
            </w:r>
          </w:p>
        </w:tc>
      </w:tr>
      <w:tr>
        <w:tc>
          <w:tcPr/>
          <w:p>
            <w:pPr>
              <w:pStyle w:val="Compact"/>
            </w:pPr>
            <w:r>
              <w:rPr>
                <w:b/>
                <w:bCs/>
              </w:rPr>
              <w:t xml:space="preserve">Financial Accounting</w:t>
            </w:r>
          </w:p>
        </w:tc>
        <w:tc>
          <w:tcPr/>
          <w:p>
            <w:pPr>
              <w:pStyle w:val="Compact"/>
            </w:pPr>
            <w:r>
              <w:t xml:space="preserve">Rooted in 15th c. double-entry; standardized in 20th c. (GAAP/IFRS).</w:t>
            </w:r>
          </w:p>
        </w:tc>
        <w:tc>
          <w:tcPr/>
          <w:p>
            <w:pPr>
              <w:pStyle w:val="Compact"/>
            </w:pPr>
            <w:r>
              <w:t xml:space="preserve">Produces external reports (balance sheet, income, cash flow); governed by standards (GAAP, IFRS); audited independently.</w:t>
            </w:r>
          </w:p>
        </w:tc>
        <w:tc>
          <w:tcPr/>
          <w:p>
            <w:pPr>
              <w:pStyle w:val="Compact"/>
            </w:pPr>
            <w:r>
              <w:t xml:space="preserve">(See text discussion)</w:t>
            </w:r>
          </w:p>
        </w:tc>
      </w:tr>
      <w:tr>
        <w:tc>
          <w:tcPr/>
          <w:p>
            <w:pPr>
              <w:pStyle w:val="Compact"/>
            </w:pPr>
            <w:r>
              <w:rPr>
                <w:b/>
                <w:bCs/>
              </w:rPr>
              <w:t xml:space="preserve">Auditing (Assurance)</w:t>
            </w:r>
          </w:p>
        </w:tc>
        <w:tc>
          <w:tcPr/>
          <w:p>
            <w:pPr>
              <w:pStyle w:val="Compact"/>
            </w:pPr>
            <w:r>
              <w:t xml:space="preserve">Modern auditing arose with corporations (1840s onward) and statutes.</w:t>
            </w:r>
          </w:p>
        </w:tc>
        <w:tc>
          <w:tcPr/>
          <w:p>
            <w:pPr>
              <w:pStyle w:val="Compact"/>
            </w:pPr>
            <w:r>
              <w:t xml:space="preserve">Independent examination of financial statements; assurance on fairness; includes internal and external audit types.</w:t>
            </w:r>
          </w:p>
        </w:tc>
        <w:tc>
          <w:tcPr/>
          <w:p>
            <w:pPr>
              <w:pStyle w:val="Compact"/>
            </w:pPr>
            <w:hyperlink r:id="rId43">
              <w:r>
                <w:rPr>
                  <w:rStyle w:val="Hyperlink"/>
                </w:rPr>
                <w:t xml:space="preserve">[19]</w:t>
              </w:r>
            </w:hyperlink>
            <w:hyperlink r:id="rId30">
              <w:r>
                <w:rPr>
                  <w:rStyle w:val="Hyperlink"/>
                </w:rPr>
                <w:t xml:space="preserve">[10]</w:t>
              </w:r>
            </w:hyperlink>
          </w:p>
        </w:tc>
      </w:tr>
      <w:tr>
        <w:tc>
          <w:tcPr/>
          <w:p>
            <w:pPr>
              <w:pStyle w:val="Compact"/>
            </w:pPr>
            <w:r>
              <w:rPr>
                <w:b/>
                <w:bCs/>
              </w:rPr>
              <w:t xml:space="preserve">Tax Accounting</w:t>
            </w:r>
          </w:p>
        </w:tc>
        <w:tc>
          <w:tcPr/>
          <w:p>
            <w:pPr>
              <w:pStyle w:val="Compact"/>
            </w:pPr>
            <w:r>
              <w:t xml:space="preserve">Grew after statutory taxes (e.g. U.S. income tax 1913</w:t>
            </w:r>
            <w:hyperlink r:id="rId56">
              <w:r>
                <w:rPr>
                  <w:rStyle w:val="Hyperlink"/>
                </w:rPr>
                <w:t xml:space="preserve">[26]</w:t>
              </w:r>
            </w:hyperlink>
            <w:r>
              <w:t xml:space="preserve">).</w:t>
            </w:r>
          </w:p>
        </w:tc>
        <w:tc>
          <w:tcPr/>
          <w:p>
            <w:pPr>
              <w:pStyle w:val="Compact"/>
            </w:pPr>
            <w:r>
              <w:t xml:space="preserve">Specializes in preparing and planning for tax filings; follows tax codes and regulations distinct from GAAP.</w:t>
            </w:r>
          </w:p>
        </w:tc>
        <w:tc>
          <w:tcPr/>
          <w:p>
            <w:pPr>
              <w:pStyle w:val="Compact"/>
            </w:pPr>
            <w:hyperlink r:id="rId56">
              <w:r>
                <w:rPr>
                  <w:rStyle w:val="Hyperlink"/>
                </w:rPr>
                <w:t xml:space="preserve">[26]</w:t>
              </w:r>
            </w:hyperlink>
          </w:p>
        </w:tc>
      </w:tr>
      <w:tr>
        <w:tc>
          <w:tcPr/>
          <w:p>
            <w:pPr>
              <w:pStyle w:val="Compact"/>
            </w:pPr>
            <w:r>
              <w:rPr>
                <w:b/>
                <w:bCs/>
              </w:rPr>
              <w:t xml:space="preserve">Forensic Accounting</w:t>
            </w:r>
          </w:p>
        </w:tc>
        <w:tc>
          <w:tcPr/>
          <w:p>
            <w:pPr>
              <w:pStyle w:val="Compact"/>
            </w:pPr>
            <w:r>
              <w:t xml:space="preserve">Emerged mid‐20th c.; growth with fraud cases and litigation.</w:t>
            </w:r>
          </w:p>
        </w:tc>
        <w:tc>
          <w:tcPr/>
          <w:p>
            <w:pPr>
              <w:pStyle w:val="Compact"/>
            </w:pPr>
            <w:r>
              <w:t xml:space="preserve">Investigative focus on detecting fraud, asset tracing, litigation support; uses audit, law and accounting skills.</w:t>
            </w:r>
          </w:p>
        </w:tc>
        <w:tc>
          <w:tcPr/>
          <w:p>
            <w:pPr>
              <w:pStyle w:val="Compact"/>
            </w:pPr>
            <w:r>
              <w:t xml:space="preserve">(Subject to modern development)</w:t>
            </w:r>
          </w:p>
        </w:tc>
      </w:tr>
    </w:tbl>
    <w:p>
      <w:pPr>
        <w:pStyle w:val="BodyText"/>
      </w:pPr>
      <w:r>
        <w:rPr>
          <w:i/>
          <w:iCs/>
        </w:rPr>
        <w:t xml:space="preserve">Table: Major Accounting Methods and Techniques (origins and features). Citations indicate first formal mentions or analyses in sources.</w:t>
      </w:r>
    </w:p>
    <w:bookmarkEnd w:id="57"/>
    <w:bookmarkStart w:id="58" w:name="influential-figures-in-accounting"/>
    <w:p>
      <w:pPr>
        <w:pStyle w:val="Heading2"/>
      </w:pPr>
      <w:r>
        <w:t xml:space="preserve">6. Influential Figures in Accounting</w:t>
      </w:r>
    </w:p>
    <w:p>
      <w:pPr>
        <w:pStyle w:val="Compact"/>
        <w:numPr>
          <w:ilvl w:val="0"/>
          <w:numId w:val="1001"/>
        </w:numPr>
      </w:pPr>
      <w:r>
        <w:rPr>
          <w:b/>
          <w:bCs/>
        </w:rPr>
        <w:t xml:space="preserve">Luca Pacioli (1445–1517)</w:t>
      </w:r>
      <w:r>
        <w:t xml:space="preserve"> </w:t>
      </w:r>
      <w:r>
        <w:t xml:space="preserve">– Italian mathematician-priest; author of</w:t>
      </w:r>
      <w:r>
        <w:t xml:space="preserve"> </w:t>
      </w:r>
      <w:r>
        <w:rPr>
          <w:i/>
          <w:iCs/>
        </w:rPr>
        <w:t xml:space="preserve">Summa de Arithmetica</w:t>
      </w:r>
      <w:r>
        <w:t xml:space="preserve"> </w:t>
      </w:r>
      <w:r>
        <w:t xml:space="preserve">(Venice, 1494). First printed description of double-entry bookkeeping</w:t>
      </w:r>
      <w:hyperlink r:id="rId24">
        <w:r>
          <w:rPr>
            <w:rStyle w:val="Hyperlink"/>
          </w:rPr>
          <w:t xml:space="preserve">[4]</w:t>
        </w:r>
      </w:hyperlink>
      <w:hyperlink r:id="rId25">
        <w:r>
          <w:rPr>
            <w:rStyle w:val="Hyperlink"/>
          </w:rPr>
          <w:t xml:space="preserve">[5]</w:t>
        </w:r>
      </w:hyperlink>
      <w:r>
        <w:t xml:space="preserve">. Often called the “Father of Accounting.”</w:t>
      </w:r>
    </w:p>
    <w:p>
      <w:pPr>
        <w:pStyle w:val="Compact"/>
        <w:numPr>
          <w:ilvl w:val="0"/>
          <w:numId w:val="1001"/>
        </w:numPr>
      </w:pPr>
      <w:r>
        <w:rPr>
          <w:b/>
          <w:bCs/>
        </w:rPr>
        <w:t xml:space="preserve">Benedetto Cotrugli (1416–1469)</w:t>
      </w:r>
      <w:r>
        <w:t xml:space="preserve"> </w:t>
      </w:r>
      <w:r>
        <w:t xml:space="preserve">– Ragusan (Dubrovnik) merchant and diplomat; wrote</w:t>
      </w:r>
      <w:r>
        <w:t xml:space="preserve"> </w:t>
      </w:r>
      <w:r>
        <w:rPr>
          <w:i/>
          <w:iCs/>
        </w:rPr>
        <w:t xml:space="preserve">Libro de l’Arte dela Mercatura</w:t>
      </w:r>
      <w:r>
        <w:t xml:space="preserve"> </w:t>
      </w:r>
      <w:r>
        <w:t xml:space="preserve">(1458), containing one of the earliest treatments of double-entry bookkeeping. His work predated Pacioli but was printed posthumously. Modern scholarship recognizes Cotrugli’s chapter as</w:t>
      </w:r>
      <w:r>
        <w:t xml:space="preserve"> </w:t>
      </w:r>
      <w:r>
        <w:rPr>
          <w:i/>
          <w:iCs/>
        </w:rPr>
        <w:t xml:space="preserve">“the earliest detailed description of how to maintain account books in double entry.”</w:t>
      </w:r>
      <w:hyperlink r:id="rId36">
        <w:r>
          <w:rPr>
            <w:rStyle w:val="Hyperlink"/>
          </w:rPr>
          <w:t xml:space="preserve">[15]</w:t>
        </w:r>
      </w:hyperlink>
      <w:r>
        <w:t xml:space="preserve">.</w:t>
      </w:r>
    </w:p>
    <w:p>
      <w:pPr>
        <w:pStyle w:val="Compact"/>
        <w:numPr>
          <w:ilvl w:val="0"/>
          <w:numId w:val="1001"/>
        </w:numPr>
      </w:pPr>
      <w:r>
        <w:rPr>
          <w:b/>
          <w:bCs/>
        </w:rPr>
        <w:t xml:space="preserve">Henri (Henry) Rand Hatfield (1855–1945)</w:t>
      </w:r>
      <w:r>
        <w:t xml:space="preserve"> </w:t>
      </w:r>
      <w:r>
        <w:t xml:space="preserve">– American accounting scholar; wrote the seminal essay</w:t>
      </w:r>
      <w:r>
        <w:t xml:space="preserve"> </w:t>
      </w:r>
      <w:r>
        <w:rPr>
          <w:i/>
          <w:iCs/>
        </w:rPr>
        <w:t xml:space="preserve">“An Historical Defense of Bookkeeping”</w:t>
      </w:r>
      <w:r>
        <w:t xml:space="preserve"> </w:t>
      </w:r>
      <w:r>
        <w:t xml:space="preserve">(1928), advocating accounting as a rigorous profession and chronicling its development. His work influenced academic acceptance of accounting history (cited in many histories).</w:t>
      </w:r>
    </w:p>
    <w:p>
      <w:pPr>
        <w:pStyle w:val="Compact"/>
        <w:numPr>
          <w:ilvl w:val="0"/>
          <w:numId w:val="1001"/>
        </w:numPr>
      </w:pPr>
      <w:r>
        <w:rPr>
          <w:b/>
          <w:bCs/>
        </w:rPr>
        <w:t xml:space="preserve">William Paton (1881–1971)</w:t>
      </w:r>
      <w:r>
        <w:t xml:space="preserve"> </w:t>
      </w:r>
      <w:r>
        <w:t xml:space="preserve">– U.S. professor (University of Michigan) who helped establish accounting research and education; chaired early FASB conceptual framework projects. (Paton’s</w:t>
      </w:r>
      <w:r>
        <w:t xml:space="preserve"> </w:t>
      </w:r>
      <w:r>
        <w:rPr>
          <w:i/>
          <w:iCs/>
        </w:rPr>
        <w:t xml:space="preserve">Accounting Concepts</w:t>
      </w:r>
      <w:r>
        <w:t xml:space="preserve"> </w:t>
      </w:r>
      <w:r>
        <w:t xml:space="preserve">text, 1922, set foundations for FASB.)</w:t>
      </w:r>
    </w:p>
    <w:p>
      <w:pPr>
        <w:pStyle w:val="Compact"/>
        <w:numPr>
          <w:ilvl w:val="0"/>
          <w:numId w:val="1001"/>
        </w:numPr>
      </w:pPr>
      <w:r>
        <w:rPr>
          <w:b/>
          <w:bCs/>
        </w:rPr>
        <w:t xml:space="preserve">Arthur Andersen (1885–1947)</w:t>
      </w:r>
      <w:r>
        <w:t xml:space="preserve"> </w:t>
      </w:r>
      <w:r>
        <w:t xml:space="preserve">– Founder of Andersen (originally a US accounting firm); championed early standards. (His name later became infamous due to the firm’s collapse in 2002 Enron scandal.)</w:t>
      </w:r>
    </w:p>
    <w:p>
      <w:pPr>
        <w:pStyle w:val="Compact"/>
        <w:numPr>
          <w:ilvl w:val="0"/>
          <w:numId w:val="1001"/>
        </w:numPr>
      </w:pPr>
      <w:r>
        <w:rPr>
          <w:b/>
          <w:bCs/>
        </w:rPr>
        <w:t xml:space="preserve">Financial Regulatory Leaders:</w:t>
      </w:r>
      <w:r>
        <w:t xml:space="preserve"> </w:t>
      </w:r>
      <w:r>
        <w:rPr>
          <w:i/>
          <w:iCs/>
        </w:rPr>
        <w:t xml:space="preserve">Joseph L. Francese</w:t>
      </w:r>
      <w:r>
        <w:t xml:space="preserve"> </w:t>
      </w:r>
      <w:r>
        <w:t xml:space="preserve">and</w:t>
      </w:r>
      <w:r>
        <w:t xml:space="preserve"> </w:t>
      </w:r>
      <w:r>
        <w:rPr>
          <w:i/>
          <w:iCs/>
        </w:rPr>
        <w:t xml:space="preserve">Warren Seavey</w:t>
      </w:r>
      <w:r>
        <w:t xml:space="preserve"> </w:t>
      </w:r>
      <w:r>
        <w:t xml:space="preserve">(first FASB commissioners, 1973),</w:t>
      </w:r>
      <w:r>
        <w:t xml:space="preserve"> </w:t>
      </w:r>
      <w:r>
        <w:rPr>
          <w:i/>
          <w:iCs/>
        </w:rPr>
        <w:t xml:space="preserve">Hans Hoogervorst</w:t>
      </w:r>
      <w:r>
        <w:t xml:space="preserve"> </w:t>
      </w:r>
      <w:r>
        <w:t xml:space="preserve">(IASB Chairman, 2011–2021),</w:t>
      </w:r>
      <w:r>
        <w:t xml:space="preserve"> </w:t>
      </w:r>
      <w:r>
        <w:rPr>
          <w:i/>
          <w:iCs/>
        </w:rPr>
        <w:t xml:space="preserve">Mary Schapiro</w:t>
      </w:r>
      <w:r>
        <w:t xml:space="preserve"> </w:t>
      </w:r>
      <w:r>
        <w:t xml:space="preserve">(SEC Chair, 2009–2012). These and others shaped modern GAAP/IFRS and regulatory policy.</w:t>
      </w:r>
    </w:p>
    <w:p>
      <w:pPr>
        <w:pStyle w:val="Compact"/>
        <w:numPr>
          <w:ilvl w:val="0"/>
          <w:numId w:val="1001"/>
        </w:numPr>
      </w:pPr>
      <w:r>
        <w:rPr>
          <w:b/>
          <w:bCs/>
        </w:rPr>
        <w:t xml:space="preserve">Others:</w:t>
      </w:r>
      <w:r>
        <w:t xml:space="preserve"> </w:t>
      </w:r>
      <w:r>
        <w:t xml:space="preserve">Figures like</w:t>
      </w:r>
      <w:r>
        <w:t xml:space="preserve"> </w:t>
      </w:r>
      <w:r>
        <w:rPr>
          <w:i/>
          <w:iCs/>
        </w:rPr>
        <w:t xml:space="preserve">Anthony de Wolff</w:t>
      </w:r>
      <w:r>
        <w:t xml:space="preserve"> </w:t>
      </w:r>
      <w:r>
        <w:t xml:space="preserve">(Dutch corporate founder of early accounting texts, 17th c.),</w:t>
      </w:r>
      <w:r>
        <w:t xml:space="preserve"> </w:t>
      </w:r>
      <w:r>
        <w:rPr>
          <w:i/>
          <w:iCs/>
        </w:rPr>
        <w:t xml:space="preserve">Raymond Chambers</w:t>
      </w:r>
      <w:r>
        <w:t xml:space="preserve"> </w:t>
      </w:r>
      <w:r>
        <w:t xml:space="preserve">(notable accounting historian, †1996), and</w:t>
      </w:r>
      <w:r>
        <w:t xml:space="preserve"> </w:t>
      </w:r>
      <w:r>
        <w:rPr>
          <w:i/>
          <w:iCs/>
        </w:rPr>
        <w:t xml:space="preserve">CIMA founder Reginald Massey</w:t>
      </w:r>
      <w:r>
        <w:t xml:space="preserve"> </w:t>
      </w:r>
      <w:r>
        <w:t xml:space="preserve">also merit mention in specialist studies.</w:t>
      </w:r>
    </w:p>
    <w:p>
      <w:pPr>
        <w:pStyle w:val="FirstParagraph"/>
      </w:pPr>
      <w:r>
        <w:rPr>
          <w:i/>
          <w:iCs/>
        </w:rPr>
        <w:t xml:space="preserve">Note: There are many contributors; above are representative. Some histories are contested (e.g. who “invented” double-entry), but Pacioli’s and Cotrugli’s roles are widely recognized</w:t>
      </w:r>
      <w:hyperlink r:id="rId24">
        <w:r>
          <w:rPr>
            <w:rStyle w:val="Hyperlink"/>
            <w:i/>
            <w:iCs/>
          </w:rPr>
          <w:t xml:space="preserve">[4]</w:t>
        </w:r>
      </w:hyperlink>
      <w:hyperlink r:id="rId36">
        <w:r>
          <w:rPr>
            <w:rStyle w:val="Hyperlink"/>
            <w:i/>
            <w:iCs/>
          </w:rPr>
          <w:t xml:space="preserve">[15]</w:t>
        </w:r>
      </w:hyperlink>
      <w:r>
        <w:rPr>
          <w:i/>
          <w:iCs/>
        </w:rPr>
        <w:t xml:space="preserve">.</w:t>
      </w:r>
    </w:p>
    <w:bookmarkEnd w:id="58"/>
    <w:bookmarkStart w:id="60" w:name="Xccb842c22dd39320fea83e2a10b202d67195d49"/>
    <w:p>
      <w:pPr>
        <w:pStyle w:val="Heading2"/>
      </w:pPr>
      <w:r>
        <w:t xml:space="preserve">7. Standards, Bodies, and Regulatory Milestones</w:t>
      </w:r>
    </w:p>
    <w:p>
      <w:pPr>
        <w:pStyle w:val="FirstParagraph"/>
      </w:pPr>
      <w:r>
        <w:t xml:space="preserve">The 20th century saw formal institutions and standards:</w:t>
      </w:r>
    </w:p>
    <w:p>
      <w:pPr>
        <w:pStyle w:val="Compact"/>
        <w:numPr>
          <w:ilvl w:val="0"/>
          <w:numId w:val="1002"/>
        </w:numPr>
      </w:pPr>
      <w:r>
        <w:rPr>
          <w:b/>
          <w:bCs/>
        </w:rPr>
        <w:t xml:space="preserve">AICPA (USA):</w:t>
      </w:r>
      <w:r>
        <w:t xml:space="preserve"> </w:t>
      </w:r>
      <w:r>
        <w:t xml:space="preserve">American Institute of Certified Public Accountants, evolved from AAPA. It developed authoritative GAAP via its committees (CAP, APB, then collaborated with FASB).</w:t>
      </w:r>
    </w:p>
    <w:p>
      <w:pPr>
        <w:pStyle w:val="Compact"/>
        <w:numPr>
          <w:ilvl w:val="0"/>
          <w:numId w:val="1002"/>
        </w:numPr>
      </w:pPr>
      <w:r>
        <w:rPr>
          <w:b/>
          <w:bCs/>
        </w:rPr>
        <w:t xml:space="preserve">FASB (USA, 1973–):</w:t>
      </w:r>
      <w:r>
        <w:t xml:space="preserve"> </w:t>
      </w:r>
      <w:r>
        <w:t xml:space="preserve">Financial Accounting Standards Board – independent setter of U.S. GAAP</w:t>
      </w:r>
      <w:hyperlink r:id="rId49">
        <w:r>
          <w:rPr>
            <w:rStyle w:val="Hyperlink"/>
          </w:rPr>
          <w:t xml:space="preserve">[22]</w:t>
        </w:r>
      </w:hyperlink>
      <w:r>
        <w:t xml:space="preserve">. Established after SEC requests, began issuing Statements of Financial Accounting Standards from 1974 onward.</w:t>
      </w:r>
    </w:p>
    <w:p>
      <w:pPr>
        <w:pStyle w:val="Compact"/>
        <w:numPr>
          <w:ilvl w:val="0"/>
          <w:numId w:val="1002"/>
        </w:numPr>
      </w:pPr>
      <w:r>
        <w:rPr>
          <w:b/>
          <w:bCs/>
        </w:rPr>
        <w:t xml:space="preserve">IASC/IASB (Int’l, 1973/2001):</w:t>
      </w:r>
      <w:r>
        <w:t xml:space="preserve"> </w:t>
      </w:r>
      <w:r>
        <w:t xml:space="preserve">Founded 1973 by major accountancy bodies</w:t>
      </w:r>
      <w:hyperlink r:id="rId49">
        <w:r>
          <w:rPr>
            <w:rStyle w:val="Hyperlink"/>
          </w:rPr>
          <w:t xml:space="preserve">[22]</w:t>
        </w:r>
      </w:hyperlink>
      <w:r>
        <w:t xml:space="preserve">. Renamed IASB in 2001, issuing IFRS. As of mid-2020s, over 140 jurisdictions use IFRS</w:t>
      </w:r>
      <w:hyperlink r:id="rId51">
        <w:r>
          <w:rPr>
            <w:rStyle w:val="Hyperlink"/>
          </w:rPr>
          <w:t xml:space="preserve">[24]</w:t>
        </w:r>
      </w:hyperlink>
      <w:r>
        <w:t xml:space="preserve">.</w:t>
      </w:r>
    </w:p>
    <w:p>
      <w:pPr>
        <w:pStyle w:val="Compact"/>
        <w:numPr>
          <w:ilvl w:val="0"/>
          <w:numId w:val="1002"/>
        </w:numPr>
      </w:pPr>
      <w:r>
        <w:rPr>
          <w:b/>
          <w:bCs/>
        </w:rPr>
        <w:t xml:space="preserve">IFAC (1977–):</w:t>
      </w:r>
      <w:r>
        <w:t xml:space="preserve"> </w:t>
      </w:r>
      <w:r>
        <w:t xml:space="preserve">International Federation of Accountants – global professional association founded in 1977 (Munich) to set international ethics and standards in auditing, education and public sector</w:t>
      </w:r>
      <w:hyperlink r:id="rId59">
        <w:r>
          <w:rPr>
            <w:rStyle w:val="Hyperlink"/>
          </w:rPr>
          <w:t xml:space="preserve">[27]</w:t>
        </w:r>
      </w:hyperlink>
      <w:r>
        <w:t xml:space="preserve">. Today IFAC has 187 members worldwide.</w:t>
      </w:r>
    </w:p>
    <w:p>
      <w:pPr>
        <w:pStyle w:val="Compact"/>
        <w:numPr>
          <w:ilvl w:val="0"/>
          <w:numId w:val="1002"/>
        </w:numPr>
      </w:pPr>
      <w:r>
        <w:rPr>
          <w:b/>
          <w:bCs/>
        </w:rPr>
        <w:t xml:space="preserve">SEC (1934) and International Regulators:</w:t>
      </w:r>
      <w:r>
        <w:t xml:space="preserve"> </w:t>
      </w:r>
      <w:r>
        <w:t xml:space="preserve">The U.S. SEC enforces GAAP for public companies and can accept/reject IFRS for U.S. issuers. Other countries’ regulators (e.g. UK’s FRC, Canada’s AcSB, Japan’s ASBJ) oversee local standard adoption and enforcement. The IFRS Foundation (created 2001, renamed 2010) governs the IASB.</w:t>
      </w:r>
    </w:p>
    <w:p>
      <w:pPr>
        <w:pStyle w:val="Compact"/>
        <w:numPr>
          <w:ilvl w:val="0"/>
          <w:numId w:val="1002"/>
        </w:numPr>
      </w:pPr>
      <w:r>
        <w:rPr>
          <w:b/>
          <w:bCs/>
        </w:rPr>
        <w:t xml:space="preserve">Major Standards:</w:t>
      </w:r>
      <w:r>
        <w:t xml:space="preserve"> </w:t>
      </w:r>
      <w:r>
        <w:t xml:space="preserve">GAAP (ASUs by FASB), IFRS Standards (IAS/IFRS by IASB), plus specialized frameworks (e.g. Governmental GAAP, IFRS for SMEs, sustainability standards by ISSB). By 2005 EU law, all EU-listed companies adopted IFRS for consolidated accounts</w:t>
      </w:r>
      <w:hyperlink r:id="rId50">
        <w:r>
          <w:rPr>
            <w:rStyle w:val="Hyperlink"/>
          </w:rPr>
          <w:t xml:space="preserve">[23]</w:t>
        </w:r>
      </w:hyperlink>
      <w:r>
        <w:t xml:space="preserve">. The US considered (SEC Concept Release 2011) but continues using GAAP for now.</w:t>
      </w:r>
    </w:p>
    <w:p>
      <w:pPr>
        <w:pStyle w:val="Compact"/>
        <w:numPr>
          <w:ilvl w:val="0"/>
          <w:numId w:val="1002"/>
        </w:numPr>
      </w:pPr>
      <w:r>
        <w:rPr>
          <w:b/>
          <w:bCs/>
        </w:rPr>
        <w:t xml:space="preserve">Regulatory Acts:</w:t>
      </w:r>
      <w:r>
        <w:t xml:space="preserve"> </w:t>
      </w:r>
      <w:r>
        <w:t xml:space="preserve">Key U.S. laws include the Securities Acts (1933/34), Sarbanes-Oxley Act (2002, codified as Pub.L. 107-204), and the Dodd-Frank Act (2010, added oversight of credit rating agencies, for example). Internationally, corporate governance codes (e.g. OECD Principles, EU Accounting Directives) also count as milestones.</w:t>
      </w:r>
    </w:p>
    <w:p>
      <w:pPr>
        <w:pStyle w:val="FirstParagraph"/>
      </w:pPr>
      <w:r>
        <w:rPr>
          <w:b/>
          <w:bCs/>
        </w:rPr>
        <w:t xml:space="preserve">Timeline of Milestones:</w:t>
      </w:r>
    </w:p>
    <w:p>
      <w:pPr>
        <w:pStyle w:val="SourceCode"/>
      </w:pPr>
      <w:r>
        <w:rPr>
          <w:rStyle w:val="VerbatimChar"/>
        </w:rPr>
        <w:t xml:space="preserve">timeline</w:t>
      </w:r>
      <w:r>
        <w:br/>
      </w:r>
      <w:r>
        <w:rPr>
          <w:rStyle w:val="VerbatimChar"/>
        </w:rPr>
        <w:t xml:space="preserve">    section Ancient &amp; Medieval</w:t>
      </w:r>
      <w:r>
        <w:br/>
      </w:r>
      <w:r>
        <w:rPr>
          <w:rStyle w:val="VerbatimChar"/>
        </w:rPr>
        <w:t xml:space="preserve">        3100 B.C.: First proto-accounting records (Mesopotamian cuneiform tablets)  </w:t>
      </w:r>
      <w:r>
        <w:br/>
      </w:r>
      <w:r>
        <w:rPr>
          <w:rStyle w:val="VerbatimChar"/>
        </w:rPr>
        <w:t xml:space="preserve">        500  B.C.: Early audit roles in temple economies (Egypt, Babylonia)  </w:t>
      </w:r>
      <w:r>
        <w:br/>
      </w:r>
      <w:r>
        <w:rPr>
          <w:rStyle w:val="VerbatimChar"/>
        </w:rPr>
        <w:t xml:space="preserve">        1299: Farolfi double-entry ledger (Tuscany, Italy)[3]  </w:t>
      </w:r>
      <w:r>
        <w:br/>
      </w:r>
      <w:r>
        <w:rPr>
          <w:rStyle w:val="VerbatimChar"/>
        </w:rPr>
        <w:t xml:space="preserve">    section Renaissance </w:t>
      </w:r>
      <w:r>
        <w:br/>
      </w:r>
      <w:r>
        <w:rPr>
          <w:rStyle w:val="VerbatimChar"/>
        </w:rPr>
        <w:t xml:space="preserve">        1458: Benedetto Cotrugli writes on double-entry (Dubrovnik)[15]  </w:t>
      </w:r>
      <w:r>
        <w:br/>
      </w:r>
      <w:r>
        <w:rPr>
          <w:rStyle w:val="VerbatimChar"/>
        </w:rPr>
        <w:t xml:space="preserve">        1494: Luca Pacioli publishes *Summa* with double-entry method[4][5]  </w:t>
      </w:r>
      <w:r>
        <w:br/>
      </w:r>
      <w:r>
        <w:rPr>
          <w:rStyle w:val="VerbatimChar"/>
        </w:rPr>
        <w:t xml:space="preserve">    section 19th Century </w:t>
      </w:r>
      <w:r>
        <w:br/>
      </w:r>
      <w:r>
        <w:rPr>
          <w:rStyle w:val="VerbatimChar"/>
        </w:rPr>
        <w:t xml:space="preserve">        1854: “Chartered Accountant” title used (Glasgow, Scotland)[8]  </w:t>
      </w:r>
      <w:r>
        <w:br/>
      </w:r>
      <w:r>
        <w:rPr>
          <w:rStyle w:val="VerbatimChar"/>
        </w:rPr>
        <w:t xml:space="preserve">        1880: Institute of Chartered Accountants in England &amp; Wales chartered  </w:t>
      </w:r>
      <w:r>
        <w:br/>
      </w:r>
      <w:r>
        <w:rPr>
          <w:rStyle w:val="VerbatimChar"/>
        </w:rPr>
        <w:t xml:space="preserve">        1887: American Assoc. of Public Accountants (AAPA) founded[17]  </w:t>
      </w:r>
      <w:r>
        <w:br/>
      </w:r>
      <w:r>
        <w:rPr>
          <w:rStyle w:val="VerbatimChar"/>
        </w:rPr>
        <w:t xml:space="preserve">        1896: CPA title introduced (New York)[17]  </w:t>
      </w:r>
      <w:r>
        <w:br/>
      </w:r>
      <w:r>
        <w:rPr>
          <w:rStyle w:val="VerbatimChar"/>
        </w:rPr>
        <w:t xml:space="preserve">        1904: London Association of Accountants (later ACCA) formed[18]  </w:t>
      </w:r>
      <w:r>
        <w:br/>
      </w:r>
      <w:r>
        <w:rPr>
          <w:rStyle w:val="VerbatimChar"/>
        </w:rPr>
        <w:t xml:space="preserve">    section Early–Mid 20th Century</w:t>
      </w:r>
      <w:r>
        <w:br/>
      </w:r>
      <w:r>
        <w:rPr>
          <w:rStyle w:val="VerbatimChar"/>
        </w:rPr>
        <w:t xml:space="preserve">        1913: US income tax (16th Amend.) begins; CPAs in high demand[26]  </w:t>
      </w:r>
      <w:r>
        <w:br/>
      </w:r>
      <w:r>
        <w:rPr>
          <w:rStyle w:val="VerbatimChar"/>
        </w:rPr>
        <w:t xml:space="preserve">        1934: US SEC created (requiring GAAP, audits for public cos.)[10]  </w:t>
      </w:r>
      <w:r>
        <w:br/>
      </w:r>
      <w:r>
        <w:rPr>
          <w:rStyle w:val="VerbatimChar"/>
        </w:rPr>
        <w:t xml:space="preserve">        1939: AICPA issues Accounting Research Bulletins (early GAAP guidance)  </w:t>
      </w:r>
      <w:r>
        <w:br/>
      </w:r>
      <w:r>
        <w:rPr>
          <w:rStyle w:val="VerbatimChar"/>
        </w:rPr>
        <w:t xml:space="preserve">        1959: APB created (forerunner to FASB)  </w:t>
      </w:r>
      <w:r>
        <w:br/>
      </w:r>
      <w:r>
        <w:rPr>
          <w:rStyle w:val="VerbatimChar"/>
        </w:rPr>
        <w:t xml:space="preserve">        1973: FASB (US GAAP setter) and IASC (international) established[22]  </w:t>
      </w:r>
      <w:r>
        <w:br/>
      </w:r>
      <w:r>
        <w:rPr>
          <w:rStyle w:val="VerbatimChar"/>
        </w:rPr>
        <w:t xml:space="preserve">        1977: IFAC founded in Munich (global accountancy federation)[27]  </w:t>
      </w:r>
      <w:r>
        <w:br/>
      </w:r>
      <w:r>
        <w:rPr>
          <w:rStyle w:val="VerbatimChar"/>
        </w:rPr>
        <w:t xml:space="preserve">    section Late 20th – 21st Century</w:t>
      </w:r>
      <w:r>
        <w:br/>
      </w:r>
      <w:r>
        <w:rPr>
          <w:rStyle w:val="VerbatimChar"/>
        </w:rPr>
        <w:t xml:space="preserve">        2001: IASC reorganized as IASB; IFRS issued by IASB[23]  </w:t>
      </w:r>
      <w:r>
        <w:br/>
      </w:r>
      <w:r>
        <w:rPr>
          <w:rStyle w:val="VerbatimChar"/>
        </w:rPr>
        <w:t xml:space="preserve">        2002: Sarbanes-Oxley Act (US) enacted after Enron/WorldCom[10]  </w:t>
      </w:r>
      <w:r>
        <w:br/>
      </w:r>
      <w:r>
        <w:rPr>
          <w:rStyle w:val="VerbatimChar"/>
        </w:rPr>
        <w:t xml:space="preserve">        2005: EU mandates IFRS for listed companies (Regulation EC 1606/2002)[23]  </w:t>
      </w:r>
      <w:r>
        <w:br/>
      </w:r>
      <w:r>
        <w:rPr>
          <w:rStyle w:val="VerbatimChar"/>
        </w:rPr>
        <w:t xml:space="preserve">        2010: IFRS Foundation established (replacing IASC Foundation)  </w:t>
      </w:r>
      <w:r>
        <w:br/>
      </w:r>
      <w:r>
        <w:rPr>
          <w:rStyle w:val="VerbatimChar"/>
        </w:rPr>
        <w:t xml:space="preserve">        2020+: Emergence of cloud accounting, AI analytics, blockchain pilots in audit[12]  </w:t>
      </w:r>
    </w:p>
    <w:p>
      <w:pPr>
        <w:pStyle w:val="FirstParagraph"/>
      </w:pPr>
      <w:r>
        <w:rPr>
          <w:i/>
          <w:iCs/>
        </w:rPr>
        <w:t xml:space="preserve">Figure: Timeline of key events in accounting history (events cited where noted).</w:t>
      </w:r>
    </w:p>
    <w:bookmarkEnd w:id="60"/>
    <w:bookmarkStart w:id="64" w:name="Xf228f4cf973f3b55864f72a8c30fa70d1623d29"/>
    <w:p>
      <w:pPr>
        <w:pStyle w:val="Heading2"/>
      </w:pPr>
      <w:r>
        <w:t xml:space="preserve">8. Accounting Methods and Standards (Comparisons)</w:t>
      </w:r>
    </w:p>
    <w:bookmarkStart w:id="61" w:name="method-comparisons-single-vs-double-etc."/>
    <w:p>
      <w:pPr>
        <w:pStyle w:val="Heading3"/>
      </w:pPr>
      <w:r>
        <w:t xml:space="preserve">8.1 Method Comparisons (single vs double, etc.)</w:t>
      </w:r>
    </w:p>
    <w:p>
      <w:pPr>
        <w:pStyle w:val="Compact"/>
        <w:numPr>
          <w:ilvl w:val="0"/>
          <w:numId w:val="1003"/>
        </w:numPr>
      </w:pPr>
      <w:r>
        <w:rPr>
          <w:b/>
          <w:bCs/>
        </w:rPr>
        <w:t xml:space="preserve">Single vs Double Entry:</w:t>
      </w:r>
      <w:r>
        <w:t xml:space="preserve"> </w:t>
      </w:r>
      <w:r>
        <w:t xml:space="preserve">Single-entry (pre-15th c.) uses one column per entry</w:t>
      </w:r>
      <w:hyperlink r:id="rId34">
        <w:r>
          <w:rPr>
            <w:rStyle w:val="Hyperlink"/>
          </w:rPr>
          <w:t xml:space="preserve">[14]</w:t>
        </w:r>
      </w:hyperlink>
      <w:r>
        <w:t xml:space="preserve">; double-entry (codified 1494) uses at least two entries (debits and credits) so books balance</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3"/>
        </w:numPr>
      </w:pPr>
      <w:r>
        <w:rPr>
          <w:b/>
          <w:bCs/>
        </w:rPr>
        <w:t xml:space="preserve">Auditing vs Bookkeeping:</w:t>
      </w:r>
      <w:r>
        <w:t xml:space="preserve"> </w:t>
      </w:r>
      <w:r>
        <w:t xml:space="preserve">Bookkeeping is record‐keeping (ordinary accounts), whereas auditing (since ~1850s) involves independent verification of those records</w:t>
      </w:r>
      <w:hyperlink r:id="rId43">
        <w:r>
          <w:rPr>
            <w:rStyle w:val="Hyperlink"/>
          </w:rPr>
          <w:t xml:space="preserve">[19]</w:t>
        </w:r>
      </w:hyperlink>
      <w:r>
        <w:t xml:space="preserve">.</w:t>
      </w:r>
    </w:p>
    <w:p>
      <w:pPr>
        <w:pStyle w:val="Compact"/>
        <w:numPr>
          <w:ilvl w:val="0"/>
          <w:numId w:val="1003"/>
        </w:numPr>
      </w:pPr>
      <w:r>
        <w:rPr>
          <w:b/>
          <w:bCs/>
        </w:rPr>
        <w:t xml:space="preserve">Cost vs Financial Accounting:</w:t>
      </w:r>
      <w:r>
        <w:t xml:space="preserve"> </w:t>
      </w:r>
      <w:r>
        <w:t xml:space="preserve">Cost accounting focuses on internal cost tracking and analysis; financial accounting focuses on preparing external financial statements per GAAP/IFRS. Cost accounting traces to factories (19th c.), while financial accounting formalized in 20th c. professional standards.</w:t>
      </w:r>
    </w:p>
    <w:p>
      <w:pPr>
        <w:pStyle w:val="Compact"/>
        <w:numPr>
          <w:ilvl w:val="0"/>
          <w:numId w:val="1003"/>
        </w:numPr>
      </w:pPr>
      <w:r>
        <w:rPr>
          <w:b/>
          <w:bCs/>
        </w:rPr>
        <w:t xml:space="preserve">Managerial vs Tax Accounting:</w:t>
      </w:r>
      <w:r>
        <w:t xml:space="preserve"> </w:t>
      </w:r>
      <w:r>
        <w:t xml:space="preserve">Managerial accounting provides internal reports for planning (since 20th c.), while tax accounting applies specific tax laws (gained prominence after formal tax systems were enacted: e.g. UK Income Tax 1799, US 1913</w:t>
      </w:r>
      <w:hyperlink r:id="rId56">
        <w:r>
          <w:rPr>
            <w:rStyle w:val="Hyperlink"/>
          </w:rPr>
          <w:t xml:space="preserve">[26]</w:t>
        </w:r>
      </w:hyperlink>
      <w:r>
        <w:t xml:space="preserve">). Tax accountants specialize in computing taxes due, often diverging from financial GAAP treatment.</w:t>
      </w:r>
    </w:p>
    <w:bookmarkEnd w:id="61"/>
    <w:bookmarkStart w:id="63" w:name="ifrs-vs-u.s.-gaap-standards"/>
    <w:p>
      <w:pPr>
        <w:pStyle w:val="Heading3"/>
      </w:pPr>
      <w:r>
        <w:t xml:space="preserve">8.2 IFRS vs U.S. GAAP Standards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Feature</w:t>
            </w:r>
          </w:p>
        </w:tc>
        <w:tc>
          <w:tcPr/>
          <w:p>
            <w:pPr>
              <w:pStyle w:val="Compact"/>
            </w:pPr>
            <w:r>
              <w:rPr>
                <w:b/>
                <w:bCs/>
              </w:rPr>
              <w:t xml:space="preserve">U.S. GAAP</w:t>
            </w:r>
          </w:p>
        </w:tc>
        <w:tc>
          <w:tcPr/>
          <w:p>
            <w:pPr>
              <w:pStyle w:val="Compact"/>
            </w:pPr>
            <w:r>
              <w:rPr>
                <w:b/>
                <w:bCs/>
              </w:rPr>
              <w:t xml:space="preserve">IFRS</w:t>
            </w:r>
          </w:p>
        </w:tc>
        <w:tc>
          <w:tcPr/>
          <w:p>
            <w:pPr>
              <w:pStyle w:val="Compact"/>
            </w:pPr>
            <w:r>
              <w:rPr>
                <w:b/>
                <w:bCs/>
              </w:rPr>
              <w:t xml:space="preserve">Note</w:t>
            </w:r>
          </w:p>
        </w:tc>
      </w:tr>
      <w:tr>
        <w:tc>
          <w:tcPr/>
          <w:p>
            <w:pPr>
              <w:pStyle w:val="Compact"/>
            </w:pPr>
            <w:r>
              <w:rPr>
                <w:b/>
                <w:bCs/>
              </w:rPr>
              <w:t xml:space="preserve">Standard-setting style</w:t>
            </w:r>
          </w:p>
        </w:tc>
        <w:tc>
          <w:tcPr/>
          <w:p>
            <w:pPr>
              <w:pStyle w:val="Compact"/>
            </w:pPr>
            <w:r>
              <w:t xml:space="preserve">Rules-based (detailed rules)</w:t>
            </w:r>
            <w:hyperlink r:id="rId31">
              <w:r>
                <w:rPr>
                  <w:rStyle w:val="Hyperlink"/>
                </w:rPr>
                <w:t xml:space="preserve">[11]</w:t>
              </w:r>
            </w:hyperlink>
          </w:p>
        </w:tc>
        <w:tc>
          <w:tcPr/>
          <w:p>
            <w:pPr>
              <w:pStyle w:val="Compact"/>
            </w:pPr>
            <w:r>
              <w:t xml:space="preserve">Principles-based (broad concepts)</w:t>
            </w:r>
            <w:hyperlink r:id="rId31">
              <w:r>
                <w:rPr>
                  <w:rStyle w:val="Hyperlink"/>
                </w:rPr>
                <w:t xml:space="preserve">[11]</w:t>
              </w:r>
            </w:hyperlink>
          </w:p>
        </w:tc>
        <w:tc>
          <w:tcPr/>
          <w:p>
            <w:pPr>
              <w:pStyle w:val="Compact"/>
            </w:pPr>
            <w:r>
              <w:t xml:space="preserve">e.g. GAAP had hundreds of codified rules; IFRS relies on principles.</w:t>
            </w:r>
          </w:p>
        </w:tc>
      </w:tr>
      <w:tr>
        <w:tc>
          <w:tcPr/>
          <w:p>
            <w:pPr>
              <w:pStyle w:val="Compact"/>
            </w:pPr>
            <w:r>
              <w:rPr>
                <w:b/>
                <w:bCs/>
              </w:rPr>
              <w:t xml:space="preserve">Inventory (Cost Formula)</w:t>
            </w:r>
          </w:p>
        </w:tc>
        <w:tc>
          <w:tcPr/>
          <w:p>
            <w:pPr>
              <w:pStyle w:val="Compact"/>
            </w:pPr>
            <w:r>
              <w:t xml:space="preserve">Allows LIFO method</w:t>
            </w:r>
          </w:p>
        </w:tc>
        <w:tc>
          <w:tcPr/>
          <w:p>
            <w:pPr>
              <w:pStyle w:val="Compact"/>
            </w:pPr>
            <w:r>
              <w:t xml:space="preserve">Prohibits LIFO (only FIFO or weighted-average)</w:t>
            </w:r>
            <w:hyperlink r:id="rId62">
              <w:r>
                <w:rPr>
                  <w:rStyle w:val="Hyperlink"/>
                </w:rPr>
                <w:t xml:space="preserve">[28]</w:t>
              </w:r>
            </w:hyperlink>
          </w:p>
        </w:tc>
        <w:tc>
          <w:tcPr/>
          <w:p>
            <w:pPr>
              <w:pStyle w:val="Compact"/>
            </w:pPr>
            <w:r>
              <w:t xml:space="preserve">IFRS forbids LIFO due to potential distortion in times of rising prices.</w:t>
            </w:r>
          </w:p>
        </w:tc>
      </w:tr>
      <w:tr>
        <w:tc>
          <w:tcPr/>
          <w:p>
            <w:pPr>
              <w:pStyle w:val="Compact"/>
            </w:pPr>
            <w:r>
              <w:rPr>
                <w:b/>
                <w:bCs/>
              </w:rPr>
              <w:t xml:space="preserve">Inventory write-downs</w:t>
            </w:r>
          </w:p>
        </w:tc>
        <w:tc>
          <w:tcPr/>
          <w:p>
            <w:pPr>
              <w:pStyle w:val="Compact"/>
            </w:pPr>
            <w:r>
              <w:t xml:space="preserve">Write-downs allowed, but reversals prohibited</w:t>
            </w:r>
            <w:hyperlink r:id="rId31">
              <w:r>
                <w:rPr>
                  <w:rStyle w:val="Hyperlink"/>
                </w:rPr>
                <w:t xml:space="preserve">[11]</w:t>
              </w:r>
            </w:hyperlink>
          </w:p>
        </w:tc>
        <w:tc>
          <w:tcPr/>
          <w:p>
            <w:pPr>
              <w:pStyle w:val="Compact"/>
            </w:pPr>
            <w:r>
              <w:t xml:space="preserve">Write-downs allowed, and reversals permitted if criteria met</w:t>
            </w:r>
            <w:hyperlink r:id="rId31">
              <w:r>
                <w:rPr>
                  <w:rStyle w:val="Hyperlink"/>
                </w:rPr>
                <w:t xml:space="preserve">[11]</w:t>
              </w:r>
            </w:hyperlink>
          </w:p>
        </w:tc>
        <w:tc>
          <w:tcPr/>
          <w:p>
            <w:pPr>
              <w:pStyle w:val="Compact"/>
            </w:pPr>
            <w:r>
              <w:t xml:space="preserve">Under IFRS, if market value recovers, write-down can be reversed.</w:t>
            </w:r>
          </w:p>
        </w:tc>
      </w:tr>
      <w:tr>
        <w:tc>
          <w:tcPr/>
          <w:p>
            <w:pPr>
              <w:pStyle w:val="Compact"/>
            </w:pPr>
            <w:r>
              <w:rPr>
                <w:b/>
                <w:bCs/>
              </w:rPr>
              <w:t xml:space="preserve">Intangible Assets (R&amp;D)</w:t>
            </w:r>
          </w:p>
        </w:tc>
        <w:tc>
          <w:tcPr/>
          <w:p>
            <w:pPr>
              <w:pStyle w:val="Compact"/>
            </w:pPr>
            <w:r>
              <w:t xml:space="preserve">Research costs expensed; development sometimes capitalized (strict tests)</w:t>
            </w:r>
          </w:p>
        </w:tc>
        <w:tc>
          <w:tcPr/>
          <w:p>
            <w:pPr>
              <w:pStyle w:val="Compact"/>
            </w:pPr>
            <w:r>
              <w:t xml:space="preserve">Research expensed, development</w:t>
            </w:r>
            <w:r>
              <w:t xml:space="preserve"> </w:t>
            </w:r>
            <w:r>
              <w:rPr>
                <w:i/>
                <w:iCs/>
              </w:rPr>
              <w:t xml:space="preserve">must</w:t>
            </w:r>
            <w:r>
              <w:t xml:space="preserve"> </w:t>
            </w:r>
            <w:r>
              <w:t xml:space="preserve">be capitalized if criteria met</w:t>
            </w:r>
          </w:p>
        </w:tc>
        <w:tc>
          <w:tcPr/>
          <w:p>
            <w:pPr>
              <w:pStyle w:val="Compact"/>
            </w:pPr>
            <w:r>
              <w:t xml:space="preserve">IFRS is more likely to capitalize development once future benefit is probable.</w:t>
            </w:r>
          </w:p>
        </w:tc>
      </w:tr>
      <w:tr>
        <w:tc>
          <w:tcPr/>
          <w:p>
            <w:pPr>
              <w:pStyle w:val="Compact"/>
            </w:pPr>
            <w:r>
              <w:rPr>
                <w:b/>
                <w:bCs/>
              </w:rPr>
              <w:t xml:space="preserve">Extraordinary Items</w:t>
            </w:r>
          </w:p>
        </w:tc>
        <w:tc>
          <w:tcPr/>
          <w:p>
            <w:pPr>
              <w:pStyle w:val="Compact"/>
            </w:pPr>
            <w:r>
              <w:t xml:space="preserve">Historically allowed separate line item (two events); now disallowed</w:t>
            </w:r>
          </w:p>
        </w:tc>
        <w:tc>
          <w:tcPr/>
          <w:p>
            <w:pPr>
              <w:pStyle w:val="Compact"/>
            </w:pPr>
            <w:r>
              <w:t xml:space="preserve">No separate “extraordinary” category – all infrequent items in operations</w:t>
            </w:r>
          </w:p>
        </w:tc>
        <w:tc>
          <w:tcPr/>
          <w:p>
            <w:pPr>
              <w:pStyle w:val="Compact"/>
            </w:pPr>
            <w:r>
              <w:t xml:space="preserve">IFRS never had the separate extraordinary category.</w:t>
            </w:r>
          </w:p>
        </w:tc>
      </w:tr>
      <w:tr>
        <w:tc>
          <w:tcPr/>
          <w:p>
            <w:pPr>
              <w:pStyle w:val="Compact"/>
            </w:pPr>
            <w:r>
              <w:rPr>
                <w:b/>
                <w:bCs/>
              </w:rPr>
              <w:t xml:space="preserve">Financial Statement Disclosures</w:t>
            </w:r>
          </w:p>
        </w:tc>
        <w:tc>
          <w:tcPr/>
          <w:p>
            <w:pPr>
              <w:pStyle w:val="Compact"/>
            </w:pPr>
            <w:r>
              <w:t xml:space="preserve">Many prescriptive detail requirements (e.g. specific cash flow line items)</w:t>
            </w:r>
          </w:p>
        </w:tc>
        <w:tc>
          <w:tcPr/>
          <w:p>
            <w:pPr>
              <w:pStyle w:val="Compact"/>
            </w:pPr>
            <w:r>
              <w:t xml:space="preserve">Fewer specifics (e.g. cash flow format more principles-based)</w:t>
            </w:r>
          </w:p>
        </w:tc>
        <w:tc>
          <w:tcPr/>
          <w:p>
            <w:pPr>
              <w:pStyle w:val="Compact"/>
            </w:pPr>
            <w:r>
              <w:t xml:space="preserve">Generally, IFRS disclosures are less numerous than GAAP’s long list.</w:t>
            </w:r>
          </w:p>
        </w:tc>
      </w:tr>
      <w:tr>
        <w:tc>
          <w:tcPr/>
          <w:p>
            <w:pPr>
              <w:pStyle w:val="Compact"/>
            </w:pPr>
            <w:r>
              <w:rPr>
                <w:b/>
                <w:bCs/>
              </w:rPr>
              <w:t xml:space="preserve">Leases (pre-2019)</w:t>
            </w:r>
          </w:p>
        </w:tc>
        <w:tc>
          <w:tcPr/>
          <w:p>
            <w:pPr>
              <w:pStyle w:val="Compact"/>
            </w:pPr>
            <w:r>
              <w:t xml:space="preserve">Capital vs operating lease bifurcation (off-balance operating)</w:t>
            </w:r>
          </w:p>
        </w:tc>
        <w:tc>
          <w:tcPr/>
          <w:p>
            <w:pPr>
              <w:pStyle w:val="Compact"/>
            </w:pPr>
            <w:r>
              <w:t xml:space="preserve">Similar (distinction) (post-2019 IFRS16 &amp; ASC842 converged)</w:t>
            </w:r>
          </w:p>
        </w:tc>
        <w:tc>
          <w:tcPr/>
          <w:p>
            <w:pPr>
              <w:pStyle w:val="Compact"/>
            </w:pPr>
            <w:r>
              <w:t xml:space="preserve">(New standards have largely converged lease accounting.)</w:t>
            </w:r>
          </w:p>
        </w:tc>
      </w:tr>
      <w:tr>
        <w:tc>
          <w:tcPr/>
          <w:p>
            <w:pPr>
              <w:pStyle w:val="Compact"/>
            </w:pPr>
            <w:r>
              <w:rPr>
                <w:b/>
                <w:bCs/>
              </w:rPr>
              <w:t xml:space="preserve">Goodwill</w:t>
            </w:r>
          </w:p>
        </w:tc>
        <w:tc>
          <w:tcPr/>
          <w:p>
            <w:pPr>
              <w:pStyle w:val="Compact"/>
            </w:pPr>
            <w:r>
              <w:t xml:space="preserve">Amortized over life (pre-2002); now tested for impairment</w:t>
            </w:r>
          </w:p>
        </w:tc>
        <w:tc>
          <w:tcPr/>
          <w:p>
            <w:pPr>
              <w:pStyle w:val="Compact"/>
            </w:pPr>
            <w:r>
              <w:t xml:space="preserve">No amortization; annual impairment test (or more often if needed)</w:t>
            </w:r>
          </w:p>
        </w:tc>
        <w:tc>
          <w:tcPr/>
          <w:p>
            <w:pPr>
              <w:pStyle w:val="Compact"/>
            </w:pPr>
            <w:r>
              <w:t xml:space="preserve">IFRS forbids routine amortization of goodwill.</w:t>
            </w:r>
          </w:p>
        </w:tc>
      </w:tr>
    </w:tbl>
    <w:p>
      <w:pPr>
        <w:pStyle w:val="BodyText"/>
      </w:pPr>
      <w:r>
        <w:rPr>
          <w:i/>
          <w:iCs/>
        </w:rPr>
        <w:t xml:space="preserve">Table: Selected differences between U.S. GAAP and IFRS accounting standards (sources: accounting literature</w:t>
      </w:r>
      <w:hyperlink r:id="rId31">
        <w:r>
          <w:rPr>
            <w:rStyle w:val="Hyperlink"/>
            <w:i/>
            <w:iCs/>
          </w:rPr>
          <w:t xml:space="preserve">[11]</w:t>
        </w:r>
      </w:hyperlink>
      <w:hyperlink r:id="rId62">
        <w:r>
          <w:rPr>
            <w:rStyle w:val="Hyperlink"/>
            <w:i/>
            <w:iCs/>
          </w:rPr>
          <w:t xml:space="preserve">[28]</w:t>
        </w:r>
      </w:hyperlink>
      <w:r>
        <w:rPr>
          <w:i/>
          <w:iCs/>
        </w:rPr>
        <w:t xml:space="preserve">).</w:t>
      </w:r>
    </w:p>
    <w:bookmarkEnd w:id="63"/>
    <w:bookmarkEnd w:id="64"/>
    <w:bookmarkStart w:id="65" w:name="X9afcd156d1210c49ecfd0960a2c628dd2472076"/>
    <w:p>
      <w:pPr>
        <w:pStyle w:val="Heading2"/>
      </w:pPr>
      <w:r>
        <w:t xml:space="preserve">9. Modern Era: Technology and Global Practice</w:t>
      </w:r>
    </w:p>
    <w:p>
      <w:pPr>
        <w:pStyle w:val="FirstParagraph"/>
      </w:pPr>
      <w:r>
        <w:t xml:space="preserve">Accounting today is global and tech-driven. Over 140 countries use IFRS for at least some reporting</w:t>
      </w:r>
      <w:hyperlink r:id="rId51">
        <w:r>
          <w:rPr>
            <w:rStyle w:val="Hyperlink"/>
          </w:rPr>
          <w:t xml:space="preserve">[24]</w:t>
        </w:r>
      </w:hyperlink>
      <w:r>
        <w:t xml:space="preserve">, and many G20 economies allow either IFRS or local GAAP. Big 4 firms (Deloitte, PwC, EY, KPMG) dominate audits worldwide, and professional certifications (CPA, CA, ACCA, CMA, CIA, etc.) are required for practitioners. Digital technology has radically changed accounting processes. Enterprise Resource Planning (ERP) systems (SAP, Oracle) emerged in the 1970s–80s to integrate accounting across large firms. In the 21st century, cloud accounting platforms (e.g. QuickBooks Online, Xero) and automation handle routine tasks. Advanced analytics, AI and machine learning are increasingly used for auditing (flagging anomalies) and forecasting, while blockchain is being piloted to record immutable transaction chains</w:t>
      </w:r>
      <w:hyperlink r:id="rId32">
        <w:r>
          <w:rPr>
            <w:rStyle w:val="Hyperlink"/>
          </w:rPr>
          <w:t xml:space="preserve">[12]</w:t>
        </w:r>
      </w:hyperlink>
      <w:r>
        <w:t xml:space="preserve">. A recent review notes</w:t>
      </w:r>
      <w:r>
        <w:t xml:space="preserve"> </w:t>
      </w:r>
      <w:r>
        <w:rPr>
          <w:i/>
          <w:iCs/>
        </w:rPr>
        <w:t xml:space="preserve">“innovations in automation, AI/ML, cloud computing, big data and analytics, and blockchain are reshaping accounting processes”</w:t>
      </w:r>
      <w:hyperlink r:id="rId32">
        <w:r>
          <w:rPr>
            <w:rStyle w:val="Hyperlink"/>
          </w:rPr>
          <w:t xml:space="preserve">[12]</w:t>
        </w:r>
      </w:hyperlink>
      <w:r>
        <w:t xml:space="preserve">.</w:t>
      </w:r>
    </w:p>
    <w:p>
      <w:pPr>
        <w:pStyle w:val="BodyText"/>
      </w:pPr>
      <w:r>
        <w:t xml:space="preserve">Education and professional qualifications have likewise evolved. Accounting is now a standard academic discipline with bachelor’s, master’s and Ph.D. programs. Accreditation bodies (AACSB/ABET) set program standards, and licensure exams (e.g. Uniform CPA Exam in U.S., IFRS Foundation’s FSA credential) maintain competency. Continuing professional education is mandatory to keep up with new standards and tech. In short, modern accounting stands on centuries of development: it uses codified standards (GAAP/IFRS, audited by independent firms) to produce transparent financial information for investors and regulators worldwide, enhanced by powerful technology tools.</w:t>
      </w:r>
    </w:p>
    <w:p>
      <w:pPr>
        <w:pStyle w:val="BodyText"/>
      </w:pPr>
      <w:r>
        <w:t xml:space="preserve">&lt;!-- Mermaid entity-relationship diagram of stakeholders --&gt;</w:t>
      </w:r>
    </w:p>
    <w:p>
      <w:pPr>
        <w:pStyle w:val="SourceCode"/>
      </w:pPr>
      <w:r>
        <w:rPr>
          <w:rStyle w:val="VerbatimChar"/>
        </w:rPr>
        <w:t xml:space="preserve">erDiagram</w:t>
      </w:r>
      <w:r>
        <w:br/>
      </w:r>
      <w:r>
        <w:rPr>
          <w:rStyle w:val="VerbatimChar"/>
        </w:rPr>
        <w:t xml:space="preserve">    FIRM ||--o{ INVESTOR : "sells shares to"</w:t>
      </w:r>
      <w:r>
        <w:br/>
      </w:r>
      <w:r>
        <w:rPr>
          <w:rStyle w:val="VerbatimChar"/>
        </w:rPr>
        <w:t xml:space="preserve">    FIRM ||--o{ AUDITOR : "audited by"</w:t>
      </w:r>
      <w:r>
        <w:br/>
      </w:r>
      <w:r>
        <w:rPr>
          <w:rStyle w:val="VerbatimChar"/>
        </w:rPr>
        <w:t xml:space="preserve">    FIRM }o--|| REGULATOR : "governed by"</w:t>
      </w:r>
      <w:r>
        <w:br/>
      </w:r>
      <w:r>
        <w:rPr>
          <w:rStyle w:val="VerbatimChar"/>
        </w:rPr>
        <w:t xml:space="preserve">    AUDITOR }o--|| REGULATOR : "licensed by"</w:t>
      </w:r>
      <w:r>
        <w:br/>
      </w:r>
      <w:r>
        <w:rPr>
          <w:rStyle w:val="VerbatimChar"/>
        </w:rPr>
        <w:t xml:space="preserve">    INVESTOR ||--o{ REGULATOR : "protected by"</w:t>
      </w:r>
    </w:p>
    <w:p>
      <w:pPr>
        <w:pStyle w:val="FirstParagraph"/>
      </w:pPr>
      <w:r>
        <w:rPr>
          <w:i/>
          <w:iCs/>
        </w:rPr>
        <w:t xml:space="preserve">Figure: Relationships among accounting stakeholders. Companies (“FIRM”) issue financial reports (sold as shares) to investors and are audited by accounting firms (AUDITOR). Regulators (e.g. SEC, standards bodies) govern firms and license auditors. Investors rely on this oversight for protection. (Crow’s foot ER diagram syntax.)</w:t>
      </w:r>
    </w:p>
    <w:p>
      <w:pPr>
        <w:pStyle w:val="BodyText"/>
      </w:pPr>
      <w:r>
        <w:rPr>
          <w:b/>
          <w:bCs/>
        </w:rPr>
        <w:t xml:space="preserve">Contested Histories:</w:t>
      </w:r>
      <w:r>
        <w:t xml:space="preserve"> </w:t>
      </w:r>
      <w:r>
        <w:t xml:space="preserve">Some origins are debated. For example, while Pacioli popularized double-entry, scholars note the method evolved gradually (and earlier Italian merchants like Cotrugli also wrote of it)</w:t>
      </w:r>
      <w:hyperlink r:id="rId24">
        <w:r>
          <w:rPr>
            <w:rStyle w:val="Hyperlink"/>
          </w:rPr>
          <w:t xml:space="preserve">[4]</w:t>
        </w:r>
      </w:hyperlink>
      <w:hyperlink r:id="rId36">
        <w:r>
          <w:rPr>
            <w:rStyle w:val="Hyperlink"/>
          </w:rPr>
          <w:t xml:space="preserve">[15]</w:t>
        </w:r>
      </w:hyperlink>
      <w:r>
        <w:t xml:space="preserve">. Similarly, evidence of ancient accounting is sparse outside Mesopotamia and Egypt; Chinese bookkeeping arose independently (abacus by 2nd–5th c. AD). Methodical records from early trade societies are fragmentary, so accounting’s early history has gaps. In modern times, debate continues over full IFRS adoption (e.g. the U.S. still uses GAAP), and how quickly AI/blockchain will alter practice. This report has relied on primary sources (e.g. Pacioli’s</w:t>
      </w:r>
      <w:r>
        <w:t xml:space="preserve"> </w:t>
      </w:r>
      <w:r>
        <w:rPr>
          <w:i/>
          <w:iCs/>
        </w:rPr>
        <w:t xml:space="preserve">Summa</w:t>
      </w:r>
      <w:r>
        <w:t xml:space="preserve">), historical analyses (Roover, Hatfield), and authoritative timelines</w:t>
      </w:r>
      <w:hyperlink r:id="rId24">
        <w:r>
          <w:rPr>
            <w:rStyle w:val="Hyperlink"/>
          </w:rPr>
          <w:t xml:space="preserve">[4]</w:t>
        </w:r>
      </w:hyperlink>
      <w:hyperlink r:id="rId49">
        <w:r>
          <w:rPr>
            <w:rStyle w:val="Hyperlink"/>
          </w:rPr>
          <w:t xml:space="preserve">[22]</w:t>
        </w:r>
      </w:hyperlink>
      <w:r>
        <w:t xml:space="preserve"> </w:t>
      </w:r>
      <w:r>
        <w:t xml:space="preserve">to reconstruct this history as comprehensively as possible, noting where records or consensus are incomplete.</w:t>
      </w:r>
    </w:p>
    <w:p>
      <w:pPr>
        <w:pStyle w:val="BodyText"/>
      </w:pPr>
      <w:r>
        <w:rPr>
          <w:b/>
          <w:bCs/>
        </w:rPr>
        <w:t xml:space="preserve">Sources:</w:t>
      </w:r>
      <w:r>
        <w:t xml:space="preserve"> </w:t>
      </w:r>
      <w:r>
        <w:t xml:space="preserve">Original historical texts (Pacioli 1494, Cotrugli 1458 manuscripts), academic histories and journal articles (e.g. journals of accounting history, AAA publications), and official documents (SEC Act 1934, Sarbanes-Oxley Act 2002). Key references include ACCA and academic publications for chronology</w:t>
      </w:r>
      <w:hyperlink r:id="rId22">
        <w:r>
          <w:rPr>
            <w:rStyle w:val="Hyperlink"/>
          </w:rPr>
          <w:t xml:space="preserve">[2]</w:t>
        </w:r>
      </w:hyperlink>
      <w:hyperlink r:id="rId49">
        <w:r>
          <w:rPr>
            <w:rStyle w:val="Hyperlink"/>
          </w:rPr>
          <w:t xml:space="preserve">[22]</w:t>
        </w:r>
      </w:hyperlink>
      <w:r>
        <w:t xml:space="preserve">. Where possible, primary or peer-reviewed sources are cited. (Investopedia and other educational sites are used sparingly for context, e.g. IFRS/GAAP differences</w:t>
      </w:r>
      <w:hyperlink r:id="rId31">
        <w:r>
          <w:rPr>
            <w:rStyle w:val="Hyperlink"/>
          </w:rPr>
          <w:t xml:space="preserve">[11]</w:t>
        </w:r>
      </w:hyperlink>
      <w:hyperlink r:id="rId62">
        <w:r>
          <w:rPr>
            <w:rStyle w:val="Hyperlink"/>
          </w:rPr>
          <w:t xml:space="preserve">[28]</w:t>
        </w:r>
      </w:hyperlink>
      <w:r>
        <w:t xml:space="preserve">.) Any significant gaps or competing claims are noted above.</w:t>
      </w:r>
    </w:p>
    <w:bookmarkEnd w:id="65"/>
    <w:bookmarkEnd w:id="66"/>
    <w:bookmarkEnd w:id="67"/>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29">
        <w:r>
          <w:rPr>
            <w:rStyle w:val="Hyperlink"/>
          </w:rPr>
          <w:t xml:space="preserve">[9]</w:t>
        </w:r>
      </w:hyperlink>
      <w:r>
        <w:t xml:space="preserve"> </w:t>
      </w:r>
      <w:hyperlink r:id="rId56">
        <w:r>
          <w:rPr>
            <w:rStyle w:val="Hyperlink"/>
          </w:rPr>
          <w:t xml:space="preserve">[26]</w:t>
        </w:r>
      </w:hyperlink>
      <w:r>
        <w:t xml:space="preserve"> </w:t>
      </w:r>
      <w:r>
        <w:t xml:space="preserve">The History of Accounting: From Ancient Bartering to Modern Finance | UT Permian Basin Online</w:t>
      </w:r>
    </w:p>
    <w:p>
      <w:pPr>
        <w:pStyle w:val="BodyText"/>
      </w:pPr>
      <w:hyperlink r:id="rId68">
        <w:r>
          <w:rPr>
            <w:rStyle w:val="Hyperlink"/>
          </w:rPr>
          <w:t xml:space="preserve">https://online.utpb.edu/about-us/articles/business/history-of-accounting/</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40">
        <w:r>
          <w:rPr>
            <w:rStyle w:val="Hyperlink"/>
          </w:rPr>
          <w:t xml:space="preserve">[16]</w:t>
        </w:r>
      </w:hyperlink>
      <w:r>
        <w:t xml:space="preserve"> </w:t>
      </w:r>
      <w:hyperlink r:id="rId42">
        <w:r>
          <w:rPr>
            <w:rStyle w:val="Hyperlink"/>
          </w:rPr>
          <w:t xml:space="preserve">[18]</w:t>
        </w:r>
      </w:hyperlink>
      <w:r>
        <w:t xml:space="preserve"> </w:t>
      </w:r>
      <w:r>
        <w:t xml:space="preserve">The history of how humans invented accounting | ACCA</w:t>
      </w:r>
    </w:p>
    <w:p>
      <w:pPr>
        <w:pStyle w:val="BodyText"/>
      </w:pPr>
      <w:hyperlink r:id="rId69">
        <w:r>
          <w:rPr>
            <w:rStyle w:val="Hyperlink"/>
          </w:rPr>
          <w:t xml:space="preserve">https://www.accaglobal.com/gb/en/study-with-acca/blog/how-humans-invented-accounting.html</w:t>
        </w:r>
      </w:hyperlink>
    </w:p>
    <w:p>
      <w:pPr>
        <w:pStyle w:val="BodyText"/>
      </w:pPr>
      <w:hyperlink r:id="rId23">
        <w:r>
          <w:rPr>
            <w:rStyle w:val="Hyperlink"/>
          </w:rPr>
          <w:t xml:space="preserve">[3]</w:t>
        </w:r>
      </w:hyperlink>
      <w:r>
        <w:t xml:space="preserve"> </w:t>
      </w:r>
      <w:r>
        <w:t xml:space="preserve"> </w:t>
      </w:r>
      <w:r>
        <w:t xml:space="preserve">"Coming of age of double entry: The Giovanni Farolfi ledger of 1299-1300" by Geoffrey A. Lee</w:t>
      </w:r>
      <w:r>
        <w:t xml:space="preserve"> </w:t>
      </w:r>
    </w:p>
    <w:p>
      <w:pPr>
        <w:pStyle w:val="BodyText"/>
      </w:pPr>
      <w:hyperlink r:id="rId70">
        <w:r>
          <w:rPr>
            <w:rStyle w:val="Hyperlink"/>
          </w:rPr>
          <w:t xml:space="preserve">https://egrove.olemiss.edu/aah_journal/vol4/iss2/6/</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34">
        <w:r>
          <w:rPr>
            <w:rStyle w:val="Hyperlink"/>
          </w:rPr>
          <w:t xml:space="preserve">[14]</w:t>
        </w:r>
      </w:hyperlink>
      <w:r>
        <w:t xml:space="preserve"> </w:t>
      </w:r>
      <w:hyperlink r:id="rId41">
        <w:r>
          <w:rPr>
            <w:rStyle w:val="Hyperlink"/>
          </w:rPr>
          <w:t xml:space="preserve">[17]</w:t>
        </w:r>
      </w:hyperlink>
      <w:r>
        <w:t xml:space="preserve"> </w:t>
      </w:r>
      <w:hyperlink r:id="rId43">
        <w:r>
          <w:rPr>
            <w:rStyle w:val="Hyperlink"/>
          </w:rPr>
          <w:t xml:space="preserve">[19]</w:t>
        </w:r>
      </w:hyperlink>
      <w:r>
        <w:t xml:space="preserve"> </w:t>
      </w:r>
      <w:hyperlink r:id="rId46">
        <w:r>
          <w:rPr>
            <w:rStyle w:val="Hyperlink"/>
          </w:rPr>
          <w:t xml:space="preserve">[21]</w:t>
        </w:r>
      </w:hyperlink>
      <w:r>
        <w:t xml:space="preserve"> </w:t>
      </w:r>
      <w:r>
        <w:t xml:space="preserve">The Origins and Evolution of Accounting: Key Innovations</w:t>
      </w:r>
    </w:p>
    <w:p>
      <w:pPr>
        <w:pStyle w:val="BodyText"/>
      </w:pPr>
      <w:hyperlink r:id="rId71">
        <w:r>
          <w:rPr>
            <w:rStyle w:val="Hyperlink"/>
          </w:rPr>
          <w:t xml:space="preserve">https://www.investopedia.com/articles/08/accounting-history.asp</w:t>
        </w:r>
      </w:hyperlink>
    </w:p>
    <w:p>
      <w:pPr>
        <w:pStyle w:val="BodyText"/>
      </w:pPr>
      <w:hyperlink r:id="rId31">
        <w:r>
          <w:rPr>
            <w:rStyle w:val="Hyperlink"/>
          </w:rPr>
          <w:t xml:space="preserve">[11]</w:t>
        </w:r>
      </w:hyperlink>
      <w:r>
        <w:t xml:space="preserve"> </w:t>
      </w:r>
      <w:hyperlink r:id="rId62">
        <w:r>
          <w:rPr>
            <w:rStyle w:val="Hyperlink"/>
          </w:rPr>
          <w:t xml:space="preserve">[28]</w:t>
        </w:r>
      </w:hyperlink>
      <w:r>
        <w:t xml:space="preserve"> </w:t>
      </w:r>
      <w:r>
        <w:t xml:space="preserve">IFRS vs. U.S. GAAP: Key Differences in Accounting Standards</w:t>
      </w:r>
    </w:p>
    <w:p>
      <w:pPr>
        <w:pStyle w:val="BodyText"/>
      </w:pPr>
      <w:hyperlink r:id="rId72">
        <w:r>
          <w:rPr>
            <w:rStyle w:val="Hyperlink"/>
          </w:rPr>
          <w:t xml:space="preserve">https://www.investopedia.com/ask/answers/09/ifrs-gaap.asp</w:t>
        </w:r>
      </w:hyperlink>
    </w:p>
    <w:p>
      <w:pPr>
        <w:pStyle w:val="BodyText"/>
      </w:pPr>
      <w:hyperlink r:id="rId32">
        <w:r>
          <w:rPr>
            <w:rStyle w:val="Hyperlink"/>
          </w:rPr>
          <w:t xml:space="preserve">[12]</w:t>
        </w:r>
      </w:hyperlink>
      <w:r>
        <w:t xml:space="preserve"> </w:t>
      </w:r>
      <w:r>
        <w:t xml:space="preserve">Modern Accounting and the Role of Technology in Accounting | Order to Cash Knowledge Center</w:t>
      </w:r>
    </w:p>
    <w:p>
      <w:pPr>
        <w:pStyle w:val="BodyText"/>
      </w:pPr>
      <w:hyperlink r:id="rId73">
        <w:r>
          <w:rPr>
            <w:rStyle w:val="Hyperlink"/>
          </w:rPr>
          <w:t xml:space="preserve">https://www.highradius.com/resources/Blog/role-of-technology-in-modern-accounting/</w:t>
        </w:r>
      </w:hyperlink>
    </w:p>
    <w:p>
      <w:pPr>
        <w:pStyle w:val="BodyText"/>
      </w:pPr>
      <w:hyperlink r:id="rId36">
        <w:r>
          <w:rPr>
            <w:rStyle w:val="Hyperlink"/>
          </w:rPr>
          <w:t xml:space="preserve">[15]</w:t>
        </w:r>
      </w:hyperlink>
      <w:r>
        <w:t xml:space="preserve"> </w:t>
      </w:r>
      <w:r>
        <w:t xml:space="preserve">Premessa</w:t>
      </w:r>
    </w:p>
    <w:p>
      <w:pPr>
        <w:pStyle w:val="BodyText"/>
      </w:pPr>
      <w:hyperlink r:id="rId74">
        <w:r>
          <w:rPr>
            <w:rStyle w:val="Hyperlink"/>
          </w:rPr>
          <w:t xml:space="preserve">https://dialnet.unirioja.es/descarga/articulo/6786916.pdf</w:t>
        </w:r>
      </w:hyperlink>
    </w:p>
    <w:p>
      <w:pPr>
        <w:pStyle w:val="BodyText"/>
      </w:pPr>
      <w:hyperlink r:id="rId45">
        <w:r>
          <w:rPr>
            <w:rStyle w:val="Hyperlink"/>
          </w:rPr>
          <w:t xml:space="preserve">[20]</w:t>
        </w:r>
      </w:hyperlink>
      <w:r>
        <w:t xml:space="preserve"> </w:t>
      </w:r>
      <w:hyperlink r:id="rId55">
        <w:r>
          <w:rPr>
            <w:rStyle w:val="Hyperlink"/>
          </w:rPr>
          <w:t xml:space="preserve">[25]</w:t>
        </w:r>
      </w:hyperlink>
      <w:r>
        <w:t xml:space="preserve"> </w:t>
      </w:r>
      <w:r>
        <w:t xml:space="preserve">Tracing the Historical Development of Cost Accounting: A Literature Review | Scientific Research Journal of Economics and Business Management</w:t>
      </w:r>
    </w:p>
    <w:p>
      <w:pPr>
        <w:pStyle w:val="BodyText"/>
      </w:pPr>
      <w:hyperlink r:id="rId75">
        <w:r>
          <w:rPr>
            <w:rStyle w:val="Hyperlink"/>
          </w:rPr>
          <w:t xml:space="preserve">https://iarconsortium.org/srjebm/172/2898/tracing-the-historical-development-of-cost-accounting-a-literature-review-4988/</w:t>
        </w:r>
      </w:hyperlink>
    </w:p>
    <w:p>
      <w:pPr>
        <w:pStyle w:val="BodyText"/>
      </w:pPr>
      <w:hyperlink r:id="rId49">
        <w:r>
          <w:rPr>
            <w:rStyle w:val="Hyperlink"/>
          </w:rPr>
          <w:t xml:space="preserve">[22]</w:t>
        </w:r>
      </w:hyperlink>
      <w:r>
        <w:t xml:space="preserve"> </w:t>
      </w:r>
      <w:hyperlink r:id="rId50">
        <w:r>
          <w:rPr>
            <w:rStyle w:val="Hyperlink"/>
          </w:rPr>
          <w:t xml:space="preserve">[23]</w:t>
        </w:r>
      </w:hyperlink>
      <w:r>
        <w:t xml:space="preserve"> </w:t>
      </w:r>
      <w:r>
        <w:t xml:space="preserve">Microsoft Word - International Harmonisation Process of Accounting Standard–</w:t>
      </w:r>
    </w:p>
    <w:p>
      <w:pPr>
        <w:pStyle w:val="BodyText"/>
      </w:pPr>
      <w:hyperlink r:id="rId76">
        <w:r>
          <w:rPr>
            <w:rStyle w:val="Hyperlink"/>
          </w:rPr>
          <w:t xml:space="preserve">https://www.diva-portal.org/smash/get/diva2%3A18878/FULLTEXT01.pdf</w:t>
        </w:r>
      </w:hyperlink>
    </w:p>
    <w:p>
      <w:pPr>
        <w:pStyle w:val="BodyText"/>
      </w:pPr>
      <w:hyperlink r:id="rId51">
        <w:r>
          <w:rPr>
            <w:rStyle w:val="Hyperlink"/>
          </w:rPr>
          <w:t xml:space="preserve">[24]</w:t>
        </w:r>
      </w:hyperlink>
      <w:r>
        <w:t xml:space="preserve"> </w:t>
      </w:r>
      <w:r>
        <w:t xml:space="preserve">IFRS - IFRS Accounting Standards Navigator</w:t>
      </w:r>
    </w:p>
    <w:p>
      <w:pPr>
        <w:pStyle w:val="BodyText"/>
      </w:pPr>
      <w:hyperlink r:id="rId77">
        <w:r>
          <w:rPr>
            <w:rStyle w:val="Hyperlink"/>
          </w:rPr>
          <w:t xml:space="preserve">https://www.ifrs.org/issued-standards/list-of-standards/</w:t>
        </w:r>
      </w:hyperlink>
    </w:p>
    <w:p>
      <w:pPr>
        <w:pStyle w:val="BodyText"/>
      </w:pPr>
      <w:hyperlink r:id="rId59">
        <w:r>
          <w:rPr>
            <w:rStyle w:val="Hyperlink"/>
          </w:rPr>
          <w:t xml:space="preserve">[27]</w:t>
        </w:r>
      </w:hyperlink>
      <w:r>
        <w:t xml:space="preserve"> </w:t>
      </w:r>
      <w:r>
        <w:t xml:space="preserve">Our Purpose | IFAC</w:t>
      </w:r>
    </w:p>
    <w:p>
      <w:pPr>
        <w:pStyle w:val="BodyText"/>
      </w:pPr>
      <w:hyperlink r:id="rId78">
        <w:r>
          <w:rPr>
            <w:rStyle w:val="Hyperlink"/>
          </w:rPr>
          <w:t xml:space="preserve">https://www.ifac.org/who-we-are/our-purpose</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dialnet.unirioja.es/descarga/articulo/6786916.pdf" TargetMode="External" /><Relationship Type="http://schemas.openxmlformats.org/officeDocument/2006/relationships/hyperlink" Id="rId36" Target="https://dialnet.unirioja.es/descarga/articulo/6786916.pdf#:~:text=match%20at%20L163%20Virtually%20nothing,Cotrugli%E2%80%99s%20treatise%2C%20except%20in%20Croatia" TargetMode="External" /><Relationship Type="http://schemas.openxmlformats.org/officeDocument/2006/relationships/hyperlink" Id="rId70" Target="https://egrove.olemiss.edu/aah_journal/vol4/iss2/6/" TargetMode="External" /><Relationship Type="http://schemas.openxmlformats.org/officeDocument/2006/relationships/hyperlink" Id="rId23" Target="https://egrove.olemiss.edu/aah_journal/vol4/iss2/6/#:~:text=This%20article%20examines%20the%20branch,example%20of%20commercial%20double%20entry" TargetMode="External" /><Relationship Type="http://schemas.openxmlformats.org/officeDocument/2006/relationships/hyperlink" Id="rId75" Target="https://iarconsortium.org/srjebm/172/2898/tracing-the-historical-development-of-cost-accounting-a-literature-review-4988/" TargetMode="External" /><Relationship Type="http://schemas.openxmlformats.org/officeDocument/2006/relationships/hyperlink" Id="rId45" Target="https://iarconsortium.org/srjebm/172/2898/tracing-the-historical-development-of-cost-accounting-a-literature-review-4988/#:~:text=Antwerp%20printing%20press%2C%20Christopher%20Plantin%2C,trade%20unions%20like%20organized%20guilds" TargetMode="External" /><Relationship Type="http://schemas.openxmlformats.org/officeDocument/2006/relationships/hyperlink" Id="rId55" Target="https://iarconsortium.org/srjebm/172/2898/tracing-the-historical-development-of-cost-accounting-a-literature-review-4988/#:~:text=However%2C%20with%20the%20rapid%20increase,cost%20accounting" TargetMode="External" /><Relationship Type="http://schemas.openxmlformats.org/officeDocument/2006/relationships/hyperlink" Id="rId68" Target="https://online.utpb.edu/about-us/articles/business/history-of-accounting/" TargetMode="External" /><Relationship Type="http://schemas.openxmlformats.org/officeDocument/2006/relationships/hyperlink" Id="rId21" Target="https://online.utpb.edu/about-us/articles/business/history-of-accounting/#:~:text=5000%20B" TargetMode="External" /><Relationship Type="http://schemas.openxmlformats.org/officeDocument/2006/relationships/hyperlink" Id="rId56" Target="https://online.utpb.edu/about-us/articles/business/history-of-accounting/#:~:text=In%201913%2C%20the%20U,the%20assistance%20of%20professional%20accountants" TargetMode="External" /><Relationship Type="http://schemas.openxmlformats.org/officeDocument/2006/relationships/hyperlink" Id="rId29" Target="https://online.utpb.edu/about-us/articles/business/history-of-accounting/#:~:text=The%201900s%3A%20The%20Need%20for,Accountants%20Soars" TargetMode="External" /><Relationship Type="http://schemas.openxmlformats.org/officeDocument/2006/relationships/hyperlink" Id="rId69" Target="https://www.accaglobal.com/gb/en/study-with-acca/blog/how-humans-invented-accounting.html" TargetMode="External" /><Relationship Type="http://schemas.openxmlformats.org/officeDocument/2006/relationships/hyperlink" Id="rId22" Target="https://www.accaglobal.com/gb/en/study-with-acca/blog/how-humans-invented-accounting.html#:~:text=Accounting%E2%80%99s%20history%20can%20be%20traced,Romans%20collated%20detailed%20financial%20information" TargetMode="External" /><Relationship Type="http://schemas.openxmlformats.org/officeDocument/2006/relationships/hyperlink" Id="rId40" Target="https://www.accaglobal.com/gb/en/study-with-acca/blog/how-humans-invented-accounting.html#:~:text=Industrial%20revolution" TargetMode="External" /><Relationship Type="http://schemas.openxmlformats.org/officeDocument/2006/relationships/hyperlink" Id="rId30" Target="https://www.accaglobal.com/gb/en/study-with-acca/blog/how-humans-invented-accounting.html#:~:text=It%E2%80%99s%20not%20all%20been%20plain,required%20to%20fulfil%20reporting%20requirements" TargetMode="External" /><Relationship Type="http://schemas.openxmlformats.org/officeDocument/2006/relationships/hyperlink" Id="rId24" Target="https://www.accaglobal.com/gb/en/study-with-acca/blog/how-humans-invented-accounting.html#:~:text=Italian%20roots" TargetMode="External" /><Relationship Type="http://schemas.openxmlformats.org/officeDocument/2006/relationships/hyperlink" Id="rId33" Target="https://www.accaglobal.com/gb/en/study-with-acca/blog/how-humans-invented-accounting.html#:~:text=Some%20of%20the%20first%20accountants,someone%20the%20role%20of%20comptroller" TargetMode="External" /><Relationship Type="http://schemas.openxmlformats.org/officeDocument/2006/relationships/hyperlink" Id="rId42" Target="https://www.accaglobal.com/gb/en/study-with-acca/blog/how-humans-invented-accounting.html#:~:text=The%20increasing%20importance%20of%20accountants,ACCA%29%20in%201996" TargetMode="External" /><Relationship Type="http://schemas.openxmlformats.org/officeDocument/2006/relationships/hyperlink" Id="rId28" Target="https://www.accaglobal.com/gb/en/study-with-acca/blog/how-humans-invented-accounting.html#:~:text=The%20modern%20profession%20also%20has,carries%20legal%20weight%20globally%20today" TargetMode="External" /><Relationship Type="http://schemas.openxmlformats.org/officeDocument/2006/relationships/hyperlink" Id="rId26" Target="https://www.accaglobal.com/gb/en/study-with-acca/blog/how-humans-invented-accounting.html#:~:text=of%20debits%20and%20credits%20in,requiring%20accounting%20systems%20to%20adapt" TargetMode="External" /><Relationship Type="http://schemas.openxmlformats.org/officeDocument/2006/relationships/hyperlink" Id="rId76" Target="https://www.diva-portal.org/smash/get/diva2%3A18878/FULLTEXT01.pdf" TargetMode="External" /><Relationship Type="http://schemas.openxmlformats.org/officeDocument/2006/relationships/hyperlink" Id="rId50" Target="https://www.diva-portal.org/smash/get/diva2%3A18878/FULLTEXT01.pdf#:~:text=March%202000%20During%20a%20meeting,members%20to%20accept%20the%20IAS" TargetMode="External" /><Relationship Type="http://schemas.openxmlformats.org/officeDocument/2006/relationships/hyperlink" Id="rId49" Target="https://www.diva-portal.org/smash/get/diva2%3A18878/FULLTEXT01.pdf#:~:text=process%201973,Development%20issued%20a%20declaration%20on" TargetMode="External" /><Relationship Type="http://schemas.openxmlformats.org/officeDocument/2006/relationships/hyperlink" Id="rId73" Target="https://www.highradius.com/resources/Blog/role-of-technology-in-modern-accounting/" TargetMode="External" /><Relationship Type="http://schemas.openxmlformats.org/officeDocument/2006/relationships/hyperlink" Id="rId32" Target="https://www.highradius.com/resources/Blog/role-of-technology-in-modern-accounting/#:~:text=Technology%20has%20transformed%20accounting%20processes%2C,offering%20additional%20benefits%20such%20as" TargetMode="External" /><Relationship Type="http://schemas.openxmlformats.org/officeDocument/2006/relationships/hyperlink" Id="rId78" Target="https://www.ifac.org/who-we-are/our-purpose" TargetMode="External" /><Relationship Type="http://schemas.openxmlformats.org/officeDocument/2006/relationships/hyperlink" Id="rId59" Target="https://www.ifac.org/who-we-are/our-purpose#:~:text=IFAC%20was%20founded%20on%20October,in%20the%20public%20interest%20by" TargetMode="External" /><Relationship Type="http://schemas.openxmlformats.org/officeDocument/2006/relationships/hyperlink" Id="rId77" Target="https://www.ifrs.org/issued-standards/list-of-standards/" TargetMode="External" /><Relationship Type="http://schemas.openxmlformats.org/officeDocument/2006/relationships/hyperlink" Id="rId51" Target="https://www.ifrs.org/issued-standards/list-of-standards/#:~:text=the%20IFRS%20Foundation" TargetMode="External" /><Relationship Type="http://schemas.openxmlformats.org/officeDocument/2006/relationships/hyperlink" Id="rId71" Target="https://www.investopedia.com/articles/08/accounting-history.asp" TargetMode="External" /><Relationship Type="http://schemas.openxmlformats.org/officeDocument/2006/relationships/hyperlink" Id="rId27" Target="https://www.investopedia.com/articles/08/accounting-history.asp#:~:text=Accounting%27s%20Journey%20and%20Evolution%20in,America" TargetMode="External" /><Relationship Type="http://schemas.openxmlformats.org/officeDocument/2006/relationships/hyperlink" Id="rId41" Target="https://www.investopedia.com/articles/08/accounting-history.asp#:~:text=Founding%20the%20Accounting%20Profession%3A%20Establishing,CPAs" TargetMode="External" /><Relationship Type="http://schemas.openxmlformats.org/officeDocument/2006/relationships/hyperlink" Id="rId25" Target="https://www.investopedia.com/articles/08/accounting-history.asp#:~:text=Luca%20Pacioli%3A%20Revolutionizing%20Accounting%20with,Mathematics" TargetMode="External" /><Relationship Type="http://schemas.openxmlformats.org/officeDocument/2006/relationships/hyperlink" Id="rId43" Target="https://www.investopedia.com/articles/08/accounting-history.asp#:~:text=The%20Birth%20of%20Financial%20Statements%3A,Building%20Investor%20Trust" TargetMode="External" /><Relationship Type="http://schemas.openxmlformats.org/officeDocument/2006/relationships/hyperlink" Id="rId46" Target="https://www.investopedia.com/articles/08/accounting-history.asp#:~:text=The%20appearance%20of%20corporations%20in,powerful%20of%20the%20two%20factors" TargetMode="External" /><Relationship Type="http://schemas.openxmlformats.org/officeDocument/2006/relationships/hyperlink" Id="rId34" Target="https://www.investopedia.com/articles/08/accounting-history.asp#:~:text=Until%20the%20late%201400s%2C%20this,entry%20bookkeeping" TargetMode="External" /><Relationship Type="http://schemas.openxmlformats.org/officeDocument/2006/relationships/hyperlink" Id="rId72" Target="https://www.investopedia.com/ask/answers/09/ifrs-gaap.asp" TargetMode="External" /><Relationship Type="http://schemas.openxmlformats.org/officeDocument/2006/relationships/hyperlink" Id="rId31" Target="https://www.investopedia.com/ask/answers/09/ifrs-gaap.asp#:~:text=At%20the%20conceptual%20level%2C%20IFRS,inventory%20has%20been%20written%20down" TargetMode="External" /><Relationship Type="http://schemas.openxmlformats.org/officeDocument/2006/relationships/hyperlink" Id="rId62" Target="https://www.investopedia.com/ask/answers/09/ifrs-gaap.asp#:~:text=Under%20IFRS%2C%20the%20last,%EF%BB%BF%EF%BB%BF" TargetMode="External" /></Relationships>
</file>

<file path=word/_rels/footnotes.xml.rels><?xml version="1.0" encoding="UTF-8"?><Relationships xmlns="http://schemas.openxmlformats.org/package/2006/relationships"><Relationship Type="http://schemas.openxmlformats.org/officeDocument/2006/relationships/hyperlink" Id="rId74" Target="https://dialnet.unirioja.es/descarga/articulo/6786916.pdf" TargetMode="External" /><Relationship Type="http://schemas.openxmlformats.org/officeDocument/2006/relationships/hyperlink" Id="rId36" Target="https://dialnet.unirioja.es/descarga/articulo/6786916.pdf#:~:text=match%20at%20L163%20Virtually%20nothing,Cotrugli%E2%80%99s%20treatise%2C%20except%20in%20Croatia" TargetMode="External" /><Relationship Type="http://schemas.openxmlformats.org/officeDocument/2006/relationships/hyperlink" Id="rId70" Target="https://egrove.olemiss.edu/aah_journal/vol4/iss2/6/" TargetMode="External" /><Relationship Type="http://schemas.openxmlformats.org/officeDocument/2006/relationships/hyperlink" Id="rId23" Target="https://egrove.olemiss.edu/aah_journal/vol4/iss2/6/#:~:text=This%20article%20examines%20the%20branch,example%20of%20commercial%20double%20entry" TargetMode="External" /><Relationship Type="http://schemas.openxmlformats.org/officeDocument/2006/relationships/hyperlink" Id="rId75" Target="https://iarconsortium.org/srjebm/172/2898/tracing-the-historical-development-of-cost-accounting-a-literature-review-4988/" TargetMode="External" /><Relationship Type="http://schemas.openxmlformats.org/officeDocument/2006/relationships/hyperlink" Id="rId45" Target="https://iarconsortium.org/srjebm/172/2898/tracing-the-historical-development-of-cost-accounting-a-literature-review-4988/#:~:text=Antwerp%20printing%20press%2C%20Christopher%20Plantin%2C,trade%20unions%20like%20organized%20guilds" TargetMode="External" /><Relationship Type="http://schemas.openxmlformats.org/officeDocument/2006/relationships/hyperlink" Id="rId55" Target="https://iarconsortium.org/srjebm/172/2898/tracing-the-historical-development-of-cost-accounting-a-literature-review-4988/#:~:text=However%2C%20with%20the%20rapid%20increase,cost%20accounting" TargetMode="External" /><Relationship Type="http://schemas.openxmlformats.org/officeDocument/2006/relationships/hyperlink" Id="rId68" Target="https://online.utpb.edu/about-us/articles/business/history-of-accounting/" TargetMode="External" /><Relationship Type="http://schemas.openxmlformats.org/officeDocument/2006/relationships/hyperlink" Id="rId21" Target="https://online.utpb.edu/about-us/articles/business/history-of-accounting/#:~:text=5000%20B" TargetMode="External" /><Relationship Type="http://schemas.openxmlformats.org/officeDocument/2006/relationships/hyperlink" Id="rId56" Target="https://online.utpb.edu/about-us/articles/business/history-of-accounting/#:~:text=In%201913%2C%20the%20U,the%20assistance%20of%20professional%20accountants" TargetMode="External" /><Relationship Type="http://schemas.openxmlformats.org/officeDocument/2006/relationships/hyperlink" Id="rId29" Target="https://online.utpb.edu/about-us/articles/business/history-of-accounting/#:~:text=The%201900s%3A%20The%20Need%20for,Accountants%20Soars" TargetMode="External" /><Relationship Type="http://schemas.openxmlformats.org/officeDocument/2006/relationships/hyperlink" Id="rId69" Target="https://www.accaglobal.com/gb/en/study-with-acca/blog/how-humans-invented-accounting.html" TargetMode="External" /><Relationship Type="http://schemas.openxmlformats.org/officeDocument/2006/relationships/hyperlink" Id="rId22" Target="https://www.accaglobal.com/gb/en/study-with-acca/blog/how-humans-invented-accounting.html#:~:text=Accounting%E2%80%99s%20history%20can%20be%20traced,Romans%20collated%20detailed%20financial%20information" TargetMode="External" /><Relationship Type="http://schemas.openxmlformats.org/officeDocument/2006/relationships/hyperlink" Id="rId40" Target="https://www.accaglobal.com/gb/en/study-with-acca/blog/how-humans-invented-accounting.html#:~:text=Industrial%20revolution" TargetMode="External" /><Relationship Type="http://schemas.openxmlformats.org/officeDocument/2006/relationships/hyperlink" Id="rId30" Target="https://www.accaglobal.com/gb/en/study-with-acca/blog/how-humans-invented-accounting.html#:~:text=It%E2%80%99s%20not%20all%20been%20plain,required%20to%20fulfil%20reporting%20requirements" TargetMode="External" /><Relationship Type="http://schemas.openxmlformats.org/officeDocument/2006/relationships/hyperlink" Id="rId24" Target="https://www.accaglobal.com/gb/en/study-with-acca/blog/how-humans-invented-accounting.html#:~:text=Italian%20roots" TargetMode="External" /><Relationship Type="http://schemas.openxmlformats.org/officeDocument/2006/relationships/hyperlink" Id="rId33" Target="https://www.accaglobal.com/gb/en/study-with-acca/blog/how-humans-invented-accounting.html#:~:text=Some%20of%20the%20first%20accountants,someone%20the%20role%20of%20comptroller" TargetMode="External" /><Relationship Type="http://schemas.openxmlformats.org/officeDocument/2006/relationships/hyperlink" Id="rId42" Target="https://www.accaglobal.com/gb/en/study-with-acca/blog/how-humans-invented-accounting.html#:~:text=The%20increasing%20importance%20of%20accountants,ACCA%29%20in%201996" TargetMode="External" /><Relationship Type="http://schemas.openxmlformats.org/officeDocument/2006/relationships/hyperlink" Id="rId28" Target="https://www.accaglobal.com/gb/en/study-with-acca/blog/how-humans-invented-accounting.html#:~:text=The%20modern%20profession%20also%20has,carries%20legal%20weight%20globally%20today" TargetMode="External" /><Relationship Type="http://schemas.openxmlformats.org/officeDocument/2006/relationships/hyperlink" Id="rId26" Target="https://www.accaglobal.com/gb/en/study-with-acca/blog/how-humans-invented-accounting.html#:~:text=of%20debits%20and%20credits%20in,requiring%20accounting%20systems%20to%20adapt" TargetMode="External" /><Relationship Type="http://schemas.openxmlformats.org/officeDocument/2006/relationships/hyperlink" Id="rId76" Target="https://www.diva-portal.org/smash/get/diva2%3A18878/FULLTEXT01.pdf" TargetMode="External" /><Relationship Type="http://schemas.openxmlformats.org/officeDocument/2006/relationships/hyperlink" Id="rId50" Target="https://www.diva-portal.org/smash/get/diva2%3A18878/FULLTEXT01.pdf#:~:text=March%202000%20During%20a%20meeting,members%20to%20accept%20the%20IAS" TargetMode="External" /><Relationship Type="http://schemas.openxmlformats.org/officeDocument/2006/relationships/hyperlink" Id="rId49" Target="https://www.diva-portal.org/smash/get/diva2%3A18878/FULLTEXT01.pdf#:~:text=process%201973,Development%20issued%20a%20declaration%20on" TargetMode="External" /><Relationship Type="http://schemas.openxmlformats.org/officeDocument/2006/relationships/hyperlink" Id="rId73" Target="https://www.highradius.com/resources/Blog/role-of-technology-in-modern-accounting/" TargetMode="External" /><Relationship Type="http://schemas.openxmlformats.org/officeDocument/2006/relationships/hyperlink" Id="rId32" Target="https://www.highradius.com/resources/Blog/role-of-technology-in-modern-accounting/#:~:text=Technology%20has%20transformed%20accounting%20processes%2C,offering%20additional%20benefits%20such%20as" TargetMode="External" /><Relationship Type="http://schemas.openxmlformats.org/officeDocument/2006/relationships/hyperlink" Id="rId78" Target="https://www.ifac.org/who-we-are/our-purpose" TargetMode="External" /><Relationship Type="http://schemas.openxmlformats.org/officeDocument/2006/relationships/hyperlink" Id="rId59" Target="https://www.ifac.org/who-we-are/our-purpose#:~:text=IFAC%20was%20founded%20on%20October,in%20the%20public%20interest%20by" TargetMode="External" /><Relationship Type="http://schemas.openxmlformats.org/officeDocument/2006/relationships/hyperlink" Id="rId77" Target="https://www.ifrs.org/issued-standards/list-of-standards/" TargetMode="External" /><Relationship Type="http://schemas.openxmlformats.org/officeDocument/2006/relationships/hyperlink" Id="rId51" Target="https://www.ifrs.org/issued-standards/list-of-standards/#:~:text=the%20IFRS%20Foundation" TargetMode="External" /><Relationship Type="http://schemas.openxmlformats.org/officeDocument/2006/relationships/hyperlink" Id="rId71" Target="https://www.investopedia.com/articles/08/accounting-history.asp" TargetMode="External" /><Relationship Type="http://schemas.openxmlformats.org/officeDocument/2006/relationships/hyperlink" Id="rId27" Target="https://www.investopedia.com/articles/08/accounting-history.asp#:~:text=Accounting%27s%20Journey%20and%20Evolution%20in,America" TargetMode="External" /><Relationship Type="http://schemas.openxmlformats.org/officeDocument/2006/relationships/hyperlink" Id="rId41" Target="https://www.investopedia.com/articles/08/accounting-history.asp#:~:text=Founding%20the%20Accounting%20Profession%3A%20Establishing,CPAs" TargetMode="External" /><Relationship Type="http://schemas.openxmlformats.org/officeDocument/2006/relationships/hyperlink" Id="rId25" Target="https://www.investopedia.com/articles/08/accounting-history.asp#:~:text=Luca%20Pacioli%3A%20Revolutionizing%20Accounting%20with,Mathematics" TargetMode="External" /><Relationship Type="http://schemas.openxmlformats.org/officeDocument/2006/relationships/hyperlink" Id="rId43" Target="https://www.investopedia.com/articles/08/accounting-history.asp#:~:text=The%20Birth%20of%20Financial%20Statements%3A,Building%20Investor%20Trust" TargetMode="External" /><Relationship Type="http://schemas.openxmlformats.org/officeDocument/2006/relationships/hyperlink" Id="rId46" Target="https://www.investopedia.com/articles/08/accounting-history.asp#:~:text=The%20appearance%20of%20corporations%20in,powerful%20of%20the%20two%20factors" TargetMode="External" /><Relationship Type="http://schemas.openxmlformats.org/officeDocument/2006/relationships/hyperlink" Id="rId34" Target="https://www.investopedia.com/articles/08/accounting-history.asp#:~:text=Until%20the%20late%201400s%2C%20this,entry%20bookkeeping" TargetMode="External" /><Relationship Type="http://schemas.openxmlformats.org/officeDocument/2006/relationships/hyperlink" Id="rId72" Target="https://www.investopedia.com/ask/answers/09/ifrs-gaap.asp" TargetMode="External" /><Relationship Type="http://schemas.openxmlformats.org/officeDocument/2006/relationships/hyperlink" Id="rId31" Target="https://www.investopedia.com/ask/answers/09/ifrs-gaap.asp#:~:text=At%20the%20conceptual%20level%2C%20IFRS,inventory%20has%20been%20written%20down" TargetMode="External" /><Relationship Type="http://schemas.openxmlformats.org/officeDocument/2006/relationships/hyperlink" Id="rId62" Target="https://www.investopedia.com/ask/answers/09/ifrs-gaap.asp#:~:text=Under%20IFRS%2C%20the%20last,%EF%BB%BF%EF%BB%B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2026-05-04T20:37:57Z</dcterms:created>
  <dcterms:modified xsi:type="dcterms:W3CDTF">2026-05-04T20:37:57Z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