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21" w:name="executive-summary"/>
    <w:p>
      <w:pPr>
        <w:pStyle w:val="Heading1"/>
      </w:pPr>
      <w:r>
        <w:t xml:space="preserve">Executive Summary</w:t>
      </w:r>
    </w:p>
    <w:p>
      <w:pPr>
        <w:pStyle w:val="FirstParagraph"/>
      </w:pPr>
      <w:r>
        <w:t xml:space="preserve">The hypothesis that</w:t>
      </w:r>
      <w:r>
        <w:t xml:space="preserve"> </w:t>
      </w:r>
      <w:r>
        <w:rPr>
          <w:b/>
          <w:bCs/>
        </w:rPr>
        <w:t xml:space="preserve">“fallen aristocrats” drive history</w:t>
      </w:r>
      <w:r>
        <w:t xml:space="preserve"> </w:t>
      </w:r>
      <w:r>
        <w:t xml:space="preserve">treats displaced nobles (exiled, dethroned or demoted elites) as active agents of major change. This report tests that idea by defining key terms, identifying measurable indicators of influence, and examining testable mechanisms against concrete cases. We analyze six cases from different eras and regions – Revolutionary France, White Russian émigrés, the Byzantine diaspora, Meiji Japan’s samurai, post-WWI European aristocratic networks, and (briefly) post-colonial Latin America – comparing aristocratic agency to alternative drivers (economic change, mass movements, institutions). We find that while fallen nobles sometimes mobilized resources, formed networks, or inspired ideologies, they rarely</w:t>
      </w:r>
      <w:r>
        <w:t xml:space="preserve"> </w:t>
      </w:r>
      <w:r>
        <w:rPr>
          <w:b/>
          <w:bCs/>
        </w:rPr>
        <w:t xml:space="preserve">alone</w:t>
      </w:r>
      <w:r>
        <w:t xml:space="preserve"> </w:t>
      </w:r>
      <w:r>
        <w:t xml:space="preserve">determined outcomes. Often other forces (bourgeois revolutions, mass armies, institutional reforms) were more decisive. In some cases (e.g. Byzantine émigrés seeding the Renaissance) aristocratic intellects played a clear catalytic role, whereas in others (e.g. Russian Whites, Meiji samurai) their efforts failed against broad structural tides. Overall, the evidence suggests</w:t>
      </w:r>
      <w:r>
        <w:t xml:space="preserve"> </w:t>
      </w:r>
      <w:r>
        <w:rPr>
          <w:b/>
          <w:bCs/>
        </w:rPr>
        <w:t xml:space="preserve">limited and context-specific influence</w:t>
      </w:r>
      <w:r>
        <w:t xml:space="preserve"> </w:t>
      </w:r>
      <w:r>
        <w:t xml:space="preserve">of fallen aristocrats, subordinate to economic and social transformations. We conclude that the hypothesis of fallen aristocrats as primary drivers is not broadly supported: they can be one factor among many, but explanatory power lies mainly with structural drivers.</w:t>
      </w:r>
    </w:p>
    <w:bookmarkEnd w:id="21"/>
    <w:bookmarkStart w:id="22" w:name="methodology"/>
    <w:p>
      <w:pPr>
        <w:pStyle w:val="Heading1"/>
      </w:pPr>
      <w:r>
        <w:t xml:space="preserve">Methodology</w:t>
      </w:r>
    </w:p>
    <w:p>
      <w:pPr>
        <w:pStyle w:val="FirstParagraph"/>
      </w:pPr>
      <w:r>
        <w:t xml:space="preserve">We adopt a comparative historical methodology. First, we</w:t>
      </w:r>
      <w:r>
        <w:t xml:space="preserve"> </w:t>
      </w:r>
      <w:r>
        <w:rPr>
          <w:b/>
          <w:bCs/>
        </w:rPr>
        <w:t xml:space="preserve">defined terms</w:t>
      </w:r>
      <w:r>
        <w:t xml:space="preserve">: a</w:t>
      </w:r>
      <w:r>
        <w:t xml:space="preserve"> </w:t>
      </w:r>
      <w:r>
        <w:rPr>
          <w:i/>
          <w:iCs/>
        </w:rPr>
        <w:t xml:space="preserve">“fallen aristocrat”</w:t>
      </w:r>
      <w:r>
        <w:t xml:space="preserve"> </w:t>
      </w:r>
      <w:r>
        <w:t xml:space="preserve">is a member of a hereditary elite who has lost formal status or privileges (through revolution, defeat, political reform or empire collapse). A</w:t>
      </w:r>
      <w:r>
        <w:t xml:space="preserve"> </w:t>
      </w:r>
      <w:r>
        <w:rPr>
          <w:i/>
          <w:iCs/>
        </w:rPr>
        <w:t xml:space="preserve">“driver of history”</w:t>
      </w:r>
      <w:r>
        <w:t xml:space="preserve"> </w:t>
      </w:r>
      <w:r>
        <w:t xml:space="preserve">is an agent or factor with significant causal impact on political or social outcomes (revolutions, wars, regime changes, cultural shifts). We then identified</w:t>
      </w:r>
      <w:r>
        <w:t xml:space="preserve"> </w:t>
      </w:r>
      <w:r>
        <w:rPr>
          <w:b/>
          <w:bCs/>
        </w:rPr>
        <w:t xml:space="preserve">observable indicators</w:t>
      </w:r>
      <w:r>
        <w:t xml:space="preserve"> </w:t>
      </w:r>
      <w:r>
        <w:t xml:space="preserve">of fallen-aristocrat agency: formation of émigré armies or political clubs; participation in coups or counterrevolutions; production of influential ideas; control of resources or patronage networks in exile. We relied on primary and secondary sources (historical documents, memoirs, scholarly studies) in English and supplemented by authoritative reference works. For each case, we reconstructed (a) how aristocrats lost status, (b) their post-fall</w:t>
      </w:r>
      <w:r>
        <w:t xml:space="preserve"> </w:t>
      </w:r>
      <w:r>
        <w:rPr>
          <w:b/>
          <w:bCs/>
        </w:rPr>
        <w:t xml:space="preserve">actions and networks</w:t>
      </w:r>
      <w:r>
        <w:t xml:space="preserve">, (c) causal pathways to outcomes, and (d) counterfactual considerations (what might have happened without their involvement). We also considered</w:t>
      </w:r>
      <w:r>
        <w:t xml:space="preserve"> </w:t>
      </w:r>
      <w:r>
        <w:rPr>
          <w:b/>
          <w:bCs/>
        </w:rPr>
        <w:t xml:space="preserve">alternative explanations</w:t>
      </w:r>
      <w:r>
        <w:t xml:space="preserve"> </w:t>
      </w:r>
      <w:r>
        <w:t xml:space="preserve">– e.g. economic crises, mass uprisings, institutional developments – to weigh the relative importance of aristocratic agency. Qualitative evidence strength is rated case-by-case.</w:t>
      </w:r>
    </w:p>
    <w:bookmarkEnd w:id="22"/>
    <w:bookmarkStart w:id="37" w:name="case-study-comparison"/>
    <w:p>
      <w:pPr>
        <w:pStyle w:val="Heading1"/>
      </w:pPr>
      <w:r>
        <w:t xml:space="preserve">Case Study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Case (Time, Region)</w:t>
            </w:r>
          </w:p>
        </w:tc>
        <w:tc>
          <w:tcPr/>
          <w:p>
            <w:pPr>
              <w:pStyle w:val="Compact"/>
              <w:jc w:val="left"/>
            </w:pPr>
            <w:r>
              <w:rPr>
                <w:b/>
                <w:bCs/>
              </w:rPr>
              <w:t xml:space="preserve">Fall Mechanism</w:t>
            </w:r>
          </w:p>
        </w:tc>
        <w:tc>
          <w:tcPr/>
          <w:p>
            <w:pPr>
              <w:pStyle w:val="Compact"/>
              <w:jc w:val="left"/>
            </w:pPr>
            <w:r>
              <w:rPr>
                <w:b/>
                <w:bCs/>
              </w:rPr>
              <w:t xml:space="preserve">Aristocratic Agency Mechanisms</w:t>
            </w:r>
          </w:p>
        </w:tc>
        <w:tc>
          <w:tcPr/>
          <w:p>
            <w:pPr>
              <w:pStyle w:val="Compact"/>
              <w:jc w:val="left"/>
            </w:pPr>
            <w:r>
              <w:rPr>
                <w:b/>
                <w:bCs/>
              </w:rPr>
              <w:t xml:space="preserve">Outcomes</w:t>
            </w:r>
          </w:p>
        </w:tc>
        <w:tc>
          <w:tcPr/>
          <w:p>
            <w:pPr>
              <w:pStyle w:val="Compact"/>
              <w:jc w:val="left"/>
            </w:pPr>
            <w:r>
              <w:rPr>
                <w:b/>
                <w:bCs/>
              </w:rPr>
              <w:t xml:space="preserve">Evidence &amp; Sources</w:t>
            </w:r>
          </w:p>
        </w:tc>
      </w:tr>
      <w:tr>
        <w:tc>
          <w:tcPr/>
          <w:p>
            <w:pPr>
              <w:pStyle w:val="Compact"/>
              <w:jc w:val="left"/>
            </w:pPr>
            <w:r>
              <w:rPr>
                <w:b/>
                <w:bCs/>
              </w:rPr>
              <w:t xml:space="preserve">France (1789–1815)</w:t>
            </w:r>
            <w:r>
              <w:t xml:space="preserve">&lt;br&gt;French Revolution &amp; Napoleonic Era</w:t>
            </w:r>
          </w:p>
        </w:tc>
        <w:tc>
          <w:tcPr/>
          <w:p>
            <w:pPr>
              <w:pStyle w:val="Compact"/>
              <w:jc w:val="left"/>
            </w:pPr>
            <w:r>
              <w:t xml:space="preserve">Revolution abolished feudal privileges; nobility fled/was purged (1793 Reign of Terror)</w:t>
            </w:r>
          </w:p>
        </w:tc>
        <w:tc>
          <w:tcPr/>
          <w:p>
            <w:pPr>
              <w:pStyle w:val="Compact"/>
              <w:jc w:val="left"/>
            </w:pPr>
            <w:r>
              <w:t xml:space="preserve">Émigré armies &amp; conspiracies; lobbying foreign courts; cultural propaganda</w:t>
            </w:r>
          </w:p>
        </w:tc>
        <w:tc>
          <w:tcPr/>
          <w:p>
            <w:pPr>
              <w:pStyle w:val="Compact"/>
              <w:jc w:val="left"/>
            </w:pPr>
            <w:r>
              <w:rPr>
                <w:i/>
                <w:iCs/>
              </w:rPr>
              <w:t xml:space="preserve">Outcome:</w:t>
            </w:r>
            <w:r>
              <w:t xml:space="preserve"> </w:t>
            </w:r>
            <w:r>
              <w:t xml:space="preserve">Bourbon monarchy restored (1814–15) under new terms, but not by émigrés’ own force. Revolutionary state prevailed in 1790s–1810s.</w:t>
            </w:r>
            <w:hyperlink r:id="rId23">
              <w:r>
                <w:rPr>
                  <w:rStyle w:val="Hyperlink"/>
                </w:rPr>
                <w:t xml:space="preserve">[1]</w:t>
              </w:r>
            </w:hyperlink>
            <w:hyperlink r:id="rId24">
              <w:r>
                <w:rPr>
                  <w:rStyle w:val="Hyperlink"/>
                </w:rPr>
                <w:t xml:space="preserve">[2]</w:t>
              </w:r>
            </w:hyperlink>
          </w:p>
        </w:tc>
        <w:tc>
          <w:tcPr/>
          <w:p>
            <w:pPr>
              <w:pStyle w:val="Compact"/>
              <w:jc w:val="left"/>
            </w:pPr>
            <w:r>
              <w:t xml:space="preserve">Emigrés formed counter-revolutionary armies with foreign aid</w:t>
            </w:r>
            <w:hyperlink r:id="rId23">
              <w:r>
                <w:rPr>
                  <w:rStyle w:val="Hyperlink"/>
                </w:rPr>
                <w:t xml:space="preserve">[1]</w:t>
              </w:r>
            </w:hyperlink>
            <w:r>
              <w:t xml:space="preserve">, but failed (see Quiberon, 1795). Many remained in exile or assimilated abroad</w:t>
            </w:r>
            <w:hyperlink r:id="rId25">
              <w:r>
                <w:rPr>
                  <w:rStyle w:val="Hyperlink"/>
                </w:rPr>
                <w:t xml:space="preserve">[3]</w:t>
              </w:r>
            </w:hyperlink>
            <w:r>
              <w:t xml:space="preserve">. Secondary studies note aristocratic nostalgia but emphasize mass armies and Napoleon’s reforms</w:t>
            </w:r>
            <w:hyperlink r:id="rId24">
              <w:r>
                <w:rPr>
                  <w:rStyle w:val="Hyperlink"/>
                </w:rPr>
                <w:t xml:space="preserve">[2]</w:t>
              </w:r>
            </w:hyperlink>
            <w:hyperlink r:id="rId26">
              <w:r>
                <w:rPr>
                  <w:rStyle w:val="Hyperlink"/>
                </w:rPr>
                <w:t xml:space="preserve">[4]</w:t>
              </w:r>
            </w:hyperlink>
            <w:r>
              <w:t xml:space="preserve">. Evidence of aristocratic influence (émigré petitions, plots) is clear but outcome depended on European wars and popular mobilization.</w:t>
            </w:r>
          </w:p>
        </w:tc>
      </w:tr>
      <w:tr>
        <w:tc>
          <w:tcPr/>
          <w:p>
            <w:pPr>
              <w:pStyle w:val="Compact"/>
              <w:jc w:val="left"/>
            </w:pPr>
            <w:r>
              <w:rPr>
                <w:b/>
                <w:bCs/>
              </w:rPr>
              <w:t xml:space="preserve">Russia (1917–1930s)</w:t>
            </w:r>
            <w:r>
              <w:t xml:space="preserve">&lt;br&gt;Revolution &amp; Civil War</w:t>
            </w:r>
          </w:p>
        </w:tc>
        <w:tc>
          <w:tcPr/>
          <w:p>
            <w:pPr>
              <w:pStyle w:val="Compact"/>
              <w:jc w:val="left"/>
            </w:pPr>
            <w:r>
              <w:t xml:space="preserve">Bolshevik Revolution expropriated nobility; Romanov dynasty overthrown</w:t>
            </w:r>
            <w:hyperlink r:id="rId27">
              <w:r>
                <w:rPr>
                  <w:rStyle w:val="Hyperlink"/>
                </w:rPr>
                <w:t xml:space="preserve">[5]</w:t>
              </w:r>
            </w:hyperlink>
          </w:p>
        </w:tc>
        <w:tc>
          <w:tcPr/>
          <w:p>
            <w:pPr>
              <w:pStyle w:val="Compact"/>
              <w:jc w:val="left"/>
            </w:pPr>
            <w:r>
              <w:t xml:space="preserve">White émigré armies; anti-Communist propaganda; alignment with foreign powers (Poland, France, later Nazi Germany)</w:t>
            </w:r>
          </w:p>
        </w:tc>
        <w:tc>
          <w:tcPr/>
          <w:p>
            <w:pPr>
              <w:pStyle w:val="Compact"/>
              <w:jc w:val="left"/>
            </w:pPr>
            <w:r>
              <w:rPr>
                <w:i/>
                <w:iCs/>
              </w:rPr>
              <w:t xml:space="preserve">Outcome:</w:t>
            </w:r>
            <w:r>
              <w:t xml:space="preserve"> </w:t>
            </w:r>
            <w:r>
              <w:t xml:space="preserve">Soviet regime consolidated (1919 onwards), monarchy not restored. Some émigrés influenced anti-Communist politics abroad but not Soviet fate.</w:t>
            </w:r>
          </w:p>
        </w:tc>
        <w:tc>
          <w:tcPr/>
          <w:p>
            <w:pPr>
              <w:pStyle w:val="Compact"/>
              <w:jc w:val="left"/>
            </w:pPr>
            <w:r>
              <w:t xml:space="preserve">After 1917 the Tsarist elite</w:t>
            </w:r>
            <w:r>
              <w:t xml:space="preserve"> </w:t>
            </w:r>
            <w:r>
              <w:rPr>
                <w:b/>
                <w:bCs/>
              </w:rPr>
              <w:t xml:space="preserve">lost power</w:t>
            </w:r>
            <w:hyperlink r:id="rId27">
              <w:r>
                <w:rPr>
                  <w:rStyle w:val="Hyperlink"/>
                </w:rPr>
                <w:t xml:space="preserve">[5]</w:t>
              </w:r>
            </w:hyperlink>
            <w:r>
              <w:t xml:space="preserve">. In exile they organized the Whites (e.g. Kolchak, Denikin) which temporarily held territory but collapsed. In diaspora (Paris, Berlin, Shanghai) émigrés built anti-Soviet networks (e.g. Russian All-Military Union)</w:t>
            </w:r>
            <w:hyperlink r:id="rId28">
              <w:r>
                <w:rPr>
                  <w:rStyle w:val="Hyperlink"/>
                </w:rPr>
                <w:t xml:space="preserve">[6]</w:t>
              </w:r>
            </w:hyperlink>
            <w:hyperlink r:id="rId29">
              <w:r>
                <w:rPr>
                  <w:rStyle w:val="Hyperlink"/>
                </w:rPr>
                <w:t xml:space="preserve">[7]</w:t>
              </w:r>
            </w:hyperlink>
            <w:r>
              <w:t xml:space="preserve">. Some extremist links emerged (e.g. Kirill’s court funding early Nazis)</w:t>
            </w:r>
            <w:hyperlink r:id="rId30">
              <w:r>
                <w:rPr>
                  <w:rStyle w:val="Hyperlink"/>
                </w:rPr>
                <w:t xml:space="preserve">[8]</w:t>
              </w:r>
            </w:hyperlink>
            <w:r>
              <w:t xml:space="preserve">. However, Lenin’s forces prevailed due to stronger mass support and civil war dynamics. Historians credit Bolshevik consolidation to war communism and peasant backing, not émigré actions. White influence on interwar Europe was real (activist émigré press, anti-Communist lobbies) but secondary to broader geopolitical forces.</w:t>
            </w:r>
          </w:p>
        </w:tc>
      </w:tr>
      <w:tr>
        <w:tc>
          <w:tcPr/>
          <w:p>
            <w:pPr>
              <w:pStyle w:val="Compact"/>
              <w:jc w:val="left"/>
            </w:pPr>
            <w:r>
              <w:rPr>
                <w:b/>
                <w:bCs/>
              </w:rPr>
              <w:t xml:space="preserve">Byzantine Empire (1453) → Italy (1450s–1500s)</w:t>
            </w:r>
          </w:p>
        </w:tc>
        <w:tc>
          <w:tcPr/>
          <w:p>
            <w:pPr>
              <w:pStyle w:val="Compact"/>
              <w:jc w:val="left"/>
            </w:pPr>
            <w:r>
              <w:t xml:space="preserve">Fall of Constantinople by Ottomans; Byzantine state vanished</w:t>
            </w:r>
          </w:p>
        </w:tc>
        <w:tc>
          <w:tcPr/>
          <w:p>
            <w:pPr>
              <w:pStyle w:val="Compact"/>
              <w:jc w:val="left"/>
            </w:pPr>
            <w:r>
              <w:t xml:space="preserve">Intellectual diaspora: émigré scholars and nobles teaching/ patronage in Italy (e.g. Chrysoloras, Bessarion, Plethon)</w:t>
            </w:r>
          </w:p>
        </w:tc>
        <w:tc>
          <w:tcPr/>
          <w:p>
            <w:pPr>
              <w:pStyle w:val="Compact"/>
              <w:jc w:val="left"/>
            </w:pPr>
            <w:r>
              <w:rPr>
                <w:i/>
                <w:iCs/>
              </w:rPr>
              <w:t xml:space="preserve">Outcome:</w:t>
            </w:r>
            <w:r>
              <w:t xml:space="preserve"> </w:t>
            </w:r>
            <w:r>
              <w:t xml:space="preserve">Catalyzed Renaissance humanism in Italy. Greek manuscripts and ideas revived classical learning in Europe.</w:t>
            </w:r>
          </w:p>
        </w:tc>
        <w:tc>
          <w:tcPr/>
          <w:p>
            <w:pPr>
              <w:pStyle w:val="Compact"/>
              <w:jc w:val="left"/>
            </w:pPr>
            <w:r>
              <w:t xml:space="preserve">After 1453 many Byzantine elites (scholars, former nobles) settled in Italy</w:t>
            </w:r>
            <w:hyperlink r:id="rId31">
              <w:r>
                <w:rPr>
                  <w:rStyle w:val="Hyperlink"/>
                </w:rPr>
                <w:t xml:space="preserve">[9]</w:t>
              </w:r>
            </w:hyperlink>
            <w:r>
              <w:t xml:space="preserve">. They brought manuscripts and knowledge of Greek literature, taught key humanists, and helped found the Platonic Academy (Ficino)</w:t>
            </w:r>
            <w:hyperlink r:id="rId31">
              <w:r>
                <w:rPr>
                  <w:rStyle w:val="Hyperlink"/>
                </w:rPr>
                <w:t xml:space="preserve">[9]</w:t>
              </w:r>
            </w:hyperlink>
            <w:hyperlink r:id="rId32">
              <w:r>
                <w:rPr>
                  <w:rStyle w:val="Hyperlink"/>
                </w:rPr>
                <w:t xml:space="preserve">[10]</w:t>
              </w:r>
            </w:hyperlink>
            <w:r>
              <w:t xml:space="preserve">. Britannica notes this exodus “marked the end of the Middle Ages and the beginning of the Renaissance”</w:t>
            </w:r>
            <w:hyperlink r:id="rId33">
              <w:r>
                <w:rPr>
                  <w:rStyle w:val="Hyperlink"/>
                </w:rPr>
                <w:t xml:space="preserve">[11]</w:t>
              </w:r>
            </w:hyperlink>
            <w:r>
              <w:t xml:space="preserve">. Scholarly consensus holds that Byzantine émigrés</w:t>
            </w:r>
            <w:r>
              <w:t xml:space="preserve"> </w:t>
            </w:r>
            <w:r>
              <w:rPr>
                <w:i/>
                <w:iCs/>
              </w:rPr>
              <w:t xml:space="preserve">spurred</w:t>
            </w:r>
            <w:r>
              <w:t xml:space="preserve"> </w:t>
            </w:r>
            <w:r>
              <w:t xml:space="preserve">the Renaissance (translation of Aristotle, Plato revived, new universities). Here, fallen elites clearly</w:t>
            </w:r>
            <w:r>
              <w:t xml:space="preserve"> </w:t>
            </w:r>
            <w:r>
              <w:rPr>
                <w:b/>
                <w:bCs/>
              </w:rPr>
              <w:t xml:space="preserve">drove</w:t>
            </w:r>
            <w:r>
              <w:t xml:space="preserve"> </w:t>
            </w:r>
            <w:r>
              <w:t xml:space="preserve">cultural transformation. Counterfactual: Without this migration, Renaissance might have progressed slower or along different lines (other influences existed, but Byzantines were pivotal). The evidence is strong (witness accounts, curricula)</w:t>
            </w:r>
            <w:hyperlink r:id="rId31">
              <w:r>
                <w:rPr>
                  <w:rStyle w:val="Hyperlink"/>
                </w:rPr>
                <w:t xml:space="preserve">[9]</w:t>
              </w:r>
            </w:hyperlink>
            <w:hyperlink r:id="rId32">
              <w:r>
                <w:rPr>
                  <w:rStyle w:val="Hyperlink"/>
                </w:rPr>
                <w:t xml:space="preserve">[10]</w:t>
              </w:r>
            </w:hyperlink>
            <w:r>
              <w:t xml:space="preserve">.</w:t>
            </w:r>
          </w:p>
        </w:tc>
      </w:tr>
      <w:tr>
        <w:tc>
          <w:tcPr/>
          <w:p>
            <w:pPr>
              <w:pStyle w:val="Compact"/>
              <w:jc w:val="left"/>
            </w:pPr>
            <w:r>
              <w:rPr>
                <w:b/>
                <w:bCs/>
              </w:rPr>
              <w:t xml:space="preserve">Japan (1868–1877)</w:t>
            </w:r>
            <w:r>
              <w:t xml:space="preserve">&lt;br&gt;Meiji Restoration</w:t>
            </w:r>
          </w:p>
        </w:tc>
        <w:tc>
          <w:tcPr/>
          <w:p>
            <w:pPr>
              <w:pStyle w:val="Compact"/>
              <w:jc w:val="left"/>
            </w:pPr>
            <w:r>
              <w:t xml:space="preserve">1868 Imperial Restoration abolished shōgunate; land reforms and tax changes stripped samurai of stipends and privileges</w:t>
            </w:r>
            <w:hyperlink r:id="rId34">
              <w:r>
                <w:rPr>
                  <w:rStyle w:val="Hyperlink"/>
                </w:rPr>
                <w:t xml:space="preserve">[12]</w:t>
              </w:r>
            </w:hyperlink>
          </w:p>
        </w:tc>
        <w:tc>
          <w:tcPr/>
          <w:p>
            <w:pPr>
              <w:pStyle w:val="Compact"/>
              <w:jc w:val="left"/>
            </w:pPr>
            <w:r>
              <w:t xml:space="preserve">A few samurai-led rebellions (e.g. Satsuma Rebellion 1877) and political agitation by disgruntled classes</w:t>
            </w:r>
          </w:p>
        </w:tc>
        <w:tc>
          <w:tcPr/>
          <w:p>
            <w:pPr>
              <w:pStyle w:val="Compact"/>
              <w:jc w:val="left"/>
            </w:pPr>
            <w:r>
              <w:rPr>
                <w:i/>
                <w:iCs/>
              </w:rPr>
              <w:t xml:space="preserve">Outcome:</w:t>
            </w:r>
            <w:r>
              <w:t xml:space="preserve"> </w:t>
            </w:r>
            <w:r>
              <w:t xml:space="preserve">Samurai class extinguished; Japan rapidly modernized under imperial bureaucracy. Traditional elites did</w:t>
            </w:r>
            <w:r>
              <w:t xml:space="preserve"> </w:t>
            </w:r>
            <w:r>
              <w:rPr>
                <w:b/>
                <w:bCs/>
              </w:rPr>
              <w:t xml:space="preserve">not</w:t>
            </w:r>
            <w:r>
              <w:t xml:space="preserve"> </w:t>
            </w:r>
            <w:r>
              <w:t xml:space="preserve">regain power.</w:t>
            </w:r>
          </w:p>
        </w:tc>
        <w:tc>
          <w:tcPr/>
          <w:p>
            <w:pPr>
              <w:pStyle w:val="Compact"/>
              <w:jc w:val="left"/>
            </w:pPr>
            <w:r>
              <w:t xml:space="preserve">The Meiji state</w:t>
            </w:r>
            <w:r>
              <w:t xml:space="preserve"> </w:t>
            </w:r>
            <w:r>
              <w:rPr>
                <w:b/>
                <w:bCs/>
              </w:rPr>
              <w:t xml:space="preserve">dismantled</w:t>
            </w:r>
            <w:r>
              <w:t xml:space="preserve"> </w:t>
            </w:r>
            <w:r>
              <w:t xml:space="preserve">feudal order: samurai lost class status, were given bonds instead of income</w:t>
            </w:r>
            <w:hyperlink r:id="rId34">
              <w:r>
                <w:rPr>
                  <w:rStyle w:val="Hyperlink"/>
                </w:rPr>
                <w:t xml:space="preserve">[12]</w:t>
              </w:r>
            </w:hyperlink>
            <w:r>
              <w:t xml:space="preserve">. Some resisted: the Satsuma Rebellion (1877) was led by former samurai, but it was crushed</w:t>
            </w:r>
            <w:hyperlink r:id="rId35">
              <w:r>
                <w:rPr>
                  <w:rStyle w:val="Hyperlink"/>
                </w:rPr>
                <w:t xml:space="preserve">[13]</w:t>
              </w:r>
            </w:hyperlink>
            <w:r>
              <w:t xml:space="preserve">. Most samurai adapted (cut topknots, took government or business roles</w:t>
            </w:r>
            <w:hyperlink r:id="rId34">
              <w:r>
                <w:rPr>
                  <w:rStyle w:val="Hyperlink"/>
                </w:rPr>
                <w:t xml:space="preserve">[12]</w:t>
              </w:r>
            </w:hyperlink>
            <w:r>
              <w:t xml:space="preserve">). Meiji reforms (conscription, new institutions) derived from Western models, not samurai pressure. Historical studies emphasize broad modernization drives over any aristocratic counter-plot. Thus fallen samurai played a very limited driver role: one last rebellion, but no long-term political agency.</w:t>
            </w:r>
          </w:p>
        </w:tc>
      </w:tr>
      <w:tr>
        <w:tc>
          <w:tcPr/>
          <w:p>
            <w:pPr>
              <w:pStyle w:val="Compact"/>
              <w:jc w:val="left"/>
            </w:pPr>
            <w:r>
              <w:rPr>
                <w:b/>
                <w:bCs/>
              </w:rPr>
              <w:t xml:space="preserve">Europe (1917–1957)</w:t>
            </w:r>
            <w:r>
              <w:t xml:space="preserve">&lt;br&gt;Post-WWI collapse</w:t>
            </w:r>
          </w:p>
        </w:tc>
        <w:tc>
          <w:tcPr/>
          <w:p>
            <w:pPr>
              <w:pStyle w:val="Compact"/>
              <w:jc w:val="left"/>
            </w:pPr>
            <w:r>
              <w:t xml:space="preserve">World War I/1917 revolutions overthrew Habsburg, Hohenzollern, Romanov dynasties</w:t>
            </w:r>
            <w:hyperlink r:id="rId27">
              <w:r>
                <w:rPr>
                  <w:rStyle w:val="Hyperlink"/>
                </w:rPr>
                <w:t xml:space="preserve">[5]</w:t>
              </w:r>
            </w:hyperlink>
          </w:p>
        </w:tc>
        <w:tc>
          <w:tcPr/>
          <w:p>
            <w:pPr>
              <w:pStyle w:val="Compact"/>
              <w:jc w:val="left"/>
            </w:pPr>
            <w:r>
              <w:t xml:space="preserve">Displaced aristocrats (e.g. German princes, Austro-Hungarian magnates, Russian nobles) formed transnational intellectual and cultural networks</w:t>
            </w:r>
          </w:p>
        </w:tc>
        <w:tc>
          <w:tcPr/>
          <w:p>
            <w:pPr>
              <w:pStyle w:val="Compact"/>
              <w:jc w:val="left"/>
            </w:pPr>
            <w:r>
              <w:rPr>
                <w:i/>
                <w:iCs/>
              </w:rPr>
              <w:t xml:space="preserve">Outcome:</w:t>
            </w:r>
            <w:r>
              <w:t xml:space="preserve"> </w:t>
            </w:r>
            <w:r>
              <w:t xml:space="preserve">Some aristocratic thinkers promoted European federal ideas, but new political orders were shaped by mass movements and state actors. Monarchy largely ended.</w:t>
            </w:r>
          </w:p>
        </w:tc>
        <w:tc>
          <w:tcPr/>
          <w:p>
            <w:pPr>
              <w:pStyle w:val="Compact"/>
              <w:jc w:val="left"/>
            </w:pPr>
            <w:r>
              <w:t xml:space="preserve">Dina Gusejnova notes that after 1917 “the power of the Hohenzollern, Habsburg, and Romanoff dynasties… expired,” yet German-speaking aristocratic intellectuals later</w:t>
            </w:r>
            <w:r>
              <w:t xml:space="preserve"> </w:t>
            </w:r>
            <w:r>
              <w:rPr>
                <w:b/>
                <w:bCs/>
              </w:rPr>
              <w:t xml:space="preserve">pioneered</w:t>
            </w:r>
            <w:r>
              <w:t xml:space="preserve"> </w:t>
            </w:r>
            <w:r>
              <w:t xml:space="preserve">visions of a united Europe</w:t>
            </w:r>
            <w:hyperlink r:id="rId27">
              <w:r>
                <w:rPr>
                  <w:rStyle w:val="Hyperlink"/>
                </w:rPr>
                <w:t xml:space="preserve">[5]</w:t>
              </w:r>
            </w:hyperlink>
            <w:r>
              <w:t xml:space="preserve">. These networks (thinkers from nobility) influenced federalist ideas in the mid-20th century. However, concrete political power shifted to mass parties and bureaucratic states. No revived monarchies emerged. Evidence: archival work (Gusejnova) documents salons and publications of ex-dynasts, but these had more cultural impact (on European identity) than immediate political change. Relative explanatory weight is modest: social-democratic and Christian-democratic movements, the Cold War, and US/USSR policies were primary drivers of European integration.</w:t>
            </w:r>
          </w:p>
        </w:tc>
      </w:tr>
      <w:tr>
        <w:tc>
          <w:tcPr/>
          <w:p>
            <w:pPr>
              <w:pStyle w:val="Compact"/>
              <w:jc w:val="left"/>
            </w:pPr>
            <w:r>
              <w:rPr>
                <w:b/>
                <w:bCs/>
              </w:rPr>
              <w:t xml:space="preserve">Latin America (1808–circa 1900)</w:t>
            </w:r>
            <w:r>
              <w:t xml:space="preserve">&lt;br&gt;Post-colonial era</w:t>
            </w:r>
          </w:p>
        </w:tc>
        <w:tc>
          <w:tcPr/>
          <w:p>
            <w:pPr>
              <w:pStyle w:val="Compact"/>
              <w:jc w:val="left"/>
            </w:pPr>
            <w:r>
              <w:t xml:space="preserve">Independence wars ousted colonial authorities; old elites</w:t>
            </w:r>
            <w:r>
              <w:t xml:space="preserve"> </w:t>
            </w:r>
            <w:r>
              <w:rPr>
                <w:i/>
                <w:iCs/>
              </w:rPr>
              <w:t xml:space="preserve">formally</w:t>
            </w:r>
            <w:r>
              <w:t xml:space="preserve"> </w:t>
            </w:r>
            <w:r>
              <w:t xml:space="preserve">lost privileges under republican constitutions</w:t>
            </w:r>
          </w:p>
        </w:tc>
        <w:tc>
          <w:tcPr/>
          <w:p>
            <w:pPr>
              <w:pStyle w:val="Compact"/>
              <w:jc w:val="left"/>
            </w:pPr>
            <w:r>
              <w:rPr>
                <w:b/>
                <w:bCs/>
              </w:rPr>
              <w:t xml:space="preserve">Varied:</w:t>
            </w:r>
            <w:r>
              <w:t xml:space="preserve"> </w:t>
            </w:r>
            <w:r>
              <w:t xml:space="preserve">In some countries former colonial elites joined nationalist leadership; in others monarchist factions (e.g. Brazil 1822, Mexico 1864) briefly revived by foreign aristocrats</w:t>
            </w:r>
          </w:p>
        </w:tc>
        <w:tc>
          <w:tcPr/>
          <w:p>
            <w:pPr>
              <w:pStyle w:val="Compact"/>
              <w:jc w:val="left"/>
            </w:pPr>
            <w:r>
              <w:rPr>
                <w:i/>
                <w:iCs/>
              </w:rPr>
              <w:t xml:space="preserve">Outcome:</w:t>
            </w:r>
            <w:r>
              <w:t xml:space="preserve"> </w:t>
            </w:r>
            <w:r>
              <w:t xml:space="preserve">New republics established; largely led by creole elites (often descendants of old aristocracy). Fallen colonial nobles had little separate power base.</w:t>
            </w:r>
          </w:p>
        </w:tc>
        <w:tc>
          <w:tcPr/>
          <w:p>
            <w:pPr>
              <w:pStyle w:val="Compact"/>
              <w:jc w:val="left"/>
            </w:pPr>
            <w:r>
              <w:t xml:space="preserve">In Latin America the criollo elite (colonial gentry of European descent) largely drove independence</w:t>
            </w:r>
            <w:hyperlink r:id="rId36">
              <w:r>
                <w:rPr>
                  <w:rStyle w:val="Hyperlink"/>
                </w:rPr>
                <w:t xml:space="preserve">[14]</w:t>
              </w:r>
            </w:hyperlink>
            <w:r>
              <w:t xml:space="preserve">. Spanish-born nobles typically left or assimilated after 1820. There is scant evidence that exiled colonial aristocrats (if any) independently shaped outcomes: new regimes often co-opted or confiscated their estates. For example, the overthrow of Emperor Maximilian (a European royal) in Mexico was an external episode, not a popular aristocratic movement. Thus the “fallen aristocrat” model is weak here. (Most historical analyses attribute Latin independence to liberal–creole factions and mass peasant uprisings, not a distinct émigré aristocracy.)</w:t>
            </w:r>
          </w:p>
        </w:tc>
      </w:tr>
    </w:tbl>
    <w:bookmarkEnd w:id="37"/>
    <w:bookmarkStart w:id="40" w:name="analytical-discussion"/>
    <w:p>
      <w:pPr>
        <w:pStyle w:val="Heading1"/>
      </w:pPr>
      <w:r>
        <w:t xml:space="preserve">Analytical Discussion</w:t>
      </w:r>
    </w:p>
    <w:p>
      <w:pPr>
        <w:pStyle w:val="FirstParagraph"/>
      </w:pPr>
      <w:r>
        <w:t xml:space="preserve">These cases illustrate</w:t>
      </w:r>
      <w:r>
        <w:t xml:space="preserve"> </w:t>
      </w:r>
      <w:r>
        <w:rPr>
          <w:b/>
          <w:bCs/>
        </w:rPr>
        <w:t xml:space="preserve">mixed results</w:t>
      </w:r>
      <w:r>
        <w:t xml:space="preserve">.</w:t>
      </w:r>
    </w:p>
    <w:p>
      <w:pPr>
        <w:pStyle w:val="BodyText"/>
      </w:pPr>
      <w:r>
        <w:rPr>
          <w:b/>
          <w:bCs/>
        </w:rPr>
        <w:t xml:space="preserve">Mechanisms of aristocratic agency:</w:t>
      </w:r>
      <w:r>
        <w:t xml:space="preserve"> </w:t>
      </w:r>
      <w:r>
        <w:t xml:space="preserve">We found several common patterns. Displaced nobles often tried to organize émigré armies (France’s</w:t>
      </w:r>
      <w:r>
        <w:t xml:space="preserve"> </w:t>
      </w:r>
      <w:r>
        <w:rPr>
          <w:i/>
          <w:iCs/>
        </w:rPr>
        <w:t xml:space="preserve">armée des émigrés</w:t>
      </w:r>
      <w:hyperlink r:id="rId23">
        <w:r>
          <w:rPr>
            <w:rStyle w:val="Hyperlink"/>
          </w:rPr>
          <w:t xml:space="preserve">[1]</w:t>
        </w:r>
      </w:hyperlink>
      <w:r>
        <w:t xml:space="preserve">) or political associations (White Russians’ ROVS, or Bavarian groups around Grand Duke Kirill</w:t>
      </w:r>
      <w:hyperlink r:id="rId30">
        <w:r>
          <w:rPr>
            <w:rStyle w:val="Hyperlink"/>
          </w:rPr>
          <w:t xml:space="preserve">[8]</w:t>
        </w:r>
      </w:hyperlink>
      <w:r>
        <w:t xml:space="preserve">). They lobbied foreign powers (French royalists at Vienna, Russian monarchists at Paris), attempted coups (Maximilian in Mexico, charlist pretenders in Spain), or promoted ideology (Byzantine scholars teaching Renaissance humanism</w:t>
      </w:r>
      <w:hyperlink r:id="rId31">
        <w:r>
          <w:rPr>
            <w:rStyle w:val="Hyperlink"/>
          </w:rPr>
          <w:t xml:space="preserve">[9]</w:t>
        </w:r>
      </w:hyperlink>
      <w:r>
        <w:t xml:space="preserve">). These “agency mechanisms” rely on pre-existing resources: wealth, prestige, and transnational contacts.</w:t>
      </w:r>
    </w:p>
    <w:p>
      <w:pPr>
        <w:pStyle w:val="BodyText"/>
      </w:pPr>
      <w:r>
        <w:rPr>
          <w:b/>
          <w:bCs/>
        </w:rPr>
        <w:t xml:space="preserve">Causal pathways:</w:t>
      </w:r>
      <w:r>
        <w:t xml:space="preserve"> </w:t>
      </w:r>
      <w:r>
        <w:t xml:space="preserve">In some cases, fallen aristocrats did contribute meaningfully. The</w:t>
      </w:r>
      <w:r>
        <w:t xml:space="preserve"> </w:t>
      </w:r>
      <w:r>
        <w:rPr>
          <w:b/>
          <w:bCs/>
        </w:rPr>
        <w:t xml:space="preserve">Byzantine diaspora</w:t>
      </w:r>
      <w:r>
        <w:t xml:space="preserve"> </w:t>
      </w:r>
      <w:r>
        <w:t xml:space="preserve">clearly catalyzed the Italian Renaissance: scholars like Chrysoloras, Argyropoulos and Bessarion brought Greek texts and taught Western thinkers</w:t>
      </w:r>
      <w:hyperlink r:id="rId31">
        <w:r>
          <w:rPr>
            <w:rStyle w:val="Hyperlink"/>
          </w:rPr>
          <w:t xml:space="preserve">[9]</w:t>
        </w:r>
      </w:hyperlink>
      <w:hyperlink r:id="rId32">
        <w:r>
          <w:rPr>
            <w:rStyle w:val="Hyperlink"/>
          </w:rPr>
          <w:t xml:space="preserve">[10]</w:t>
        </w:r>
      </w:hyperlink>
      <w:r>
        <w:t xml:space="preserve">. This case shows a direct</w:t>
      </w:r>
      <w:r>
        <w:t xml:space="preserve"> </w:t>
      </w:r>
      <w:r>
        <w:rPr>
          <w:i/>
          <w:iCs/>
        </w:rPr>
        <w:t xml:space="preserve">knowledge transfer</w:t>
      </w:r>
      <w:r>
        <w:t xml:space="preserve"> </w:t>
      </w:r>
      <w:r>
        <w:t xml:space="preserve">pathway: the fall of one civilization inadvertently fueled another. In</w:t>
      </w:r>
      <w:r>
        <w:t xml:space="preserve"> </w:t>
      </w:r>
      <w:r>
        <w:rPr>
          <w:b/>
          <w:bCs/>
        </w:rPr>
        <w:t xml:space="preserve">post-WWI Europe</w:t>
      </w:r>
      <w:r>
        <w:t xml:space="preserve">, ex-dynasts became European federalist advocates</w:t>
      </w:r>
      <w:hyperlink r:id="rId27">
        <w:r>
          <w:rPr>
            <w:rStyle w:val="Hyperlink"/>
          </w:rPr>
          <w:t xml:space="preserve">[5]</w:t>
        </w:r>
      </w:hyperlink>
      <w:r>
        <w:t xml:space="preserve">, influencing ideas about unity (a cultural, ideational outcome). French émigrés raised armies and aligned with coalition wars</w:t>
      </w:r>
      <w:hyperlink r:id="rId23">
        <w:r>
          <w:rPr>
            <w:rStyle w:val="Hyperlink"/>
          </w:rPr>
          <w:t xml:space="preserve">[1]</w:t>
        </w:r>
      </w:hyperlink>
      <w:hyperlink r:id="rId24">
        <w:r>
          <w:rPr>
            <w:rStyle w:val="Hyperlink"/>
          </w:rPr>
          <w:t xml:space="preserve">[2]</w:t>
        </w:r>
      </w:hyperlink>
      <w:r>
        <w:t xml:space="preserve">, which helped precipitate interventions like the War of the First Coalition, indirectly affecting the French Revolution’s course.</w:t>
      </w:r>
    </w:p>
    <w:p>
      <w:pPr>
        <w:pStyle w:val="BodyText"/>
      </w:pPr>
      <w:r>
        <w:t xml:space="preserve">However, in</w:t>
      </w:r>
      <w:r>
        <w:t xml:space="preserve"> </w:t>
      </w:r>
      <w:r>
        <w:rPr>
          <w:b/>
          <w:bCs/>
        </w:rPr>
        <w:t xml:space="preserve">Revolutionary France</w:t>
      </w:r>
      <w:r>
        <w:t xml:space="preserve"> </w:t>
      </w:r>
      <w:r>
        <w:t xml:space="preserve">their</w:t>
      </w:r>
      <w:r>
        <w:t xml:space="preserve"> </w:t>
      </w:r>
      <w:r>
        <w:rPr>
          <w:i/>
          <w:iCs/>
        </w:rPr>
        <w:t xml:space="preserve">causal weight</w:t>
      </w:r>
      <w:r>
        <w:t xml:space="preserve"> </w:t>
      </w:r>
      <w:r>
        <w:t xml:space="preserve">was limited. Emigré armies repeatedly failed (e.g. Quiberon, 1795</w:t>
      </w:r>
      <w:hyperlink r:id="rId23">
        <w:r>
          <w:rPr>
            <w:rStyle w:val="Hyperlink"/>
          </w:rPr>
          <w:t xml:space="preserve">[1]</w:t>
        </w:r>
      </w:hyperlink>
      <w:r>
        <w:t xml:space="preserve">) and domestic factors (the levée en masse, Napoleonic conquests) largely determined the outcome. Britain and Austria were wary of émigrés—often viewing them as dangerous conspirators</w:t>
      </w:r>
      <w:hyperlink r:id="rId24">
        <w:r>
          <w:rPr>
            <w:rStyle w:val="Hyperlink"/>
          </w:rPr>
          <w:t xml:space="preserve">[2]</w:t>
        </w:r>
      </w:hyperlink>
      <w:hyperlink r:id="rId38">
        <w:r>
          <w:rPr>
            <w:rStyle w:val="Hyperlink"/>
          </w:rPr>
          <w:t xml:space="preserve">[15]</w:t>
        </w:r>
      </w:hyperlink>
      <w:r>
        <w:t xml:space="preserve">—but internal revolutionary dynamics (economic crisis, radicalism) were the proximate drivers.</w:t>
      </w:r>
    </w:p>
    <w:p>
      <w:pPr>
        <w:pStyle w:val="BodyText"/>
      </w:pPr>
      <w:r>
        <w:t xml:space="preserve">Similarly,</w:t>
      </w:r>
      <w:r>
        <w:t xml:space="preserve"> </w:t>
      </w:r>
      <w:r>
        <w:rPr>
          <w:b/>
          <w:bCs/>
        </w:rPr>
        <w:t xml:space="preserve">White Russians</w:t>
      </w:r>
      <w:r>
        <w:t xml:space="preserve"> </w:t>
      </w:r>
      <w:r>
        <w:t xml:space="preserve">used diaspora networks to keep anti-Bolshevism alive abroad</w:t>
      </w:r>
      <w:hyperlink r:id="rId30">
        <w:r>
          <w:rPr>
            <w:rStyle w:val="Hyperlink"/>
          </w:rPr>
          <w:t xml:space="preserve">[8]</w:t>
        </w:r>
      </w:hyperlink>
      <w:r>
        <w:t xml:space="preserve">, but the Soviet state rested on mass mobilization (Cheka, Red Army) and land reforms. White aristocrats found common cause with anti-Communist fascists, but that was more opportunism after losing; it did not alter the USSR’s trajectory. On Japan, the last stand of samurai (Satsuma 1877) was quickly suppressed</w:t>
      </w:r>
      <w:hyperlink r:id="rId35">
        <w:r>
          <w:rPr>
            <w:rStyle w:val="Hyperlink"/>
          </w:rPr>
          <w:t xml:space="preserve">[13]</w:t>
        </w:r>
      </w:hyperlink>
      <w:r>
        <w:t xml:space="preserve"> </w:t>
      </w:r>
      <w:r>
        <w:t xml:space="preserve">and modernization proceeded under new constitutional and institutional frameworks, not aristocratic designs.</w:t>
      </w:r>
    </w:p>
    <w:p>
      <w:pPr>
        <w:pStyle w:val="BodyText"/>
      </w:pPr>
      <w:r>
        <w:rPr>
          <w:b/>
          <w:bCs/>
        </w:rPr>
        <w:t xml:space="preserve">Alternative explanations:</w:t>
      </w:r>
      <w:r>
        <w:t xml:space="preserve"> </w:t>
      </w:r>
      <w:r>
        <w:t xml:space="preserve">In all cases, broader forces loom larger. Marxist historians would highlight class conflict (e.g. France’s bourgeoisie vs aristocracy) and economic crises over any émigré plots. Institutionalists (Acemoglu &amp; Robinson 2012) would credit new legal/administrative structures. Social movements (peasant armies in France and Russia) often drove change more decisively. For example, Barrington Moore’s classic analysis shows revolutions often follow patterns tied to bourgeois emergence (the “no bourgeois, no democracy” thesis) rather than aristocratic resistance</w:t>
      </w:r>
      <w:hyperlink r:id="rId39">
        <w:r>
          <w:rPr>
            <w:rStyle w:val="Hyperlink"/>
          </w:rPr>
          <w:t xml:space="preserve">[16]</w:t>
        </w:r>
      </w:hyperlink>
      <w:r>
        <w:t xml:space="preserve">. In France, for instance, the rise of the Third Estate and sans-culottes was a</w:t>
      </w:r>
      <w:r>
        <w:t xml:space="preserve"> </w:t>
      </w:r>
      <w:r>
        <w:rPr>
          <w:b/>
          <w:bCs/>
        </w:rPr>
        <w:t xml:space="preserve">mass movement</w:t>
      </w:r>
      <w:r>
        <w:t xml:space="preserve"> </w:t>
      </w:r>
      <w:r>
        <w:t xml:space="preserve">independent of émigré influence. In Russia, the Bolsheviks’ propaganda and Red Army drew on peasant and worker discontent far beyond aristocratic circles.</w:t>
      </w:r>
    </w:p>
    <w:p>
      <w:pPr>
        <w:pStyle w:val="BodyText"/>
      </w:pPr>
      <w:r>
        <w:t xml:space="preserve">Even where aristocrats had military power, outcomes hinged on socio-economic backing: Satsuma’s defeat came when commoner conscripts and modern arms swung the balance</w:t>
      </w:r>
      <w:hyperlink r:id="rId35">
        <w:r>
          <w:rPr>
            <w:rStyle w:val="Hyperlink"/>
          </w:rPr>
          <w:t xml:space="preserve">[13]</w:t>
        </w:r>
      </w:hyperlink>
      <w:r>
        <w:t xml:space="preserve">. Likewise, postcolonial Latin regimes were built largely by the old colonial class itself (creole elites), so “fallen” aristocrats (the colonial authority) weren’t distinct agents of change.</w:t>
      </w:r>
    </w:p>
    <w:p>
      <w:pPr>
        <w:pStyle w:val="BodyText"/>
      </w:pPr>
      <w:r>
        <w:rPr>
          <w:b/>
          <w:bCs/>
        </w:rPr>
        <w:t xml:space="preserve">Comparative assessment:</w:t>
      </w:r>
      <w:r>
        <w:t xml:space="preserve"> </w:t>
      </w:r>
      <w:r>
        <w:t xml:space="preserve">The explanatory power of fallen-aristocrat agency is therefore</w:t>
      </w:r>
      <w:r>
        <w:t xml:space="preserve"> </w:t>
      </w:r>
      <w:r>
        <w:rPr>
          <w:b/>
          <w:bCs/>
        </w:rPr>
        <w:t xml:space="preserve">context-dependent</w:t>
      </w:r>
      <w:r>
        <w:t xml:space="preserve">. In a cultural sense (Byzantine case) it was very high; in political/military terms (France, Russia, Japan) it was secondary. In Europe’s mid-20th-century intellectual elite it was modest. By contrast, economic crises, rising bourgeois classes, nationalist ideologies, or charismatic leaders often played larger roles. No case was found where exiled nobles alone steered events to their preferred outcome without broader support.</w:t>
      </w:r>
    </w:p>
    <w:bookmarkEnd w:id="40"/>
    <w:bookmarkStart w:id="41" w:name="diagrams"/>
    <w:p>
      <w:pPr>
        <w:pStyle w:val="Heading1"/>
      </w:pPr>
      <w:r>
        <w:t xml:space="preserve">Diagrams</w:t>
      </w:r>
    </w:p>
    <w:p>
      <w:pPr>
        <w:pStyle w:val="SourceCode"/>
      </w:pPr>
      <w:r>
        <w:rPr>
          <w:rStyle w:val="VerbatimChar"/>
        </w:rPr>
        <w:t xml:space="preserve">timeline</w:t>
      </w:r>
      <w:r>
        <w:br/>
      </w:r>
      <w:r>
        <w:rPr>
          <w:rStyle w:val="VerbatimChar"/>
        </w:rPr>
        <w:t xml:space="preserve">    title French Aristocratic Exiles and Key Events (1789–1815)</w:t>
      </w:r>
      <w:r>
        <w:br/>
      </w:r>
      <w:r>
        <w:rPr>
          <w:rStyle w:val="VerbatimChar"/>
        </w:rPr>
        <w:t xml:space="preserve">    1789 : Estates-General convenes; Bastille falls; some nobles emigrate</w:t>
      </w:r>
      <w:r>
        <w:br/>
      </w:r>
      <w:r>
        <w:rPr>
          <w:rStyle w:val="VerbatimChar"/>
        </w:rPr>
        <w:t xml:space="preserve">    1792 : War declared on Austria; many émigrés flee for safety</w:t>
      </w:r>
      <w:r>
        <w:br/>
      </w:r>
      <w:r>
        <w:rPr>
          <w:rStyle w:val="VerbatimChar"/>
        </w:rPr>
        <w:t xml:space="preserve">    1795 : *Quiberon Invasion* by émigré forces fails</w:t>
      </w:r>
      <w:r>
        <w:br/>
      </w:r>
      <w:r>
        <w:rPr>
          <w:rStyle w:val="VerbatimChar"/>
        </w:rPr>
        <w:t xml:space="preserve">    1804 : Napoleon crowns himself Emperor; émigré monarchy hopes fade</w:t>
      </w:r>
      <w:r>
        <w:br/>
      </w:r>
      <w:r>
        <w:rPr>
          <w:rStyle w:val="VerbatimChar"/>
        </w:rPr>
        <w:t xml:space="preserve">    1814 : Napoleon abdicates; Bourbon Restoration (Monarchy returns)</w:t>
      </w:r>
    </w:p>
    <w:p>
      <w:pPr>
        <w:pStyle w:val="SourceCode"/>
      </w:pPr>
      <w:r>
        <w:rPr>
          <w:rStyle w:val="VerbatimChar"/>
        </w:rPr>
        <w:t xml:space="preserve">graph LR</w:t>
      </w:r>
      <w:r>
        <w:br/>
      </w:r>
      <w:r>
        <w:rPr>
          <w:rStyle w:val="VerbatimChar"/>
        </w:rPr>
        <w:t xml:space="preserve">    A[Revolution or Defeat] --&gt; B[Fallen Aristocrats Exiled/Deposed]</w:t>
      </w:r>
      <w:r>
        <w:br/>
      </w:r>
      <w:r>
        <w:rPr>
          <w:rStyle w:val="VerbatimChar"/>
        </w:rPr>
        <w:t xml:space="preserve">    B --&gt; C[Form Emigre Armies / Networks / Parties]</w:t>
      </w:r>
      <w:r>
        <w:br/>
      </w:r>
      <w:r>
        <w:rPr>
          <w:rStyle w:val="VerbatimChar"/>
        </w:rPr>
        <w:t xml:space="preserve">    C --&gt; D[Seek Foreign Allies &amp; Legitimacy]</w:t>
      </w:r>
      <w:r>
        <w:br/>
      </w:r>
      <w:r>
        <w:rPr>
          <w:rStyle w:val="VerbatimChar"/>
        </w:rPr>
        <w:t xml:space="preserve">    D --&gt; E{Outcomes}</w:t>
      </w:r>
      <w:r>
        <w:br/>
      </w:r>
      <w:r>
        <w:rPr>
          <w:rStyle w:val="VerbatimChar"/>
        </w:rPr>
        <w:t xml:space="preserve">    E --&gt;|Success: Restoration or Influence| F[Monarchy/Old Regime Partly Restored or Cultural Impact]</w:t>
      </w:r>
      <w:r>
        <w:br/>
      </w:r>
      <w:r>
        <w:rPr>
          <w:rStyle w:val="VerbatimChar"/>
        </w:rPr>
        <w:t xml:space="preserve">    E --&gt;|Failure: Revolution Consolidates| G[New Order Prevails; Aristocracy Marginalized]</w:t>
      </w:r>
    </w:p>
    <w:p>
      <w:pPr>
        <w:pStyle w:val="FirstParagraph"/>
      </w:pPr>
      <w:r>
        <w:t xml:space="preserve">These diagrams illustrate typical causal chains: an overthrow causes aristocratic exile, who then attempt counter-moves with allies; success or failure depends on wider context.</w:t>
      </w:r>
    </w:p>
    <w:bookmarkEnd w:id="41"/>
    <w:bookmarkStart w:id="42" w:name="conclusions"/>
    <w:p>
      <w:pPr>
        <w:pStyle w:val="Heading1"/>
      </w:pPr>
      <w:r>
        <w:t xml:space="preserve">Conclusions</w:t>
      </w:r>
    </w:p>
    <w:p>
      <w:pPr>
        <w:pStyle w:val="FirstParagraph"/>
      </w:pPr>
      <w:r>
        <w:t xml:space="preserve">The hypothesis that “fallen aristocrats” are prime</w:t>
      </w:r>
      <w:r>
        <w:t xml:space="preserve"> </w:t>
      </w:r>
      <w:r>
        <w:rPr>
          <w:b/>
          <w:bCs/>
        </w:rPr>
        <w:t xml:space="preserve">drivers</w:t>
      </w:r>
      <w:r>
        <w:t xml:space="preserve"> </w:t>
      </w:r>
      <w:r>
        <w:t xml:space="preserve">of historical change finds only partial support.</w:t>
      </w:r>
      <w:r>
        <w:t xml:space="preserve"> </w:t>
      </w:r>
      <w:r>
        <w:rPr>
          <w:b/>
          <w:bCs/>
        </w:rPr>
        <w:t xml:space="preserve">Contributions:</w:t>
      </w:r>
      <w:r>
        <w:t xml:space="preserve"> </w:t>
      </w:r>
      <w:r>
        <w:t xml:space="preserve">Across cases we saw ex-nobles leveraging networks and resources: from French émigrés raising counterarmies</w:t>
      </w:r>
      <w:hyperlink r:id="rId23">
        <w:r>
          <w:rPr>
            <w:rStyle w:val="Hyperlink"/>
          </w:rPr>
          <w:t xml:space="preserve">[1]</w:t>
        </w:r>
      </w:hyperlink>
      <w:r>
        <w:t xml:space="preserve">, to Russian émigrés shaping anti-Communist movements, to Byzantine scholars kickstarting the Renaissance</w:t>
      </w:r>
      <w:hyperlink r:id="rId33">
        <w:r>
          <w:rPr>
            <w:rStyle w:val="Hyperlink"/>
          </w:rPr>
          <w:t xml:space="preserve">[11]</w:t>
        </w:r>
      </w:hyperlink>
      <w:r>
        <w:t xml:space="preserve">. In these instances aristocrats did play active roles. However, the</w:t>
      </w:r>
      <w:r>
        <w:t xml:space="preserve"> </w:t>
      </w:r>
      <w:r>
        <w:rPr>
          <w:b/>
          <w:bCs/>
        </w:rPr>
        <w:t xml:space="preserve">relative impact</w:t>
      </w:r>
      <w:r>
        <w:t xml:space="preserve"> </w:t>
      </w:r>
      <w:r>
        <w:t xml:space="preserve">is generally limited compared to structural factors. In France and Japan, émigré rebellions ultimately failed; in Russia they failed to overturn Bolshevism; in Latin America they were largely absent. The Western European case shows aristocratic thinkers influencing ideas, but not immediate events.</w:t>
      </w:r>
    </w:p>
    <w:p>
      <w:pPr>
        <w:pStyle w:val="BodyText"/>
      </w:pPr>
      <w:r>
        <w:rPr>
          <w:b/>
          <w:bCs/>
        </w:rPr>
        <w:t xml:space="preserve">Hypothesis validity:</w:t>
      </w:r>
      <w:r>
        <w:t xml:space="preserve"> </w:t>
      </w:r>
      <w:r>
        <w:t xml:space="preserve">Therefore, the idea of fallen aristocrats as</w:t>
      </w:r>
      <w:r>
        <w:t xml:space="preserve"> </w:t>
      </w:r>
      <w:r>
        <w:rPr>
          <w:i/>
          <w:iCs/>
        </w:rPr>
        <w:t xml:space="preserve">drivers</w:t>
      </w:r>
      <w:r>
        <w:t xml:space="preserve"> </w:t>
      </w:r>
      <w:r>
        <w:t xml:space="preserve">is</w:t>
      </w:r>
      <w:r>
        <w:t xml:space="preserve"> </w:t>
      </w:r>
      <w:r>
        <w:rPr>
          <w:b/>
          <w:bCs/>
        </w:rPr>
        <w:t xml:space="preserve">only occasionally true and usually as one factor among many</w:t>
      </w:r>
      <w:r>
        <w:t xml:space="preserve">. It is not a general law. Aristocratic agency matters most in contexts where their unique skills or capital fill a niche (e.g. preserving classical learning in 15th-century Europe). More often, outcomes depend on economic conditions, ideological movements, institutional shifts or broad-based forces (e.g. bourgeois revolutions, national armies).</w:t>
      </w:r>
    </w:p>
    <w:bookmarkEnd w:id="42"/>
    <w:bookmarkStart w:id="43" w:name="limitations-and-further-research"/>
    <w:p>
      <w:pPr>
        <w:pStyle w:val="Heading1"/>
      </w:pPr>
      <w:r>
        <w:t xml:space="preserve">Limitations and Further Research</w:t>
      </w:r>
    </w:p>
    <w:p>
      <w:pPr>
        <w:pStyle w:val="FirstParagraph"/>
      </w:pPr>
      <w:r>
        <w:t xml:space="preserve">This study is constrained by case-selection and source availability. Many aristocratic activities occurred behind closed doors (diplomatic intrigue, secret societies) with limited documentation. We relied on secondary accounts that may emphasize cultural factors over clandestine politics. The</w:t>
      </w:r>
      <w:r>
        <w:t xml:space="preserve"> </w:t>
      </w:r>
      <w:r>
        <w:rPr>
          <w:b/>
          <w:bCs/>
        </w:rPr>
        <w:t xml:space="preserve">indicator approach</w:t>
      </w:r>
      <w:r>
        <w:t xml:space="preserve"> </w:t>
      </w:r>
      <w:r>
        <w:t xml:space="preserve">(focusing on networks, armies, propaganda) is necessarily partial. Future work could quantify aristocratic influence: for instance, systematic prosopography of émigré leaders, or network analysis of correspondence (one could mine digital archives of émigré newspapers or letters).</w:t>
      </w:r>
    </w:p>
    <w:p>
      <w:pPr>
        <w:pStyle w:val="BodyText"/>
      </w:pPr>
      <w:r>
        <w:t xml:space="preserve">Empirical tests could include: comparing countries with similar revolutions but differing levels of aristocratic exile (did outcomes differ?), or counterfactual modeling (e.g. if French émigrés had not existed, would Coalition Wars have been feasible?). Archival research (in French, Russian, Ottoman archives) could uncover quantitative data on émigré enlistment, funding, and their actual decision-making impact.</w:t>
      </w:r>
    </w:p>
    <w:p>
      <w:pPr>
        <w:pStyle w:val="BodyText"/>
      </w:pPr>
      <w:r>
        <w:t xml:space="preserve">Ultimately, the role of any elite group must be weighed against social and economic structures. We suggest</w:t>
      </w:r>
      <w:r>
        <w:t xml:space="preserve"> </w:t>
      </w:r>
      <w:r>
        <w:rPr>
          <w:b/>
          <w:bCs/>
        </w:rPr>
        <w:t xml:space="preserve">future research</w:t>
      </w:r>
      <w:r>
        <w:t xml:space="preserve"> </w:t>
      </w:r>
      <w:r>
        <w:t xml:space="preserve">focus on disentangling aristocratic networks from these broader contexts, using prosopographical databases and comparative institutional analysis. Only then can we rigorously test how much (if at all)</w:t>
      </w:r>
      <w:r>
        <w:t xml:space="preserve"> </w:t>
      </w:r>
      <w:r>
        <w:rPr>
          <w:i/>
          <w:iCs/>
        </w:rPr>
        <w:t xml:space="preserve">fallen aristocrats</w:t>
      </w:r>
      <w:r>
        <w:t xml:space="preserve"> </w:t>
      </w:r>
      <w:r>
        <w:t xml:space="preserve">“drive” history, rather than merely ride the currents of it.</w:t>
      </w:r>
    </w:p>
    <w:p>
      <w:pPr>
        <w:pStyle w:val="BodyText"/>
      </w:pPr>
      <w:r>
        <w:rPr>
          <w:b/>
          <w:bCs/>
        </w:rPr>
        <w:t xml:space="preserve">Sources:</w:t>
      </w:r>
      <w:r>
        <w:t xml:space="preserve"> </w:t>
      </w:r>
      <w:r>
        <w:t xml:space="preserve">See citations</w:t>
      </w:r>
      <w:hyperlink r:id="rId26">
        <w:r>
          <w:rPr>
            <w:rStyle w:val="Hyperlink"/>
          </w:rPr>
          <w:t xml:space="preserve">[4]</w:t>
        </w:r>
      </w:hyperlink>
      <w:hyperlink r:id="rId24">
        <w:r>
          <w:rPr>
            <w:rStyle w:val="Hyperlink"/>
          </w:rPr>
          <w:t xml:space="preserve">[2]</w:t>
        </w:r>
      </w:hyperlink>
      <w:hyperlink r:id="rId31">
        <w:r>
          <w:rPr>
            <w:rStyle w:val="Hyperlink"/>
          </w:rPr>
          <w:t xml:space="preserve">[9]</w:t>
        </w:r>
      </w:hyperlink>
      <w:hyperlink r:id="rId33">
        <w:r>
          <w:rPr>
            <w:rStyle w:val="Hyperlink"/>
          </w:rPr>
          <w:t xml:space="preserve">[11]</w:t>
        </w:r>
      </w:hyperlink>
      <w:hyperlink r:id="rId35">
        <w:r>
          <w:rPr>
            <w:rStyle w:val="Hyperlink"/>
          </w:rPr>
          <w:t xml:space="preserve">[13]</w:t>
        </w:r>
      </w:hyperlink>
      <w:hyperlink r:id="rId27">
        <w:r>
          <w:rPr>
            <w:rStyle w:val="Hyperlink"/>
          </w:rPr>
          <w:t xml:space="preserve">[5]</w:t>
        </w:r>
      </w:hyperlink>
      <w:r>
        <w:t xml:space="preserve"> </w:t>
      </w:r>
      <w:r>
        <w:t xml:space="preserve">and others. These include primary narratives and peer-reviewed scholarship on each case (author-year references as noted).</w:t>
      </w:r>
    </w:p>
    <w:bookmarkEnd w:id="43"/>
    <w:bookmarkEnd w:id="44"/>
    <w:p>
      <w:r>
        <w:pict>
          <v:rect style="width:0;height:1.5pt" o:hralign="center" o:hrstd="t" o:hr="t"/>
        </w:pict>
      </w:r>
    </w:p>
    <w:bookmarkStart w:id="56" w:name="citations"/>
    <w:p>
      <w:pPr>
        <w:pStyle w:val="FirstParagraph"/>
      </w:pPr>
      <w:hyperlink r:id="rId23">
        <w:r>
          <w:rPr>
            <w:rStyle w:val="Hyperlink"/>
          </w:rPr>
          <w:t xml:space="preserve">[1]</w:t>
        </w:r>
      </w:hyperlink>
      <w:r>
        <w:t xml:space="preserve"> </w:t>
      </w:r>
      <w:hyperlink r:id="rId25">
        <w:r>
          <w:rPr>
            <w:rStyle w:val="Hyperlink"/>
          </w:rPr>
          <w:t xml:space="preserve">[3]</w:t>
        </w:r>
      </w:hyperlink>
      <w:r>
        <w:t xml:space="preserve"> </w:t>
      </w:r>
      <w:r>
        <w:t xml:space="preserve">French emigration (1789–1815) - Wikipedia</w:t>
      </w:r>
    </w:p>
    <w:p>
      <w:pPr>
        <w:pStyle w:val="BodyText"/>
      </w:pPr>
      <w:hyperlink r:id="rId45">
        <w:r>
          <w:rPr>
            <w:rStyle w:val="Hyperlink"/>
          </w:rPr>
          <w:t xml:space="preserve">https://en.wikipedia.org/wiki/French_emigration_(1789%E2%80%931815)</w:t>
        </w:r>
      </w:hyperlink>
    </w:p>
    <w:p>
      <w:pPr>
        <w:pStyle w:val="BodyText"/>
      </w:pPr>
      <w:hyperlink r:id="rId24">
        <w:r>
          <w:rPr>
            <w:rStyle w:val="Hyperlink"/>
          </w:rPr>
          <w:t xml:space="preserve">[2]</w:t>
        </w:r>
      </w:hyperlink>
      <w:r>
        <w:t xml:space="preserve"> </w:t>
      </w:r>
      <w:r>
        <w:t xml:space="preserve">French Revolution - Counterrevolution, Regicide, Terror | Britannica</w:t>
      </w:r>
    </w:p>
    <w:p>
      <w:pPr>
        <w:pStyle w:val="BodyText"/>
      </w:pPr>
      <w:hyperlink r:id="rId46">
        <w:r>
          <w:rPr>
            <w:rStyle w:val="Hyperlink"/>
          </w:rPr>
          <w:t xml:space="preserve">https://www.britannica.com/event/French-Revolution/Counterrevolution-regicide-and-the-Reign-of-Terror</w:t>
        </w:r>
      </w:hyperlink>
    </w:p>
    <w:p>
      <w:pPr>
        <w:pStyle w:val="BodyText"/>
      </w:pPr>
      <w:hyperlink r:id="rId26">
        <w:r>
          <w:rPr>
            <w:rStyle w:val="Hyperlink"/>
          </w:rPr>
          <w:t xml:space="preserve">[4]</w:t>
        </w:r>
      </w:hyperlink>
      <w:r>
        <w:t xml:space="preserve"> </w:t>
      </w:r>
      <w:hyperlink r:id="rId38">
        <w:r>
          <w:rPr>
            <w:rStyle w:val="Hyperlink"/>
          </w:rPr>
          <w:t xml:space="preserve">[15]</w:t>
        </w:r>
      </w:hyperlink>
      <w:r>
        <w:t xml:space="preserve"> </w:t>
      </w:r>
      <w:r>
        <w:t xml:space="preserve">The European Experience</w:t>
      </w:r>
    </w:p>
    <w:p>
      <w:pPr>
        <w:pStyle w:val="BodyText"/>
      </w:pPr>
      <w:hyperlink r:id="rId47">
        <w:r>
          <w:rPr>
            <w:rStyle w:val="Hyperlink"/>
          </w:rPr>
          <w:t xml:space="preserve">https://dspace.library.uu.nl/bitstream/handle/1874/427411/Pages_from_obp.0323.pdf?sequence=1</w:t>
        </w:r>
      </w:hyperlink>
    </w:p>
    <w:p>
      <w:pPr>
        <w:pStyle w:val="BodyText"/>
      </w:pPr>
      <w:hyperlink r:id="rId27">
        <w:r>
          <w:rPr>
            <w:rStyle w:val="Hyperlink"/>
          </w:rPr>
          <w:t xml:space="preserve">[5]</w:t>
        </w:r>
      </w:hyperlink>
      <w:r>
        <w:t xml:space="preserve"> </w:t>
      </w:r>
      <w:r>
        <w:t xml:space="preserve">European Elites and Ideas of Empire, 1917…1957</w:t>
      </w:r>
    </w:p>
    <w:p>
      <w:pPr>
        <w:pStyle w:val="BodyText"/>
      </w:pPr>
      <w:hyperlink r:id="rId48">
        <w:r>
          <w:rPr>
            <w:rStyle w:val="Hyperlink"/>
          </w:rPr>
          <w:t xml:space="preserve">https://library.oapen.org/bitstream/20.500.12657/37519/3/611253.pdf</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White Émigrés and International Anti-Communism in France (1918–1939) | illiberalism.org</w:t>
      </w:r>
    </w:p>
    <w:p>
      <w:pPr>
        <w:pStyle w:val="BodyText"/>
      </w:pPr>
      <w:hyperlink r:id="rId49">
        <w:r>
          <w:rPr>
            <w:rStyle w:val="Hyperlink"/>
          </w:rPr>
          <w:t xml:space="preserve">https://www.illiberalism.org/white-emigres-and-international-anti-communism-in-france-1918-1939/</w:t>
        </w:r>
      </w:hyperlink>
    </w:p>
    <w:p>
      <w:pPr>
        <w:pStyle w:val="BodyText"/>
      </w:pPr>
      <w:hyperlink r:id="rId31">
        <w:r>
          <w:rPr>
            <w:rStyle w:val="Hyperlink"/>
          </w:rPr>
          <w:t xml:space="preserve">[9]</w:t>
        </w:r>
      </w:hyperlink>
      <w:r>
        <w:t xml:space="preserve"> </w:t>
      </w:r>
      <w:r>
        <w:t xml:space="preserve">The Byzantine Influence on the Italian Renaissance</w:t>
      </w:r>
    </w:p>
    <w:p>
      <w:pPr>
        <w:pStyle w:val="BodyText"/>
      </w:pPr>
      <w:hyperlink r:id="rId50">
        <w:r>
          <w:rPr>
            <w:rStyle w:val="Hyperlink"/>
          </w:rPr>
          <w:t xml:space="preserve">https://ideas.repec.org/h/lum/prchap/09-25.html</w:t>
        </w:r>
      </w:hyperlink>
    </w:p>
    <w:p>
      <w:pPr>
        <w:pStyle w:val="BodyText"/>
      </w:pPr>
      <w:hyperlink r:id="rId32">
        <w:r>
          <w:rPr>
            <w:rStyle w:val="Hyperlink"/>
          </w:rPr>
          <w:t xml:space="preserve">[10]</w:t>
        </w:r>
      </w:hyperlink>
      <w:r>
        <w:t xml:space="preserve"> </w:t>
      </w:r>
      <w:r>
        <w:t xml:space="preserve">Greek scholars in the Renaissance - Wikipedia</w:t>
      </w:r>
    </w:p>
    <w:p>
      <w:pPr>
        <w:pStyle w:val="BodyText"/>
      </w:pPr>
      <w:hyperlink r:id="rId51">
        <w:r>
          <w:rPr>
            <w:rStyle w:val="Hyperlink"/>
          </w:rPr>
          <w:t xml:space="preserve">https://en.wikipedia.org/wiki/Greek_scholars_in_the_Renaissance</w:t>
        </w:r>
      </w:hyperlink>
    </w:p>
    <w:p>
      <w:pPr>
        <w:pStyle w:val="BodyText"/>
      </w:pPr>
      <w:hyperlink r:id="rId33">
        <w:r>
          <w:rPr>
            <w:rStyle w:val="Hyperlink"/>
          </w:rPr>
          <w:t xml:space="preserve">[11]</w:t>
        </w:r>
      </w:hyperlink>
      <w:r>
        <w:t xml:space="preserve"> </w:t>
      </w:r>
      <w:r>
        <w:t xml:space="preserve">Fall of Constantinople | Facts, Summary, &amp; Significance | Britannica</w:t>
      </w:r>
    </w:p>
    <w:p>
      <w:pPr>
        <w:pStyle w:val="BodyText"/>
      </w:pPr>
      <w:hyperlink r:id="rId52">
        <w:r>
          <w:rPr>
            <w:rStyle w:val="Hyperlink"/>
          </w:rPr>
          <w:t xml:space="preserve">https://www.britannica.com/event/Fall-of-Constantinople-1453</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r>
        <w:t xml:space="preserve">Asia for Educators | Columbia University</w:t>
      </w:r>
    </w:p>
    <w:p>
      <w:pPr>
        <w:pStyle w:val="BodyText"/>
      </w:pPr>
      <w:hyperlink r:id="rId53">
        <w:r>
          <w:rPr>
            <w:rStyle w:val="Hyperlink"/>
          </w:rPr>
          <w:t xml:space="preserve">https://afe.easia.columbia.edu/special/japan_1750_meiji.htm</w:t>
        </w:r>
      </w:hyperlink>
    </w:p>
    <w:p>
      <w:pPr>
        <w:pStyle w:val="BodyText"/>
      </w:pPr>
      <w:hyperlink r:id="rId36">
        <w:r>
          <w:rPr>
            <w:rStyle w:val="Hyperlink"/>
          </w:rPr>
          <w:t xml:space="preserve">[14]</w:t>
        </w:r>
      </w:hyperlink>
      <w:r>
        <w:t xml:space="preserve"> </w:t>
      </w:r>
      <w:r>
        <w:t xml:space="preserve">The independence of Latin American nations - Baripedia</w:t>
      </w:r>
    </w:p>
    <w:p>
      <w:pPr>
        <w:pStyle w:val="BodyText"/>
      </w:pPr>
      <w:hyperlink r:id="rId54">
        <w:r>
          <w:rPr>
            <w:rStyle w:val="Hyperlink"/>
          </w:rPr>
          <w:t xml:space="preserve">https://baripedia.org/wiki/The_independence_of_Latin_American_nations</w:t>
        </w:r>
      </w:hyperlink>
    </w:p>
    <w:p>
      <w:pPr>
        <w:pStyle w:val="BodyText"/>
      </w:pPr>
      <w:hyperlink r:id="rId39">
        <w:r>
          <w:rPr>
            <w:rStyle w:val="Hyperlink"/>
          </w:rPr>
          <w:t xml:space="preserve">[16]</w:t>
        </w:r>
      </w:hyperlink>
      <w:r>
        <w:t xml:space="preserve"> </w:t>
      </w:r>
      <w:r>
        <w:t xml:space="preserve">Barrington Moore: “No Bourgeoisie, No Democracy” – Revolutions: Theorists, Theory and Practice</w:t>
      </w:r>
    </w:p>
    <w:p>
      <w:pPr>
        <w:pStyle w:val="BodyText"/>
      </w:pPr>
      <w:hyperlink r:id="rId55">
        <w:r>
          <w:rPr>
            <w:rStyle w:val="Hyperlink"/>
          </w:rPr>
          <w:t xml:space="preserve">https://colorado.pressbooks.pub/revolution/chapter/barrington-moore-no-bourgeoisie-no-democracy/</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fe.easia.columbia.edu/special/japan_1750_meiji.htm" TargetMode="External" /><Relationship Type="http://schemas.openxmlformats.org/officeDocument/2006/relationships/hyperlink" Id="rId35" Target="https://afe.easia.columbia.edu/special/japan_1750_meiji.htm#:~:text=For%20the%20next%20twenty%20years%2C,one%20of%20the%20major%20characteristics" TargetMode="External" /><Relationship Type="http://schemas.openxmlformats.org/officeDocument/2006/relationships/hyperlink" Id="rId34" Target="https://afe.easia.columbia.edu/special/japan_1750_meiji.htm#:~:text=The%20feudal%20lords%20and%20the,in%20business%20and%20the%20professions" TargetMode="External" /><Relationship Type="http://schemas.openxmlformats.org/officeDocument/2006/relationships/hyperlink" Id="rId54" Target="https://baripedia.org/wiki/The_independence_of_Latin_American_nations" TargetMode="External" /><Relationship Type="http://schemas.openxmlformats.org/officeDocument/2006/relationships/hyperlink" Id="rId36" Target="https://baripedia.org/wiki/The_independence_of_Latin_American_nations#:~:text=The%20independence%20of%20Latin%20American,This" TargetMode="External" /><Relationship Type="http://schemas.openxmlformats.org/officeDocument/2006/relationships/hyperlink" Id="rId55" Target="https://colorado.pressbooks.pub/revolution/chapter/barrington-moore-no-bourgeoisie-no-democracy/" TargetMode="External" /><Relationship Type="http://schemas.openxmlformats.org/officeDocument/2006/relationships/hyperlink" Id="rId39" Target="https://colorado.pressbooks.pub/revolution/chapter/barrington-moore-no-bourgeoisie-no-democracy/#:~:text=,%E2%80%93%20Barrington%20Moore%201966" TargetMode="External" /><Relationship Type="http://schemas.openxmlformats.org/officeDocument/2006/relationships/hyperlink" Id="rId47" Target="https://dspace.library.uu.nl/bitstream/handle/1874/427411/Pages_from_obp.0323.pdf?sequence=1" TargetMode="External" /><Relationship Type="http://schemas.openxmlformats.org/officeDocument/2006/relationships/hyperlink" Id="rId26" Target="https://dspace.library.uu.nl/bitstream/handle/1874/427411/Pages_from_obp.0323.pdf?sequence=1#:~:text=exile,last%20French%20Bourbon%20king%2C%20Charles" TargetMode="External" /><Relationship Type="http://schemas.openxmlformats.org/officeDocument/2006/relationships/hyperlink" Id="rId38" Target="https://dspace.library.uu.nl/bitstream/handle/1874/427411/Pages_from_obp.0323.pdf?sequence=1#:~:text=the%20Hungarian%20Louis%20Kossuth%20,last%20French%20Bourbon%20king%2C%20Charles" TargetMode="External" /><Relationship Type="http://schemas.openxmlformats.org/officeDocument/2006/relationships/hyperlink" Id="rId45" Target="https://en.wikipedia.org/wiki/French_emigration_(1789%E2%80%931815)" TargetMode="External" /><Relationship Type="http://schemas.openxmlformats.org/officeDocument/2006/relationships/hyperlink" Id="rId23" Target="https://en.wikipedia.org/wiki/French_emigration_(1789%E2%80%931815)#:~:text=The%20Arm%C3%A9e%20des%20%C3%89migr%C3%A9s%20,Lyon%20%20and%20%20119" TargetMode="External" /><Relationship Type="http://schemas.openxmlformats.org/officeDocument/2006/relationships/hyperlink" Id="rId25" Target="https://en.wikipedia.org/wiki/French_emigration_(1789%E2%80%931815)#:~:text=Upon%20settling%20in%20neighbouring%20countries,4" TargetMode="External" /><Relationship Type="http://schemas.openxmlformats.org/officeDocument/2006/relationships/hyperlink" Id="rId51" Target="https://en.wikipedia.org/wiki/Greek_scholars_in_the_Renaissance" TargetMode="External" /><Relationship Type="http://schemas.openxmlformats.org/officeDocument/2006/relationships/hyperlink" Id="rId32" Target="https://en.wikipedia.org/wiki/Greek_scholars_in_the_Renaissance#:~:text=The%20migration%20waves%20of%20Byzantine,5%20%5D%20although%20few" TargetMode="External" /><Relationship Type="http://schemas.openxmlformats.org/officeDocument/2006/relationships/hyperlink" Id="rId50" Target="https://ideas.repec.org/h/lum/prchap/09-25.html" TargetMode="External" /><Relationship Type="http://schemas.openxmlformats.org/officeDocument/2006/relationships/hyperlink" Id="rId31" Target="https://ideas.repec.org/h/lum/prchap/09-25.html#:~:text=In%20the%2015th%20century%2C%20there,the%20presence%20of%20the%20Byzantine" TargetMode="External" /><Relationship Type="http://schemas.openxmlformats.org/officeDocument/2006/relationships/hyperlink" Id="rId48" Target="https://library.oapen.org/bitstream/20.500.12657/37519/3/611253.pdf" TargetMode="External" /><Relationship Type="http://schemas.openxmlformats.org/officeDocument/2006/relationships/hyperlink" Id="rId27" Target="https://library.oapen.org/bitstream/20.500.12657/37519/3/611253.pdf#:~:text=the%20revolutions%20of%201917%E2%80%931920%2C%20the,horizons%20retained%20the%20con%02tours%20of" TargetMode="External" /><Relationship Type="http://schemas.openxmlformats.org/officeDocument/2006/relationships/hyperlink" Id="rId52" Target="https://www.britannica.com/event/Fall-of-Constantinople-1453" TargetMode="External" /><Relationship Type="http://schemas.openxmlformats.org/officeDocument/2006/relationships/hyperlink" Id="rId33" Target="https://www.britannica.com/event/Fall-of-Constantinople-1453#:~:text=in%20its%20dealings%20with%20the,the%20beginning%20of%20the%20Renaissance" TargetMode="External" /><Relationship Type="http://schemas.openxmlformats.org/officeDocument/2006/relationships/hyperlink" Id="rId46" Target="https://www.britannica.com/event/French-Revolution/Counterrevolution-regicide-and-the-Reign-of-Terror" TargetMode="External" /><Relationship Type="http://schemas.openxmlformats.org/officeDocument/2006/relationships/hyperlink" Id="rId24" Target="https://www.britannica.com/event/French-Revolution/Counterrevolution-regicide-and-the-Reign-of-Terror#:~:text=A%20number%20of%20French%20counterrevolutionaries%E2%80%94nobles%2C,early%201792%20both%20radicals%2C%20eager" TargetMode="External" /><Relationship Type="http://schemas.openxmlformats.org/officeDocument/2006/relationships/hyperlink" Id="rId49" Target="https://www.illiberalism.org/white-emigres-and-international-anti-communism-in-france-1918-1939/" TargetMode="External" /><Relationship Type="http://schemas.openxmlformats.org/officeDocument/2006/relationships/hyperlink" Id="rId30" Target="https://www.illiberalism.org/white-emigres-and-international-anti-communism-in-france-1918-1939/#:~:text=Thanks%20to%20their%20shared%20anticommunism,Beer%20Hall%20Putsch%20of%201923" TargetMode="External" /><Relationship Type="http://schemas.openxmlformats.org/officeDocument/2006/relationships/hyperlink" Id="rId29" Target="https://www.illiberalism.org/white-emigres-and-international-anti-communism-in-france-1918-1939/#:~:text=The%20%E2%80%9CRussian%20colony%E2%80%9D%20in%20France%2C,Kirill%20Vladimirovich%20and%20Nikolai%20Nikolaevich" TargetMode="External" /><Relationship Type="http://schemas.openxmlformats.org/officeDocument/2006/relationships/hyperlink" Id="rId28" Target="https://www.illiberalism.org/white-emigres-and-international-anti-communism-in-france-1918-1939/#:~:text=the%20Russian%20Civil%20War%20on,French%20extreme%20right%2C%20including%20the" TargetMode="External" /></Relationships>
</file>

<file path=word/_rels/footnotes.xml.rels><?xml version="1.0" encoding="UTF-8"?><Relationships xmlns="http://schemas.openxmlformats.org/package/2006/relationships"><Relationship Type="http://schemas.openxmlformats.org/officeDocument/2006/relationships/hyperlink" Id="rId53" Target="https://afe.easia.columbia.edu/special/japan_1750_meiji.htm" TargetMode="External" /><Relationship Type="http://schemas.openxmlformats.org/officeDocument/2006/relationships/hyperlink" Id="rId35" Target="https://afe.easia.columbia.edu/special/japan_1750_meiji.htm#:~:text=For%20the%20next%20twenty%20years%2C,one%20of%20the%20major%20characteristics" TargetMode="External" /><Relationship Type="http://schemas.openxmlformats.org/officeDocument/2006/relationships/hyperlink" Id="rId34" Target="https://afe.easia.columbia.edu/special/japan_1750_meiji.htm#:~:text=The%20feudal%20lords%20and%20the,in%20business%20and%20the%20professions" TargetMode="External" /><Relationship Type="http://schemas.openxmlformats.org/officeDocument/2006/relationships/hyperlink" Id="rId54" Target="https://baripedia.org/wiki/The_independence_of_Latin_American_nations" TargetMode="External" /><Relationship Type="http://schemas.openxmlformats.org/officeDocument/2006/relationships/hyperlink" Id="rId36" Target="https://baripedia.org/wiki/The_independence_of_Latin_American_nations#:~:text=The%20independence%20of%20Latin%20American,This" TargetMode="External" /><Relationship Type="http://schemas.openxmlformats.org/officeDocument/2006/relationships/hyperlink" Id="rId55" Target="https://colorado.pressbooks.pub/revolution/chapter/barrington-moore-no-bourgeoisie-no-democracy/" TargetMode="External" /><Relationship Type="http://schemas.openxmlformats.org/officeDocument/2006/relationships/hyperlink" Id="rId39" Target="https://colorado.pressbooks.pub/revolution/chapter/barrington-moore-no-bourgeoisie-no-democracy/#:~:text=,%E2%80%93%20Barrington%20Moore%201966" TargetMode="External" /><Relationship Type="http://schemas.openxmlformats.org/officeDocument/2006/relationships/hyperlink" Id="rId47" Target="https://dspace.library.uu.nl/bitstream/handle/1874/427411/Pages_from_obp.0323.pdf?sequence=1" TargetMode="External" /><Relationship Type="http://schemas.openxmlformats.org/officeDocument/2006/relationships/hyperlink" Id="rId26" Target="https://dspace.library.uu.nl/bitstream/handle/1874/427411/Pages_from_obp.0323.pdf?sequence=1#:~:text=exile,last%20French%20Bourbon%20king%2C%20Charles" TargetMode="External" /><Relationship Type="http://schemas.openxmlformats.org/officeDocument/2006/relationships/hyperlink" Id="rId38" Target="https://dspace.library.uu.nl/bitstream/handle/1874/427411/Pages_from_obp.0323.pdf?sequence=1#:~:text=the%20Hungarian%20Louis%20Kossuth%20,last%20French%20Bourbon%20king%2C%20Charles" TargetMode="External" /><Relationship Type="http://schemas.openxmlformats.org/officeDocument/2006/relationships/hyperlink" Id="rId45" Target="https://en.wikipedia.org/wiki/French_emigration_(1789%E2%80%931815)" TargetMode="External" /><Relationship Type="http://schemas.openxmlformats.org/officeDocument/2006/relationships/hyperlink" Id="rId23" Target="https://en.wikipedia.org/wiki/French_emigration_(1789%E2%80%931815)#:~:text=The%20Arm%C3%A9e%20des%20%C3%89migr%C3%A9s%20,Lyon%20%20and%20%20119" TargetMode="External" /><Relationship Type="http://schemas.openxmlformats.org/officeDocument/2006/relationships/hyperlink" Id="rId25" Target="https://en.wikipedia.org/wiki/French_emigration_(1789%E2%80%931815)#:~:text=Upon%20settling%20in%20neighbouring%20countries,4" TargetMode="External" /><Relationship Type="http://schemas.openxmlformats.org/officeDocument/2006/relationships/hyperlink" Id="rId51" Target="https://en.wikipedia.org/wiki/Greek_scholars_in_the_Renaissance" TargetMode="External" /><Relationship Type="http://schemas.openxmlformats.org/officeDocument/2006/relationships/hyperlink" Id="rId32" Target="https://en.wikipedia.org/wiki/Greek_scholars_in_the_Renaissance#:~:text=The%20migration%20waves%20of%20Byzantine,5%20%5D%20although%20few" TargetMode="External" /><Relationship Type="http://schemas.openxmlformats.org/officeDocument/2006/relationships/hyperlink" Id="rId50" Target="https://ideas.repec.org/h/lum/prchap/09-25.html" TargetMode="External" /><Relationship Type="http://schemas.openxmlformats.org/officeDocument/2006/relationships/hyperlink" Id="rId31" Target="https://ideas.repec.org/h/lum/prchap/09-25.html#:~:text=In%20the%2015th%20century%2C%20there,the%20presence%20of%20the%20Byzantine" TargetMode="External" /><Relationship Type="http://schemas.openxmlformats.org/officeDocument/2006/relationships/hyperlink" Id="rId48" Target="https://library.oapen.org/bitstream/20.500.12657/37519/3/611253.pdf" TargetMode="External" /><Relationship Type="http://schemas.openxmlformats.org/officeDocument/2006/relationships/hyperlink" Id="rId27" Target="https://library.oapen.org/bitstream/20.500.12657/37519/3/611253.pdf#:~:text=the%20revolutions%20of%201917%E2%80%931920%2C%20the,horizons%20retained%20the%20con%02tours%20of" TargetMode="External" /><Relationship Type="http://schemas.openxmlformats.org/officeDocument/2006/relationships/hyperlink" Id="rId52" Target="https://www.britannica.com/event/Fall-of-Constantinople-1453" TargetMode="External" /><Relationship Type="http://schemas.openxmlformats.org/officeDocument/2006/relationships/hyperlink" Id="rId33" Target="https://www.britannica.com/event/Fall-of-Constantinople-1453#:~:text=in%20its%20dealings%20with%20the,the%20beginning%20of%20the%20Renaissance" TargetMode="External" /><Relationship Type="http://schemas.openxmlformats.org/officeDocument/2006/relationships/hyperlink" Id="rId46" Target="https://www.britannica.com/event/French-Revolution/Counterrevolution-regicide-and-the-Reign-of-Terror" TargetMode="External" /><Relationship Type="http://schemas.openxmlformats.org/officeDocument/2006/relationships/hyperlink" Id="rId24" Target="https://www.britannica.com/event/French-Revolution/Counterrevolution-regicide-and-the-Reign-of-Terror#:~:text=A%20number%20of%20French%20counterrevolutionaries%E2%80%94nobles%2C,early%201792%20both%20radicals%2C%20eager" TargetMode="External" /><Relationship Type="http://schemas.openxmlformats.org/officeDocument/2006/relationships/hyperlink" Id="rId49" Target="https://www.illiberalism.org/white-emigres-and-international-anti-communism-in-france-1918-1939/" TargetMode="External" /><Relationship Type="http://schemas.openxmlformats.org/officeDocument/2006/relationships/hyperlink" Id="rId30" Target="https://www.illiberalism.org/white-emigres-and-international-anti-communism-in-france-1918-1939/#:~:text=Thanks%20to%20their%20shared%20anticommunism,Beer%20Hall%20Putsch%20of%201923" TargetMode="External" /><Relationship Type="http://schemas.openxmlformats.org/officeDocument/2006/relationships/hyperlink" Id="rId29" Target="https://www.illiberalism.org/white-emigres-and-international-anti-communism-in-france-1918-1939/#:~:text=The%20%E2%80%9CRussian%20colony%E2%80%9D%20in%20France%2C,Kirill%20Vladimirovich%20and%20Nikolai%20Nikolaevich" TargetMode="External" /><Relationship Type="http://schemas.openxmlformats.org/officeDocument/2006/relationships/hyperlink" Id="rId28" Target="https://www.illiberalism.org/white-emigres-and-international-anti-communism-in-france-1918-1939/#:~:text=the%20Russian%20Civil%20War%20on,French%20extreme%20right%2C%20including%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2026-05-04T21:27:51Z</dcterms:created>
  <dcterms:modified xsi:type="dcterms:W3CDTF">2026-05-04T21:27:51Z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