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5" w:name="content"/>
    <w:bookmarkStart w:id="64" w:name="Xb5f2bf0dd86c9e1c3a6c1366a6f071e5779a51e"/>
    <w:p>
      <w:pPr>
        <w:pStyle w:val="Heading1"/>
      </w:pPr>
      <w:r>
        <w:t xml:space="preserve">Labor Competition and Intergroup Tension Between African Americans and Mexican and Latino Workers in US Labor Markets</w:t>
      </w:r>
    </w:p>
    <w:bookmarkStart w:id="31" w:name="executive-summary"/>
    <w:p>
      <w:pPr>
        <w:pStyle w:val="Heading2"/>
      </w:pPr>
      <w:r>
        <w:t xml:space="preserve">Executive summary</w:t>
      </w:r>
    </w:p>
    <w:p>
      <w:pPr>
        <w:pStyle w:val="FirstParagraph"/>
      </w:pPr>
      <w:r>
        <w:t xml:space="preserve">Documented tensions between African Americans and Mexican/Latino workers around “job taking” are most consistently observed in</w:t>
      </w:r>
      <w:r>
        <w:t xml:space="preserve"> </w:t>
      </w:r>
      <w:r>
        <w:rPr>
          <w:b/>
          <w:bCs/>
        </w:rPr>
        <w:t xml:space="preserve">low-wage labor markets where employers can quickly substitute workers</w:t>
      </w:r>
      <w:r>
        <w:t xml:space="preserve">—especially after</w:t>
      </w:r>
      <w:r>
        <w:t xml:space="preserve"> </w:t>
      </w:r>
      <w:r>
        <w:rPr>
          <w:b/>
          <w:bCs/>
        </w:rPr>
        <w:t xml:space="preserve">industrial restructuring, subcontracting, union weakening, or policy changes that heighten worker vulnerability</w:t>
      </w:r>
      <w:r>
        <w:t xml:space="preserve">. Across the cases reviewed, the best-supported pattern is not a simple “group vs group” displacement story, but an</w:t>
      </w:r>
      <w:r>
        <w:t xml:space="preserve"> </w:t>
      </w:r>
      <w:r>
        <w:rPr>
          <w:b/>
          <w:bCs/>
        </w:rPr>
        <w:t xml:space="preserve">employer-centered process</w:t>
      </w:r>
      <w:r>
        <w:t xml:space="preserve">: firms reduce labor costs and organizing risk by shifting recruitment toward workers who are easier to control (often because of immigration status, language barriers, labor-broker dependence, or exclusion from protections). This shift is then narrated publicly as a</w:t>
      </w:r>
      <w:r>
        <w:t xml:space="preserve"> </w:t>
      </w:r>
      <w:r>
        <w:rPr>
          <w:b/>
          <w:bCs/>
        </w:rPr>
        <w:t xml:space="preserve">moral/behavioral contrast</w:t>
      </w:r>
      <w:r>
        <w:t xml:space="preserve"> </w:t>
      </w:r>
      <w:r>
        <w:t xml:space="preserve">(“hard-working immigrants” vs “lazy locals”), a rhetoric explicitly documented in multiple sites and linked to tensions between groups.</w:t>
      </w:r>
      <w:r>
        <w:t xml:space="preserve"> </w:t>
      </w:r>
      <w:hyperlink r:id="rId21">
        <w:r>
          <w:rPr>
            <w:rStyle w:val="Hyperlink"/>
          </w:rPr>
          <w:t xml:space="preserve">[1]</w:t>
        </w:r>
      </w:hyperlink>
    </w:p>
    <w:p>
      <w:pPr>
        <w:pStyle w:val="BodyText"/>
      </w:pPr>
      <w:r>
        <w:t xml:space="preserve">In Los Angeles</w:t>
      </w:r>
      <w:hyperlink r:id="rId22">
        <w:r>
          <w:rPr>
            <w:rStyle w:val="Hyperlink"/>
          </w:rPr>
          <w:t xml:space="preserve">[2]</w:t>
        </w:r>
      </w:hyperlink>
      <w:r>
        <w:t xml:space="preserve"> </w:t>
      </w:r>
      <w:r>
        <w:t xml:space="preserve">building-services janitorial work, scholarship drawing on census microdata and industry accounts documents a dramatic ethnic/racial turnover: janitorial jobs that had been strongly associated with African Americans became predominantly Latino/immigrant over the 1980s–1990s, following</w:t>
      </w:r>
      <w:r>
        <w:t xml:space="preserve"> </w:t>
      </w:r>
      <w:r>
        <w:rPr>
          <w:b/>
          <w:bCs/>
        </w:rPr>
        <w:t xml:space="preserve">contracting-out and the rise of nonunion contractors</w:t>
      </w:r>
      <w:r>
        <w:t xml:space="preserve">. One widely cited quantitative account reports Latino immigrants’ share of janitorial employment rising from</w:t>
      </w:r>
      <w:r>
        <w:t xml:space="preserve"> </w:t>
      </w:r>
      <w:r>
        <w:rPr>
          <w:b/>
          <w:bCs/>
        </w:rPr>
        <w:t xml:space="preserve">28% (1980) to 61% (1990)</w:t>
      </w:r>
      <w:r>
        <w:t xml:space="preserve"> </w:t>
      </w:r>
      <w:r>
        <w:t xml:space="preserve">while African Americans’ share fell from</w:t>
      </w:r>
      <w:r>
        <w:t xml:space="preserve"> </w:t>
      </w:r>
      <w:r>
        <w:rPr>
          <w:b/>
          <w:bCs/>
        </w:rPr>
        <w:t xml:space="preserve">31% to 12%</w:t>
      </w:r>
      <w:r>
        <w:t xml:space="preserve">.</w:t>
      </w:r>
      <w:r>
        <w:t xml:space="preserve"> </w:t>
      </w:r>
      <w:hyperlink r:id="rId23">
        <w:r>
          <w:rPr>
            <w:rStyle w:val="Hyperlink"/>
          </w:rPr>
          <w:t xml:space="preserve">[3]</w:t>
        </w:r>
      </w:hyperlink>
      <w:r>
        <w:t xml:space="preserve"> </w:t>
      </w:r>
      <w:r>
        <w:t xml:space="preserve">Complementary analysis of 1970–1990 census data for janitors in Los Angeles County finds Latinos rising from</w:t>
      </w:r>
      <w:r>
        <w:t xml:space="preserve"> </w:t>
      </w:r>
      <w:r>
        <w:rPr>
          <w:b/>
          <w:bCs/>
        </w:rPr>
        <w:t xml:space="preserve">13% (1970) to 68% (1990)</w:t>
      </w:r>
      <w:r>
        <w:t xml:space="preserve"> </w:t>
      </w:r>
      <w:r>
        <w:t xml:space="preserve">while African Americans dropped from</w:t>
      </w:r>
      <w:r>
        <w:t xml:space="preserve"> </w:t>
      </w:r>
      <w:r>
        <w:rPr>
          <w:b/>
          <w:bCs/>
        </w:rPr>
        <w:t xml:space="preserve">48% to 14%</w:t>
      </w:r>
      <w:r>
        <w:t xml:space="preserve">—differences reflecting varying definitions (all Latinos vs Latino immigrants; “janitors” vs “building-services janitors”), but consistent in direction.</w:t>
      </w:r>
      <w:r>
        <w:t xml:space="preserve"> </w:t>
      </w:r>
      <w:hyperlink r:id="rId22">
        <w:r>
          <w:rPr>
            <w:rStyle w:val="Hyperlink"/>
          </w:rPr>
          <w:t xml:space="preserve">[4]</w:t>
        </w:r>
      </w:hyperlink>
    </w:p>
    <w:p>
      <w:pPr>
        <w:pStyle w:val="BodyText"/>
      </w:pPr>
      <w:r>
        <w:t xml:space="preserve">In Mississippi</w:t>
      </w:r>
      <w:hyperlink r:id="rId24">
        <w:r>
          <w:rPr>
            <w:rStyle w:val="Hyperlink"/>
          </w:rPr>
          <w:t xml:space="preserve">[5]</w:t>
        </w:r>
      </w:hyperlink>
      <w:r>
        <w:t xml:space="preserve"> </w:t>
      </w:r>
      <w:r>
        <w:t xml:space="preserve">poultry processing—especially in Forest</w:t>
      </w:r>
      <w:hyperlink r:id="rId25">
        <w:r>
          <w:rPr>
            <w:rStyle w:val="Hyperlink"/>
          </w:rPr>
          <w:t xml:space="preserve">[6]</w:t>
        </w:r>
      </w:hyperlink>
      <w:r>
        <w:t xml:space="preserve"> </w:t>
      </w:r>
      <w:r>
        <w:t xml:space="preserve">/ Scott County—historical accounts link</w:t>
      </w:r>
      <w:r>
        <w:t xml:space="preserve"> </w:t>
      </w:r>
      <w:r>
        <w:rPr>
          <w:b/>
          <w:bCs/>
        </w:rPr>
        <w:t xml:space="preserve">African American organizing attempts in the 1970s</w:t>
      </w:r>
      <w:r>
        <w:t xml:space="preserve"> </w:t>
      </w:r>
      <w:r>
        <w:t xml:space="preserve">to aggressive employer anti-union strategies and later labor-control strategies that included</w:t>
      </w:r>
      <w:r>
        <w:t xml:space="preserve"> </w:t>
      </w:r>
      <w:r>
        <w:rPr>
          <w:b/>
          <w:bCs/>
        </w:rPr>
        <w:t xml:space="preserve">recruiting Latino migrants at scale in the mid-1990s</w:t>
      </w:r>
      <w:r>
        <w:t xml:space="preserve"> </w:t>
      </w:r>
      <w:r>
        <w:t xml:space="preserve">(e.g., “Hispanic Project” recruitment, employer-provided housing with paycheck deductions, labor brokers). This transition is accompanied by explicit, documented rhetoric positioning “Mexicans” as “better workers” and critiquing Black workers, and by immigrant-worker complaints about perceived preferential treatment of Black workers—evidence of workplace and community tensions linked to labor-market restructuring.</w:t>
      </w:r>
      <w:r>
        <w:t xml:space="preserve"> </w:t>
      </w:r>
      <w:hyperlink r:id="rId26">
        <w:r>
          <w:rPr>
            <w:rStyle w:val="Hyperlink"/>
          </w:rPr>
          <w:t xml:space="preserve">[7]</w:t>
        </w:r>
      </w:hyperlink>
    </w:p>
    <w:p>
      <w:pPr>
        <w:pStyle w:val="BodyText"/>
      </w:pPr>
      <w:r>
        <w:t xml:space="preserve">In the Arkansas Delta</w:t>
      </w:r>
      <w:hyperlink r:id="rId27">
        <w:r>
          <w:rPr>
            <w:rStyle w:val="Hyperlink"/>
          </w:rPr>
          <w:t xml:space="preserve">[8]</w:t>
        </w:r>
      </w:hyperlink>
      <w:r>
        <w:t xml:space="preserve"> </w:t>
      </w:r>
      <w:r>
        <w:t xml:space="preserve">during the bracero era, state encyclopedia synthesis and national-level documentary sources indicate that</w:t>
      </w:r>
      <w:r>
        <w:t xml:space="preserve"> </w:t>
      </w:r>
      <w:r>
        <w:rPr>
          <w:b/>
          <w:bCs/>
        </w:rPr>
        <w:t xml:space="preserve">competition for employment</w:t>
      </w:r>
      <w:r>
        <w:t xml:space="preserve"> </w:t>
      </w:r>
      <w:r>
        <w:t xml:space="preserve">was openly recognized as a source of tension between braceros and local African Americans, while domestic farmworkers broadly feared braceros would depress wages. Policy safeguards (e.g., non-strikebreaking rules; “certified labor shortage” requirements) were widely reported as imperfectly enforced, with growers benefiting from abundant low-wage labor.</w:t>
      </w:r>
      <w:r>
        <w:t xml:space="preserve"> </w:t>
      </w:r>
      <w:hyperlink r:id="rId28">
        <w:r>
          <w:rPr>
            <w:rStyle w:val="Hyperlink"/>
          </w:rPr>
          <w:t xml:space="preserve">[9]</w:t>
        </w:r>
      </w:hyperlink>
    </w:p>
    <w:p>
      <w:pPr>
        <w:pStyle w:val="BodyText"/>
      </w:pPr>
      <w:r>
        <w:t xml:space="preserve">Two additional cases sharpen the “employer strategy + racialized narrative” mechanism. After Hurricane Katrina</w:t>
      </w:r>
      <w:hyperlink r:id="rId27">
        <w:r>
          <w:rPr>
            <w:rStyle w:val="Hyperlink"/>
          </w:rPr>
          <w:t xml:space="preserve">[10]</w:t>
        </w:r>
      </w:hyperlink>
      <w:r>
        <w:t xml:space="preserve">, a population-based study of reconstruction labor in New Orleans</w:t>
      </w:r>
      <w:hyperlink r:id="rId29">
        <w:r>
          <w:rPr>
            <w:rStyle w:val="Hyperlink"/>
          </w:rPr>
          <w:t xml:space="preserve">[11]</w:t>
        </w:r>
      </w:hyperlink>
      <w:r>
        <w:t xml:space="preserve"> </w:t>
      </w:r>
      <w:r>
        <w:t xml:space="preserve">estimated that</w:t>
      </w:r>
      <w:r>
        <w:t xml:space="preserve"> </w:t>
      </w:r>
      <w:r>
        <w:rPr>
          <w:b/>
          <w:bCs/>
        </w:rPr>
        <w:t xml:space="preserve">45% of construction workers were Latino</w:t>
      </w:r>
      <w:r>
        <w:t xml:space="preserve"> </w:t>
      </w:r>
      <w:r>
        <w:t xml:space="preserve">and that</w:t>
      </w:r>
      <w:r>
        <w:t xml:space="preserve"> </w:t>
      </w:r>
      <w:r>
        <w:rPr>
          <w:b/>
          <w:bCs/>
        </w:rPr>
        <w:t xml:space="preserve">54% of Latinos were undocumented</w:t>
      </w:r>
      <w:r>
        <w:t xml:space="preserve">, with key informants warning that employer bias in favor of Latino immigrants could pit them against historically excluded African Americans—while political and media “job theft” narratives set the stage for scapegoating.</w:t>
      </w:r>
      <w:r>
        <w:t xml:space="preserve"> </w:t>
      </w:r>
      <w:hyperlink r:id="rId24">
        <w:r>
          <w:rPr>
            <w:rStyle w:val="Hyperlink"/>
          </w:rPr>
          <w:t xml:space="preserve">[12]</w:t>
        </w:r>
      </w:hyperlink>
      <w:r>
        <w:t xml:space="preserve"> </w:t>
      </w:r>
      <w:r>
        <w:t xml:space="preserve">In North Carolina</w:t>
      </w:r>
      <w:hyperlink r:id="rId30">
        <w:r>
          <w:rPr>
            <w:rStyle w:val="Hyperlink"/>
          </w:rPr>
          <w:t xml:space="preserve">[13]</w:t>
        </w:r>
      </w:hyperlink>
      <w:r>
        <w:t xml:space="preserve"> </w:t>
      </w:r>
      <w:r>
        <w:t xml:space="preserve">meatpacking at Smithfield Foods</w:t>
      </w:r>
      <w:hyperlink r:id="rId23">
        <w:r>
          <w:rPr>
            <w:rStyle w:val="Hyperlink"/>
          </w:rPr>
          <w:t xml:space="preserve">[14]</w:t>
        </w:r>
      </w:hyperlink>
      <w:r>
        <w:t xml:space="preserve">’s Tar Heel plant, a major human-rights investigation reported a shift from &lt;10% immigrant hourly employees in 1993 to an estimated</w:t>
      </w:r>
      <w:r>
        <w:t xml:space="preserve"> </w:t>
      </w:r>
      <w:r>
        <w:rPr>
          <w:b/>
          <w:bCs/>
        </w:rPr>
        <w:t xml:space="preserve">half Hispanic immigrants</w:t>
      </w:r>
      <w:r>
        <w:t xml:space="preserve"> </w:t>
      </w:r>
      <w:r>
        <w:t xml:space="preserve">later, with African Americans still comprising</w:t>
      </w:r>
      <w:r>
        <w:t xml:space="preserve"> </w:t>
      </w:r>
      <w:r>
        <w:rPr>
          <w:b/>
          <w:bCs/>
        </w:rPr>
        <w:t xml:space="preserve">~40% of the workforce</w:t>
      </w:r>
      <w:r>
        <w:t xml:space="preserve">—a composition that employers and unions both viewed as central to organizing struggles and workplace dynamics.</w:t>
      </w:r>
      <w:r>
        <w:t xml:space="preserve"> </w:t>
      </w:r>
      <w:hyperlink r:id="rId30">
        <w:r>
          <w:rPr>
            <w:rStyle w:val="Hyperlink"/>
          </w:rPr>
          <w:t xml:space="preserve">[15]</w:t>
        </w:r>
      </w:hyperlink>
    </w:p>
    <w:bookmarkEnd w:id="31"/>
    <w:bookmarkStart w:id="33" w:name="X0e1c924a9133351f901a0af6c459ffd0322d492"/>
    <w:p>
      <w:pPr>
        <w:pStyle w:val="Heading2"/>
      </w:pPr>
      <w:r>
        <w:t xml:space="preserve">Definitions, scope, and evidentiary standards</w:t>
      </w:r>
    </w:p>
    <w:p>
      <w:pPr>
        <w:pStyle w:val="FirstParagraph"/>
      </w:pPr>
      <w:r>
        <w:t xml:space="preserve">This report focuses on</w:t>
      </w:r>
      <w:r>
        <w:t xml:space="preserve"> </w:t>
      </w:r>
      <w:r>
        <w:rPr>
          <w:b/>
          <w:bCs/>
        </w:rPr>
        <w:t xml:space="preserve">documented instances</w:t>
      </w:r>
      <w:r>
        <w:t xml:space="preserve">—in primary sources (contemporaneous news, government materials, union records, oral histories, official reports) and original scholarship—where Mexican/Latino labor is described as</w:t>
      </w:r>
      <w:r>
        <w:t xml:space="preserve"> </w:t>
      </w:r>
      <w:r>
        <w:rPr>
          <w:b/>
          <w:bCs/>
        </w:rPr>
        <w:t xml:space="preserve">replacing or competing with African American labor</w:t>
      </w:r>
      <w:r>
        <w:t xml:space="preserve"> </w:t>
      </w:r>
      <w:r>
        <w:t xml:space="preserve">in sectors historically associated with African Americans, and where</w:t>
      </w:r>
      <w:r>
        <w:t xml:space="preserve"> </w:t>
      </w:r>
      <w:r>
        <w:rPr>
          <w:b/>
          <w:bCs/>
        </w:rPr>
        <w:t xml:space="preserve">tension</w:t>
      </w:r>
      <w:r>
        <w:t xml:space="preserve"> </w:t>
      </w:r>
      <w:r>
        <w:t xml:space="preserve">is explicitly recorded (e.g., protests, strikes, violence, organizing setbacks, derogatory rhetoric, or credible interview-based documentation of conflict).</w:t>
      </w:r>
      <w:r>
        <w:t xml:space="preserve"> </w:t>
      </w:r>
      <w:hyperlink r:id="rId26">
        <w:r>
          <w:rPr>
            <w:rStyle w:val="Hyperlink"/>
          </w:rPr>
          <w:t xml:space="preserve">[16]</w:t>
        </w:r>
      </w:hyperlink>
    </w:p>
    <w:p>
      <w:pPr>
        <w:pStyle w:val="BodyText"/>
      </w:pPr>
      <w:r>
        <w:t xml:space="preserve">“Mexicans” is treated in two analytically distinct ways because sources themselves vary:</w:t>
      </w:r>
      <w:r>
        <w:br/>
      </w:r>
      <w:r>
        <w:t xml:space="preserve">1)</w:t>
      </w:r>
      <w:r>
        <w:t xml:space="preserve"> </w:t>
      </w:r>
      <w:r>
        <w:rPr>
          <w:b/>
          <w:bCs/>
        </w:rPr>
        <w:t xml:space="preserve">Mexican nationals / Mexican immigrants</w:t>
      </w:r>
      <w:r>
        <w:t xml:space="preserve"> </w:t>
      </w:r>
      <w:r>
        <w:t xml:space="preserve">specifically (especially in bracero-era materials and in late-1990s/2000s Southern “Nuevo South” narratives).</w:t>
      </w:r>
      <w:r>
        <w:t xml:space="preserve"> </w:t>
      </w:r>
      <w:hyperlink r:id="rId27">
        <w:r>
          <w:rPr>
            <w:rStyle w:val="Hyperlink"/>
          </w:rPr>
          <w:t xml:space="preserve">[17]</w:t>
        </w:r>
      </w:hyperlink>
      <w:r>
        <w:br/>
      </w:r>
      <w:r>
        <w:t xml:space="preserve">2)</w:t>
      </w:r>
      <w:r>
        <w:t xml:space="preserve"> </w:t>
      </w:r>
      <w:r>
        <w:rPr>
          <w:b/>
          <w:bCs/>
        </w:rPr>
        <w:t xml:space="preserve">Latinos broadly</w:t>
      </w:r>
      <w:r>
        <w:t xml:space="preserve"> </w:t>
      </w:r>
      <w:r>
        <w:t xml:space="preserve">(including Central American, Caribbean, and South American migrants) who are often labeled “Mexican” in local discourse—an important part of the documented rhetoric that affects intergroup relations.</w:t>
      </w:r>
      <w:r>
        <w:t xml:space="preserve"> </w:t>
      </w:r>
      <w:hyperlink r:id="rId26">
        <w:r>
          <w:rPr>
            <w:rStyle w:val="Hyperlink"/>
          </w:rPr>
          <w:t xml:space="preserve">[18]</w:t>
        </w:r>
      </w:hyperlink>
    </w:p>
    <w:p>
      <w:pPr>
        <w:pStyle w:val="BodyText"/>
      </w:pPr>
      <w:r>
        <w:t xml:space="preserve">Evidentiary caution is applied in three places. First, workforce composition data is rarely available as a single standardized series across decades; the report therefore uses</w:t>
      </w:r>
      <w:r>
        <w:t xml:space="preserve"> </w:t>
      </w:r>
      <w:r>
        <w:rPr>
          <w:b/>
          <w:bCs/>
        </w:rPr>
        <w:t xml:space="preserve">multiple measures</w:t>
      </w:r>
      <w:r>
        <w:t xml:space="preserve"> </w:t>
      </w:r>
      <w:r>
        <w:t xml:space="preserve">(census microdata-derived shares, plant-level estimates, program headcounts) and flags definitional differences.</w:t>
      </w:r>
      <w:r>
        <w:t xml:space="preserve"> </w:t>
      </w:r>
      <w:hyperlink r:id="rId22">
        <w:r>
          <w:rPr>
            <w:rStyle w:val="Hyperlink"/>
          </w:rPr>
          <w:t xml:space="preserve">[19]</w:t>
        </w:r>
      </w:hyperlink>
      <w:r>
        <w:t xml:space="preserve"> </w:t>
      </w:r>
      <w:r>
        <w:t xml:space="preserve">Second, “tension” can be intensified by media framing; where possible, the report distinguishes</w:t>
      </w:r>
      <w:r>
        <w:t xml:space="preserve"> </w:t>
      </w:r>
      <w:r>
        <w:rPr>
          <w:b/>
          <w:bCs/>
        </w:rPr>
        <w:t xml:space="preserve">rhetoric</w:t>
      </w:r>
      <w:r>
        <w:t xml:space="preserve"> </w:t>
      </w:r>
      <w:r>
        <w:t xml:space="preserve">from</w:t>
      </w:r>
      <w:r>
        <w:t xml:space="preserve"> </w:t>
      </w:r>
      <w:r>
        <w:rPr>
          <w:b/>
          <w:bCs/>
        </w:rPr>
        <w:t xml:space="preserve">documented employer recruitment intent</w:t>
      </w:r>
      <w:r>
        <w:t xml:space="preserve"> </w:t>
      </w:r>
      <w:r>
        <w:t xml:space="preserve">and from</w:t>
      </w:r>
      <w:r>
        <w:t xml:space="preserve"> </w:t>
      </w:r>
      <w:r>
        <w:rPr>
          <w:b/>
          <w:bCs/>
        </w:rPr>
        <w:t xml:space="preserve">observed workplace practices</w:t>
      </w:r>
      <w:r>
        <w:t xml:space="preserve">.</w:t>
      </w:r>
      <w:r>
        <w:t xml:space="preserve"> </w:t>
      </w:r>
      <w:hyperlink r:id="rId29">
        <w:r>
          <w:rPr>
            <w:rStyle w:val="Hyperlink"/>
          </w:rPr>
          <w:t xml:space="preserve">[20]</w:t>
        </w:r>
      </w:hyperlink>
      <w:r>
        <w:t xml:space="preserve"> </w:t>
      </w:r>
      <w:r>
        <w:t xml:space="preserve">Third, correlation between immigration growth and Black employment outcomes is debated in economics; this report uses such work only as contextual background rather than case-specific proof of displacement.</w:t>
      </w:r>
      <w:r>
        <w:t xml:space="preserve"> </w:t>
      </w:r>
      <w:hyperlink r:id="rId32">
        <w:r>
          <w:rPr>
            <w:rStyle w:val="Hyperlink"/>
          </w:rPr>
          <w:t xml:space="preserve">[21]</w:t>
        </w:r>
      </w:hyperlink>
    </w:p>
    <w:bookmarkEnd w:id="33"/>
    <w:bookmarkStart w:id="56" w:name="case-studies"/>
    <w:p>
      <w:pPr>
        <w:pStyle w:val="Heading2"/>
      </w:pPr>
      <w:r>
        <w:t xml:space="preserve">Case studies</w:t>
      </w:r>
    </w:p>
    <w:bookmarkStart w:id="40" w:name="Xbaf077ab2019cf3202126189f43ca98e009e06e"/>
    <w:p>
      <w:pPr>
        <w:pStyle w:val="Heading3"/>
      </w:pPr>
      <w:r>
        <w:t xml:space="preserve">Los Angeles</w:t>
      </w:r>
      <w:hyperlink r:id="rId22">
        <w:r>
          <w:rPr>
            <w:rStyle w:val="Hyperlink"/>
          </w:rPr>
          <w:t xml:space="preserve">[2]</w:t>
        </w:r>
      </w:hyperlink>
      <w:r>
        <w:t xml:space="preserve"> </w:t>
      </w:r>
      <w:r>
        <w:t xml:space="preserve">building services janitorial labor markets from the 1970s to the 1990s</w:t>
      </w:r>
    </w:p>
    <w:p>
      <w:pPr>
        <w:pStyle w:val="FirstParagraph"/>
      </w:pPr>
      <w:r>
        <w:t xml:space="preserve">The Los Angeles janitorial sector is one of the strongest documented US examples of a job category shifting from a significant African American base to a predominantly Latino (and often immigrant) workforce, in tandem with contracting-out and union decline. A peer-reviewed analysis of the Justice for Janitors campaign notes that by 1970 African Americans were roughly</w:t>
      </w:r>
      <w:r>
        <w:t xml:space="preserve"> </w:t>
      </w:r>
      <w:r>
        <w:rPr>
          <w:b/>
          <w:bCs/>
        </w:rPr>
        <w:t xml:space="preserve">one-third</w:t>
      </w:r>
      <w:r>
        <w:t xml:space="preserve"> </w:t>
      </w:r>
      <w:r>
        <w:t xml:space="preserve">of Los Angeles janitors and comprised about</w:t>
      </w:r>
      <w:r>
        <w:t xml:space="preserve"> </w:t>
      </w:r>
      <w:r>
        <w:rPr>
          <w:b/>
          <w:bCs/>
        </w:rPr>
        <w:t xml:space="preserve">half</w:t>
      </w:r>
      <w:r>
        <w:t xml:space="preserve"> </w:t>
      </w:r>
      <w:r>
        <w:t xml:space="preserve">of Local 399’s membership up to the early 1980s; during the 1980s, major firms shifted recruitment toward immigrant Latino labor, and “almost all” new janitorial jobs created in the 1980s went to Latino immigrants, with Latino immigrants’ share rising</w:t>
      </w:r>
      <w:r>
        <w:t xml:space="preserve"> </w:t>
      </w:r>
      <w:r>
        <w:rPr>
          <w:b/>
          <w:bCs/>
        </w:rPr>
        <w:t xml:space="preserve">28% → 61% (1980→1990)</w:t>
      </w:r>
      <w:r>
        <w:t xml:space="preserve"> </w:t>
      </w:r>
      <w:r>
        <w:t xml:space="preserve">and African Americans’ share falling</w:t>
      </w:r>
      <w:r>
        <w:t xml:space="preserve"> </w:t>
      </w:r>
      <w:r>
        <w:rPr>
          <w:b/>
          <w:bCs/>
        </w:rPr>
        <w:t xml:space="preserve">31% → 12%</w:t>
      </w:r>
      <w:r>
        <w:t xml:space="preserve">.</w:t>
      </w:r>
      <w:r>
        <w:t xml:space="preserve"> </w:t>
      </w:r>
      <w:hyperlink r:id="rId23">
        <w:r>
          <w:rPr>
            <w:rStyle w:val="Hyperlink"/>
          </w:rPr>
          <w:t xml:space="preserve">[3]</w:t>
        </w:r>
      </w:hyperlink>
    </w:p>
    <w:p>
      <w:pPr>
        <w:pStyle w:val="BodyText"/>
      </w:pPr>
      <w:r>
        <w:t xml:space="preserve">A separate census-based study of Los Angeles County janitors reports a longer-run shift: Latinos grew from</w:t>
      </w:r>
      <w:r>
        <w:t xml:space="preserve"> </w:t>
      </w:r>
      <w:r>
        <w:rPr>
          <w:b/>
          <w:bCs/>
        </w:rPr>
        <w:t xml:space="preserve">13% of janitors in 1970</w:t>
      </w:r>
      <w:r>
        <w:t xml:space="preserve"> </w:t>
      </w:r>
      <w:r>
        <w:t xml:space="preserve">to</w:t>
      </w:r>
      <w:r>
        <w:t xml:space="preserve"> </w:t>
      </w:r>
      <w:r>
        <w:rPr>
          <w:b/>
          <w:bCs/>
        </w:rPr>
        <w:t xml:space="preserve">68% in 1990</w:t>
      </w:r>
      <w:r>
        <w:t xml:space="preserve">, while African Americans fell from</w:t>
      </w:r>
      <w:r>
        <w:t xml:space="preserve"> </w:t>
      </w:r>
      <w:r>
        <w:rPr>
          <w:b/>
          <w:bCs/>
        </w:rPr>
        <w:t xml:space="preserve">48% to 14%</w:t>
      </w:r>
      <w:r>
        <w:t xml:space="preserve">.</w:t>
      </w:r>
      <w:r>
        <w:t xml:space="preserve"> </w:t>
      </w:r>
      <w:hyperlink r:id="rId22">
        <w:r>
          <w:rPr>
            <w:rStyle w:val="Hyperlink"/>
          </w:rPr>
          <w:t xml:space="preserve">[4]</w:t>
        </w:r>
      </w:hyperlink>
      <w:r>
        <w:t xml:space="preserve"> </w:t>
      </w:r>
      <w:r>
        <w:t xml:space="preserve">While the absolute levels differ from the Justice for Janitors estimate (reflecting definitional differences such as “Latinos” vs “Latino immigrants,” and “janitors” vs “employment share within new job growth”), both sources document a major turnover that plausibly underpins perceptions of “job taking.”</w:t>
      </w:r>
      <w:r>
        <w:t xml:space="preserve"> </w:t>
      </w:r>
      <w:hyperlink r:id="rId23">
        <w:r>
          <w:rPr>
            <w:rStyle w:val="Hyperlink"/>
          </w:rPr>
          <w:t xml:space="preserve">[22]</w:t>
        </w:r>
      </w:hyperlink>
    </w:p>
    <w:bookmarkStart w:id="36" w:name="timeline"/>
    <w:p>
      <w:pPr>
        <w:pStyle w:val="Heading4"/>
      </w:pPr>
      <w:r>
        <w:t xml:space="preserve">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Key developments</w:t>
            </w:r>
          </w:p>
        </w:tc>
        <w:tc>
          <w:tcPr/>
          <w:p>
            <w:pPr>
              <w:pStyle w:val="Compact"/>
            </w:pPr>
            <w:r>
              <w:t xml:space="preserve">Tension/conflict signals documented</w:t>
            </w:r>
          </w:p>
        </w:tc>
      </w:tr>
      <w:tr>
        <w:tc>
          <w:tcPr/>
          <w:p>
            <w:pPr>
              <w:pStyle w:val="Compact"/>
            </w:pPr>
            <w:r>
              <w:t xml:space="preserve">1970s–early 1980s</w:t>
            </w:r>
          </w:p>
        </w:tc>
        <w:tc>
          <w:tcPr/>
          <w:p>
            <w:pPr>
              <w:pStyle w:val="Compact"/>
            </w:pPr>
            <w:r>
              <w:t xml:space="preserve">African Americans remain a large share of janitorial labor; union membership substantial in parts of the sector.</w:t>
            </w:r>
            <w:r>
              <w:t xml:space="preserve"> </w:t>
            </w:r>
            <w:hyperlink r:id="rId23">
              <w:r>
                <w:rPr>
                  <w:rStyle w:val="Hyperlink"/>
                </w:rPr>
                <w:t xml:space="preserve">[3]</w:t>
              </w:r>
            </w:hyperlink>
          </w:p>
        </w:tc>
        <w:tc>
          <w:tcPr/>
          <w:p>
            <w:pPr>
              <w:pStyle w:val="Compact"/>
            </w:pPr>
            <w:r>
              <w:t xml:space="preserve">Rising vulnerability as restructuring begins; basis for later feelings of exclusion among displaced workers noted in later analyses.</w:t>
            </w:r>
            <w:r>
              <w:t xml:space="preserve"> </w:t>
            </w:r>
            <w:hyperlink r:id="rId34">
              <w:r>
                <w:rPr>
                  <w:rStyle w:val="Hyperlink"/>
                </w:rPr>
                <w:t xml:space="preserve">[23]</w:t>
              </w:r>
            </w:hyperlink>
          </w:p>
        </w:tc>
      </w:tr>
      <w:tr>
        <w:tc>
          <w:tcPr/>
          <w:p>
            <w:pPr>
              <w:pStyle w:val="Compact"/>
            </w:pPr>
            <w:r>
              <w:t xml:space="preserve">1980s</w:t>
            </w:r>
          </w:p>
        </w:tc>
        <w:tc>
          <w:tcPr/>
          <w:p>
            <w:pPr>
              <w:pStyle w:val="Compact"/>
            </w:pPr>
            <w:r>
              <w:t xml:space="preserve">Contracting-out accelerates: janitors increasingly employed by contractors rather than building owners; wages and benefits deteriorate; employers shift recruitment toward recent Latino immigrants.</w:t>
            </w:r>
            <w:r>
              <w:t xml:space="preserve"> </w:t>
            </w:r>
            <w:hyperlink r:id="rId23">
              <w:r>
                <w:rPr>
                  <w:rStyle w:val="Hyperlink"/>
                </w:rPr>
                <w:t xml:space="preserve">[24]</w:t>
              </w:r>
            </w:hyperlink>
          </w:p>
        </w:tc>
        <w:tc>
          <w:tcPr/>
          <w:p>
            <w:pPr>
              <w:pStyle w:val="Compact"/>
            </w:pPr>
            <w:r>
              <w:t xml:space="preserve">Employer preferences and network hiring begin detaching vacancies from open markets; emergence of Black/immigrant competition dynamics.</w:t>
            </w:r>
            <w:r>
              <w:t xml:space="preserve"> </w:t>
            </w:r>
            <w:hyperlink r:id="rId21">
              <w:r>
                <w:rPr>
                  <w:rStyle w:val="Hyperlink"/>
                </w:rPr>
                <w:t xml:space="preserve">[25]</w:t>
              </w:r>
            </w:hyperlink>
          </w:p>
        </w:tc>
      </w:tr>
      <w:tr>
        <w:tc>
          <w:tcPr/>
          <w:p>
            <w:pPr>
              <w:pStyle w:val="Compact"/>
            </w:pPr>
            <w:r>
              <w:t xml:space="preserve">1988–1990</w:t>
            </w:r>
          </w:p>
        </w:tc>
        <w:tc>
          <w:tcPr/>
          <w:p>
            <w:pPr>
              <w:pStyle w:val="Compact"/>
            </w:pPr>
            <w:r>
              <w:t xml:space="preserve">Justice for Janitors campaign begins in Los Angeles, targeting contractor structure and building owner power.</w:t>
            </w:r>
            <w:r>
              <w:t xml:space="preserve"> </w:t>
            </w:r>
            <w:hyperlink r:id="rId23">
              <w:r>
                <w:rPr>
                  <w:rStyle w:val="Hyperlink"/>
                </w:rPr>
                <w:t xml:space="preserve">[26]</w:t>
              </w:r>
            </w:hyperlink>
          </w:p>
        </w:tc>
        <w:tc>
          <w:tcPr/>
          <w:p>
            <w:pPr>
              <w:pStyle w:val="Compact"/>
            </w:pPr>
            <w:r>
              <w:t xml:space="preserve">June 1990 Century City confrontation: police violence against janitors and supporters becomes a focal conflict event.</w:t>
            </w:r>
            <w:r>
              <w:t xml:space="preserve"> </w:t>
            </w:r>
            <w:hyperlink r:id="rId35">
              <w:r>
                <w:rPr>
                  <w:rStyle w:val="Hyperlink"/>
                </w:rPr>
                <w:t xml:space="preserve">[27]</w:t>
              </w:r>
            </w:hyperlink>
          </w:p>
        </w:tc>
      </w:tr>
      <w:tr>
        <w:tc>
          <w:tcPr/>
          <w:p>
            <w:pPr>
              <w:pStyle w:val="Compact"/>
            </w:pPr>
            <w:r>
              <w:t xml:space="preserve">1990s</w:t>
            </w:r>
          </w:p>
        </w:tc>
        <w:tc>
          <w:tcPr/>
          <w:p>
            <w:pPr>
              <w:pStyle w:val="Compact"/>
            </w:pPr>
            <w:r>
              <w:t xml:space="preserve">Re-unionization succeeds in portions of the sector; continuing debate about racial representation and the status of earlier Black workforce.</w:t>
            </w:r>
            <w:r>
              <w:t xml:space="preserve"> </w:t>
            </w:r>
            <w:hyperlink r:id="rId23">
              <w:r>
                <w:rPr>
                  <w:rStyle w:val="Hyperlink"/>
                </w:rPr>
                <w:t xml:space="preserve">[28]</w:t>
              </w:r>
            </w:hyperlink>
          </w:p>
        </w:tc>
        <w:tc>
          <w:tcPr/>
          <w:p>
            <w:pPr>
              <w:pStyle w:val="Compact"/>
            </w:pPr>
            <w:r>
              <w:t xml:space="preserve">Scholarship notes persistent unresolved conflict-of-interest dynamics between Latinos and African Americans as the workforce and union reorganize.</w:t>
            </w:r>
            <w:r>
              <w:t xml:space="preserve"> </w:t>
            </w:r>
            <w:hyperlink r:id="rId34">
              <w:r>
                <w:rPr>
                  <w:rStyle w:val="Hyperlink"/>
                </w:rPr>
                <w:t xml:space="preserve">[23]</w:t>
              </w:r>
            </w:hyperlink>
          </w:p>
        </w:tc>
      </w:tr>
    </w:tbl>
    <w:bookmarkEnd w:id="36"/>
    <w:bookmarkStart w:id="37" w:name="key-actors-and-institutional-strategies"/>
    <w:p>
      <w:pPr>
        <w:pStyle w:val="Heading4"/>
      </w:pPr>
      <w:r>
        <w:t xml:space="preserve">Key actors and institutional strategies</w:t>
      </w:r>
    </w:p>
    <w:p>
      <w:pPr>
        <w:pStyle w:val="FirstParagraph"/>
      </w:pPr>
      <w:r>
        <w:t xml:space="preserve">Employers’ key structural move was</w:t>
      </w:r>
      <w:r>
        <w:t xml:space="preserve"> </w:t>
      </w:r>
      <w:r>
        <w:rPr>
          <w:b/>
          <w:bCs/>
        </w:rPr>
        <w:t xml:space="preserve">replacing direct employment by building owners</w:t>
      </w:r>
      <w:r>
        <w:t xml:space="preserve"> </w:t>
      </w:r>
      <w:r>
        <w:t xml:space="preserve">with</w:t>
      </w:r>
      <w:r>
        <w:t xml:space="preserve"> </w:t>
      </w:r>
      <w:r>
        <w:rPr>
          <w:b/>
          <w:bCs/>
        </w:rPr>
        <w:t xml:space="preserve">janitorial contractors</w:t>
      </w:r>
      <w:r>
        <w:t xml:space="preserve"> </w:t>
      </w:r>
      <w:r>
        <w:t xml:space="preserve">(and, in practice, contractors’ “union” vs “nonunion” arms), which made the nominal employer easier to replace and complicated traditional labor-law targeting of building owners.</w:t>
      </w:r>
      <w:r>
        <w:t xml:space="preserve"> </w:t>
      </w:r>
      <w:hyperlink r:id="rId23">
        <w:r>
          <w:rPr>
            <w:rStyle w:val="Hyperlink"/>
          </w:rPr>
          <w:t xml:space="preserve">[29]</w:t>
        </w:r>
      </w:hyperlink>
      <w:r>
        <w:t xml:space="preserve"> </w:t>
      </w:r>
      <w:r>
        <w:t xml:space="preserve">Wage gaps documented for 1983 illustrate the economic incentive: nonunion wages averaged below</w:t>
      </w:r>
      <w:r>
        <w:t xml:space="preserve"> </w:t>
      </w:r>
      <w:r>
        <w:rPr>
          <w:b/>
          <w:bCs/>
        </w:rPr>
        <w:t xml:space="preserve">$4/hour</w:t>
      </w:r>
      <w:r>
        <w:t xml:space="preserve"> </w:t>
      </w:r>
      <w:r>
        <w:t xml:space="preserve">while union janitors earned slightly over</w:t>
      </w:r>
      <w:r>
        <w:t xml:space="preserve"> </w:t>
      </w:r>
      <w:r>
        <w:rPr>
          <w:b/>
          <w:bCs/>
        </w:rPr>
        <w:t xml:space="preserve">$7/hour</w:t>
      </w:r>
      <w:r>
        <w:t xml:space="preserve">; by 1987 nonunion contractors controlled</w:t>
      </w:r>
      <w:r>
        <w:t xml:space="preserve"> </w:t>
      </w:r>
      <w:r>
        <w:rPr>
          <w:b/>
          <w:bCs/>
        </w:rPr>
        <w:t xml:space="preserve">83%</w:t>
      </w:r>
      <w:r>
        <w:t xml:space="preserve"> </w:t>
      </w:r>
      <w:r>
        <w:t xml:space="preserve">of the market, indicating the scale of restructuring.</w:t>
      </w:r>
      <w:r>
        <w:t xml:space="preserve"> </w:t>
      </w:r>
      <w:hyperlink r:id="rId22">
        <w:r>
          <w:rPr>
            <w:rStyle w:val="Hyperlink"/>
          </w:rPr>
          <w:t xml:space="preserve">[30]</w:t>
        </w:r>
      </w:hyperlink>
    </w:p>
    <w:p>
      <w:pPr>
        <w:pStyle w:val="BodyText"/>
      </w:pPr>
      <w:r>
        <w:t xml:space="preserve">The central labor actor was Service Employees International Union</w:t>
      </w:r>
      <w:hyperlink r:id="rId27">
        <w:r>
          <w:rPr>
            <w:rStyle w:val="Hyperlink"/>
          </w:rPr>
          <w:t xml:space="preserve">[31]</w:t>
        </w:r>
      </w:hyperlink>
      <w:r>
        <w:t xml:space="preserve"> </w:t>
      </w:r>
      <w:r>
        <w:t xml:space="preserve">(including Local 399 and the Justice for Janitors campaign). Organizing strategy—per the Los Angeles case study—shifted from bargaining with building owners to targeting the contractor network and pressuring owners/managers to use union contractors, reflecting the altered employer-of-record structure.</w:t>
      </w:r>
      <w:r>
        <w:t xml:space="preserve"> </w:t>
      </w:r>
      <w:hyperlink r:id="rId23">
        <w:r>
          <w:rPr>
            <w:rStyle w:val="Hyperlink"/>
          </w:rPr>
          <w:t xml:space="preserve">[32]</w:t>
        </w:r>
      </w:hyperlink>
    </w:p>
    <w:bookmarkEnd w:id="37"/>
    <w:bookmarkStart w:id="38" w:name="Xc501ec4c8cb032835d859bd8233060eb194dabb"/>
    <w:p>
      <w:pPr>
        <w:pStyle w:val="Heading4"/>
      </w:pPr>
      <w:r>
        <w:t xml:space="preserve">Workforce composition and occupational shifts</w:t>
      </w:r>
    </w:p>
    <w:p>
      <w:pPr>
        <w:pStyle w:val="FirstParagraph"/>
      </w:pPr>
      <w:r>
        <w:t xml:space="preserve">Table: Selected estimates of Los Angeles janitorial workforce composition shifts (note definitional differences)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1970</w:t>
            </w:r>
          </w:p>
        </w:tc>
        <w:tc>
          <w:tcPr/>
          <w:p>
            <w:pPr>
              <w:pStyle w:val="Compact"/>
              <w:jc w:val="right"/>
            </w:pPr>
            <w:r>
              <w:t xml:space="preserve">1980</w:t>
            </w:r>
          </w:p>
        </w:tc>
        <w:tc>
          <w:tcPr/>
          <w:p>
            <w:pPr>
              <w:pStyle w:val="Compact"/>
              <w:jc w:val="right"/>
            </w:pPr>
            <w:r>
              <w:t xml:space="preserve">1990</w:t>
            </w:r>
          </w:p>
        </w:tc>
      </w:tr>
      <w:tr>
        <w:tc>
          <w:tcPr/>
          <w:p>
            <w:pPr>
              <w:pStyle w:val="Compact"/>
            </w:pPr>
            <w:r>
              <w:t xml:space="preserve">Janitors in Los Angeles County: % Latino (all)</w:t>
            </w:r>
          </w:p>
        </w:tc>
        <w:tc>
          <w:tcPr/>
          <w:p>
            <w:pPr>
              <w:pStyle w:val="Compact"/>
              <w:jc w:val="right"/>
            </w:pPr>
            <w:r>
              <w:t xml:space="preserve">13%</w:t>
            </w:r>
          </w:p>
        </w:tc>
        <w:tc>
          <w:tcPr/>
          <w:p>
            <w:pPr>
              <w:pStyle w:val="Compact"/>
              <w:jc w:val="right"/>
            </w:pPr>
            <w:r>
              <w:t xml:space="preserve">—</w:t>
            </w:r>
          </w:p>
        </w:tc>
        <w:tc>
          <w:tcPr/>
          <w:p>
            <w:pPr>
              <w:pStyle w:val="Compact"/>
              <w:jc w:val="right"/>
            </w:pPr>
            <w:r>
              <w:t xml:space="preserve">68%</w:t>
            </w:r>
          </w:p>
        </w:tc>
      </w:tr>
      <w:tr>
        <w:tc>
          <w:tcPr/>
          <w:p>
            <w:pPr>
              <w:pStyle w:val="Compact"/>
            </w:pPr>
            <w:r>
              <w:t xml:space="preserve">Janitors in Los Angeles County: % African American</w:t>
            </w:r>
          </w:p>
        </w:tc>
        <w:tc>
          <w:tcPr/>
          <w:p>
            <w:pPr>
              <w:pStyle w:val="Compact"/>
              <w:jc w:val="right"/>
            </w:pPr>
            <w:r>
              <w:t xml:space="preserve">48%</w:t>
            </w:r>
          </w:p>
        </w:tc>
        <w:tc>
          <w:tcPr/>
          <w:p>
            <w:pPr>
              <w:pStyle w:val="Compact"/>
              <w:jc w:val="right"/>
            </w:pPr>
            <w:r>
              <w:t xml:space="preserve">—</w:t>
            </w:r>
          </w:p>
        </w:tc>
        <w:tc>
          <w:tcPr/>
          <w:p>
            <w:pPr>
              <w:pStyle w:val="Compact"/>
              <w:jc w:val="right"/>
            </w:pPr>
            <w:r>
              <w:t xml:space="preserve">14%</w:t>
            </w:r>
          </w:p>
        </w:tc>
      </w:tr>
      <w:tr>
        <w:tc>
          <w:tcPr/>
          <w:p>
            <w:pPr>
              <w:pStyle w:val="Compact"/>
            </w:pPr>
            <w:r>
              <w:t xml:space="preserve">Janitors in Los Angeles: % Latino immigrants</w:t>
            </w:r>
          </w:p>
        </w:tc>
        <w:tc>
          <w:tcPr/>
          <w:p>
            <w:pPr>
              <w:pStyle w:val="Compact"/>
              <w:jc w:val="right"/>
            </w:pPr>
            <w:r>
              <w:t xml:space="preserve">—</w:t>
            </w:r>
          </w:p>
        </w:tc>
        <w:tc>
          <w:tcPr/>
          <w:p>
            <w:pPr>
              <w:pStyle w:val="Compact"/>
              <w:jc w:val="right"/>
            </w:pPr>
            <w:r>
              <w:t xml:space="preserve">28%</w:t>
            </w:r>
          </w:p>
        </w:tc>
        <w:tc>
          <w:tcPr/>
          <w:p>
            <w:pPr>
              <w:pStyle w:val="Compact"/>
              <w:jc w:val="right"/>
            </w:pPr>
            <w:r>
              <w:t xml:space="preserve">61%</w:t>
            </w:r>
          </w:p>
        </w:tc>
      </w:tr>
      <w:tr>
        <w:tc>
          <w:tcPr/>
          <w:p>
            <w:pPr>
              <w:pStyle w:val="Compact"/>
            </w:pPr>
            <w:r>
              <w:t xml:space="preserve">Janitors in Los Angeles: % African American</w:t>
            </w:r>
          </w:p>
        </w:tc>
        <w:tc>
          <w:tcPr/>
          <w:p>
            <w:pPr>
              <w:pStyle w:val="Compact"/>
              <w:jc w:val="right"/>
            </w:pPr>
            <w:r>
              <w:t xml:space="preserve">—</w:t>
            </w:r>
          </w:p>
        </w:tc>
        <w:tc>
          <w:tcPr/>
          <w:p>
            <w:pPr>
              <w:pStyle w:val="Compact"/>
              <w:jc w:val="right"/>
            </w:pPr>
            <w:r>
              <w:t xml:space="preserve">31%</w:t>
            </w:r>
          </w:p>
        </w:tc>
        <w:tc>
          <w:tcPr/>
          <w:p>
            <w:pPr>
              <w:pStyle w:val="Compact"/>
              <w:jc w:val="right"/>
            </w:pPr>
            <w:r>
              <w:t xml:space="preserve">12%</w:t>
            </w:r>
          </w:p>
        </w:tc>
      </w:tr>
    </w:tbl>
    <w:p>
      <w:pPr>
        <w:pStyle w:val="BodyText"/>
      </w:pPr>
      <w:r>
        <w:t xml:space="preserve">Sources and notes: the 1970/1990 Los Angeles County figures come from a census-based janitor analysis; the 1980/1990 “Latino immigrants” and “African American” shares come from an academic Justice for Janitors case study summarizing employment shares over the decade.</w:t>
      </w:r>
      <w:r>
        <w:t xml:space="preserve"> </w:t>
      </w:r>
      <w:hyperlink r:id="rId22">
        <w:r>
          <w:rPr>
            <w:rStyle w:val="Hyperlink"/>
          </w:rPr>
          <w:t xml:space="preserve">[33]</w:t>
        </w:r>
      </w:hyperlink>
    </w:p>
    <w:bookmarkEnd w:id="38"/>
    <w:bookmarkStart w:id="39" w:name="documented-tension-mechanisms"/>
    <w:p>
      <w:pPr>
        <w:pStyle w:val="Heading4"/>
      </w:pPr>
      <w:r>
        <w:t xml:space="preserve">Documented tension mechanisms</w:t>
      </w:r>
    </w:p>
    <w:p>
      <w:pPr>
        <w:pStyle w:val="FirstParagraph"/>
      </w:pPr>
      <w:r>
        <w:t xml:space="preserve">Two distinct kinds of documented tension appear in the Los Angeles evidence.</w:t>
      </w:r>
    </w:p>
    <w:p>
      <w:pPr>
        <w:pStyle w:val="BodyText"/>
      </w:pPr>
      <w:r>
        <w:t xml:space="preserve">First is</w:t>
      </w:r>
      <w:r>
        <w:t xml:space="preserve"> </w:t>
      </w:r>
      <w:r>
        <w:rPr>
          <w:b/>
          <w:bCs/>
        </w:rPr>
        <w:t xml:space="preserve">structural exclusion via hiring channels</w:t>
      </w:r>
      <w:r>
        <w:t xml:space="preserve">. An employer-survey study of Black/immigrant competition in Los Angeles identifies network hiring as a mechanism that can “detach vacancies from the open market,” diminishing Black access, while employers perceive immigrants as more “desirable” and note “hostility between the two groups” as one reason inserting a Black worker into a predominantly Latino crew may be seen as difficult.</w:t>
      </w:r>
      <w:r>
        <w:t xml:space="preserve"> </w:t>
      </w:r>
      <w:hyperlink r:id="rId21">
        <w:r>
          <w:rPr>
            <w:rStyle w:val="Hyperlink"/>
          </w:rPr>
          <w:t xml:space="preserve">[34]</w:t>
        </w:r>
      </w:hyperlink>
      <w:r>
        <w:t xml:space="preserve"> </w:t>
      </w:r>
      <w:r>
        <w:t xml:space="preserve">This is an unusually direct, documented link from employer perceptions to intergroup tension and to employment outcomes.</w:t>
      </w:r>
    </w:p>
    <w:p>
      <w:pPr>
        <w:pStyle w:val="BodyText"/>
      </w:pPr>
      <w:r>
        <w:t xml:space="preserve">Second is the</w:t>
      </w:r>
      <w:r>
        <w:t xml:space="preserve"> </w:t>
      </w:r>
      <w:r>
        <w:rPr>
          <w:b/>
          <w:bCs/>
        </w:rPr>
        <w:t xml:space="preserve">narrative of “work ethic”</w:t>
      </w:r>
      <w:r>
        <w:t xml:space="preserve"> </w:t>
      </w:r>
      <w:r>
        <w:t xml:space="preserve">used to justify differential hiring and discipline. In the same employer interviews, managers contrast immigrant “work ethic” with claims about Black workers’ attitudes, and explicitly frame differential receptiveness to managerial authority (“The Hispanics are more apt to listen and agree…”)—a rhetoric that aligns with how “job taking” stories can be produced even when employers initiate turnover through subcontracting and selective recruitment.</w:t>
      </w:r>
      <w:r>
        <w:t xml:space="preserve"> </w:t>
      </w:r>
      <w:hyperlink r:id="rId21">
        <w:r>
          <w:rPr>
            <w:rStyle w:val="Hyperlink"/>
          </w:rPr>
          <w:t xml:space="preserve">[35]</w:t>
        </w:r>
      </w:hyperlink>
    </w:p>
    <w:bookmarkEnd w:id="39"/>
    <w:bookmarkEnd w:id="40"/>
    <w:bookmarkStart w:id="45" w:name="X5c4771ab93e65801244a1f9db3bf6bdcdd06937"/>
    <w:p>
      <w:pPr>
        <w:pStyle w:val="Heading3"/>
      </w:pPr>
      <w:r>
        <w:t xml:space="preserve">Mississippi</w:t>
      </w:r>
      <w:hyperlink r:id="rId24">
        <w:r>
          <w:rPr>
            <w:rStyle w:val="Hyperlink"/>
          </w:rPr>
          <w:t xml:space="preserve">[5]</w:t>
        </w:r>
      </w:hyperlink>
      <w:r>
        <w:t xml:space="preserve"> </w:t>
      </w:r>
      <w:r>
        <w:t xml:space="preserve">poultry processing and migrant recruitment with focus on the 1990s</w:t>
      </w:r>
    </w:p>
    <w:p>
      <w:pPr>
        <w:pStyle w:val="FirstParagraph"/>
      </w:pPr>
      <w:r>
        <w:t xml:space="preserve">In central Mississippi poultry processing, especially the Scott County region, the historical record ties labor turnover and intergroup tension to a longer arc: desegregation, the growth of a largely Black workforce in the 1960s, Black worker organizing in the 1970s, employer anti-union retaliation, and then a renewed reliance on Latino migrant recruitment in the mid-1990s.</w:t>
      </w:r>
      <w:r>
        <w:t xml:space="preserve"> </w:t>
      </w:r>
      <w:hyperlink r:id="rId25">
        <w:r>
          <w:rPr>
            <w:rStyle w:val="Hyperlink"/>
          </w:rPr>
          <w:t xml:space="preserve">[36]</w:t>
        </w:r>
      </w:hyperlink>
    </w:p>
    <w:p>
      <w:pPr>
        <w:pStyle w:val="BodyText"/>
      </w:pPr>
      <w:r>
        <w:t xml:space="preserve">A state encyclopedia entry written by Angela C. Stuesse</w:t>
      </w:r>
      <w:hyperlink r:id="rId26">
        <w:r>
          <w:rPr>
            <w:rStyle w:val="Hyperlink"/>
          </w:rPr>
          <w:t xml:space="preserve">[37]</w:t>
        </w:r>
      </w:hyperlink>
      <w:r>
        <w:t xml:space="preserve"> </w:t>
      </w:r>
      <w:r>
        <w:t xml:space="preserve">summarizes this sequence: the industry shifted from largely white to mostly Black labor in the 1960s; when Black workers organized in the 1970s, the industry “responded by turning to Latino immigrant labor.” It documents early recruitment from El Paso in 1977 and a decisive mid-1990s shift via a formal “Hispanic Project” involving weekly transport of migrants, employer-provided housing, and paycheck deductions, with thousands recruited between 1994 and 2001 and similar programs spreading to other processors.</w:t>
      </w:r>
      <w:r>
        <w:t xml:space="preserve"> </w:t>
      </w:r>
      <w:hyperlink r:id="rId25">
        <w:r>
          <w:rPr>
            <w:rStyle w:val="Hyperlink"/>
          </w:rPr>
          <w:t xml:space="preserve">[38]</w:t>
        </w:r>
      </w:hyperlink>
    </w:p>
    <w:bookmarkStart w:id="41" w:name="timeline-1"/>
    <w:p>
      <w:pPr>
        <w:pStyle w:val="Heading4"/>
      </w:pPr>
      <w:r>
        <w:t xml:space="preserve">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Key developments</w:t>
            </w:r>
          </w:p>
        </w:tc>
        <w:tc>
          <w:tcPr/>
          <w:p>
            <w:pPr>
              <w:pStyle w:val="Compact"/>
            </w:pPr>
            <w:r>
              <w:t xml:space="preserve">Tension/conflict signals documented</w:t>
            </w:r>
          </w:p>
        </w:tc>
      </w:tr>
      <w:tr>
        <w:tc>
          <w:tcPr/>
          <w:p>
            <w:pPr>
              <w:pStyle w:val="Compact"/>
            </w:pPr>
            <w:r>
              <w:t xml:space="preserve">1972–1975</w:t>
            </w:r>
          </w:p>
        </w:tc>
        <w:tc>
          <w:tcPr/>
          <w:p>
            <w:pPr>
              <w:pStyle w:val="Compact"/>
            </w:pPr>
            <w:r>
              <w:t xml:space="preserve">Formation of the Mississippi Poultry Workers' Union</w:t>
            </w:r>
            <w:hyperlink r:id="rId26">
              <w:r>
                <w:rPr>
                  <w:rStyle w:val="Hyperlink"/>
                </w:rPr>
                <w:t xml:space="preserve">[39]</w:t>
              </w:r>
            </w:hyperlink>
            <w:r>
              <w:t xml:space="preserve">; strike in Forest; employer retaliation and strikebreaking; intimidation and violence tied to policing and local power.</w:t>
            </w:r>
            <w:r>
              <w:t xml:space="preserve"> </w:t>
            </w:r>
            <w:hyperlink r:id="rId26">
              <w:r>
                <w:rPr>
                  <w:rStyle w:val="Hyperlink"/>
                </w:rPr>
                <w:t xml:space="preserve">[40]</w:t>
              </w:r>
            </w:hyperlink>
          </w:p>
        </w:tc>
        <w:tc>
          <w:tcPr/>
          <w:p>
            <w:pPr>
              <w:pStyle w:val="Compact"/>
            </w:pPr>
            <w:r>
              <w:t xml:space="preserve">Workers fired; picket-line violence and police intimidation recorded in interview-based historical account.</w:t>
            </w:r>
            <w:r>
              <w:t xml:space="preserve"> </w:t>
            </w:r>
            <w:hyperlink r:id="rId26">
              <w:r>
                <w:rPr>
                  <w:rStyle w:val="Hyperlink"/>
                </w:rPr>
                <w:t xml:space="preserve">[41]</w:t>
              </w:r>
            </w:hyperlink>
          </w:p>
        </w:tc>
      </w:tr>
      <w:tr>
        <w:tc>
          <w:tcPr/>
          <w:p>
            <w:pPr>
              <w:pStyle w:val="Compact"/>
            </w:pPr>
            <w:r>
              <w:t xml:space="preserve">1977–1980</w:t>
            </w:r>
          </w:p>
        </w:tc>
        <w:tc>
          <w:tcPr/>
          <w:p>
            <w:pPr>
              <w:pStyle w:val="Compact"/>
            </w:pPr>
            <w:r>
              <w:t xml:space="preserve">Recruit Mexicans/Mexican Americans from El Paso; union drive defeated in 1980 at B.C. Rogers.</w:t>
            </w:r>
            <w:r>
              <w:t xml:space="preserve"> </w:t>
            </w:r>
            <w:hyperlink r:id="rId25">
              <w:r>
                <w:rPr>
                  <w:rStyle w:val="Hyperlink"/>
                </w:rPr>
                <w:t xml:space="preserve">[42]</w:t>
              </w:r>
            </w:hyperlink>
          </w:p>
        </w:tc>
        <w:tc>
          <w:tcPr/>
          <w:p>
            <w:pPr>
              <w:pStyle w:val="Compact"/>
            </w:pPr>
            <w:r>
              <w:t xml:space="preserve">Defeat of organizing drive is treated as enabling tighter labor control and later recruitment strategies.</w:t>
            </w:r>
            <w:r>
              <w:t xml:space="preserve"> </w:t>
            </w:r>
            <w:hyperlink r:id="rId25">
              <w:r>
                <w:rPr>
                  <w:rStyle w:val="Hyperlink"/>
                </w:rPr>
                <w:t xml:space="preserve">[42]</w:t>
              </w:r>
            </w:hyperlink>
          </w:p>
        </w:tc>
      </w:tr>
      <w:tr>
        <w:tc>
          <w:tcPr/>
          <w:p>
            <w:pPr>
              <w:pStyle w:val="Compact"/>
            </w:pPr>
            <w:r>
              <w:t xml:space="preserve">1993–1998</w:t>
            </w:r>
          </w:p>
        </w:tc>
        <w:tc>
          <w:tcPr/>
          <w:p>
            <w:pPr>
              <w:pStyle w:val="Compact"/>
            </w:pPr>
            <w:r>
              <w:t xml:space="preserve">Recruitment effort to South Texas (700–800 in ~6 months); shift to Miami advertising; “Hispanic Project” begins with weekly bus recruitment; employer housing expands.</w:t>
            </w:r>
            <w:r>
              <w:t xml:space="preserve"> </w:t>
            </w:r>
            <w:hyperlink r:id="rId25">
              <w:r>
                <w:rPr>
                  <w:rStyle w:val="Hyperlink"/>
                </w:rPr>
                <w:t xml:space="preserve">[43]</w:t>
              </w:r>
            </w:hyperlink>
          </w:p>
        </w:tc>
        <w:tc>
          <w:tcPr/>
          <w:p>
            <w:pPr>
              <w:pStyle w:val="Compact"/>
            </w:pPr>
            <w:r>
              <w:t xml:space="preserve">Rhetoric of “labor shortages” and critiques of Black workers documented; tensions and stereotypes linked to recruitment and control.</w:t>
            </w:r>
            <w:r>
              <w:t xml:space="preserve"> </w:t>
            </w:r>
            <w:hyperlink r:id="rId26">
              <w:r>
                <w:rPr>
                  <w:rStyle w:val="Hyperlink"/>
                </w:rPr>
                <w:t xml:space="preserve">[44]</w:t>
              </w:r>
            </w:hyperlink>
          </w:p>
        </w:tc>
      </w:tr>
      <w:tr>
        <w:tc>
          <w:tcPr/>
          <w:p>
            <w:pPr>
              <w:pStyle w:val="Compact"/>
            </w:pPr>
            <w:r>
              <w:t xml:space="preserve">Late 1990s–2000s</w:t>
            </w:r>
          </w:p>
        </w:tc>
        <w:tc>
          <w:tcPr/>
          <w:p>
            <w:pPr>
              <w:pStyle w:val="Compact"/>
            </w:pPr>
            <w:r>
              <w:t xml:space="preserve">Project ends after ownership change; continued immigrant inflows (including increasing Mexican migration via Texas recruitment and labor brokers).</w:t>
            </w:r>
            <w:r>
              <w:t xml:space="preserve"> </w:t>
            </w:r>
            <w:hyperlink r:id="rId26">
              <w:r>
                <w:rPr>
                  <w:rStyle w:val="Hyperlink"/>
                </w:rPr>
                <w:t xml:space="preserve">[45]</w:t>
              </w:r>
            </w:hyperlink>
          </w:p>
        </w:tc>
        <w:tc>
          <w:tcPr/>
          <w:p>
            <w:pPr>
              <w:pStyle w:val="Compact"/>
            </w:pPr>
            <w:r>
              <w:t xml:space="preserve">Interview evidence of both tensions and alliances, and mutual grievances between groups, continues.</w:t>
            </w:r>
            <w:r>
              <w:t xml:space="preserve"> </w:t>
            </w:r>
            <w:hyperlink r:id="rId26">
              <w:r>
                <w:rPr>
                  <w:rStyle w:val="Hyperlink"/>
                </w:rPr>
                <w:t xml:space="preserve">[46]</w:t>
              </w:r>
            </w:hyperlink>
          </w:p>
        </w:tc>
      </w:tr>
    </w:tbl>
    <w:bookmarkEnd w:id="41"/>
    <w:bookmarkStart w:id="42" w:name="key-actors-and-employer-strategies"/>
    <w:p>
      <w:pPr>
        <w:pStyle w:val="Heading4"/>
      </w:pPr>
      <w:r>
        <w:t xml:space="preserve">Key actors and employer strategies</w:t>
      </w:r>
    </w:p>
    <w:p>
      <w:pPr>
        <w:pStyle w:val="FirstParagraph"/>
      </w:pPr>
      <w:r>
        <w:t xml:space="preserve">The pivotal employer actor in available documentation is B.C. Rogers Poultry</w:t>
      </w:r>
      <w:hyperlink r:id="rId26">
        <w:r>
          <w:rPr>
            <w:rStyle w:val="Hyperlink"/>
          </w:rPr>
          <w:t xml:space="preserve">[47]</w:t>
        </w:r>
      </w:hyperlink>
      <w:r>
        <w:t xml:space="preserve"> </w:t>
      </w:r>
      <w:r>
        <w:t xml:space="preserve">(headquartered in Morton). Employer strategies documented include:</w:t>
      </w:r>
      <w:r>
        <w:br/>
      </w:r>
      <w:r>
        <w:t xml:space="preserve">-</w:t>
      </w:r>
      <w:r>
        <w:t xml:space="preserve"> </w:t>
      </w:r>
      <w:r>
        <w:rPr>
          <w:b/>
          <w:bCs/>
        </w:rPr>
        <w:t xml:space="preserve">Recruitment drives</w:t>
      </w:r>
      <w:r>
        <w:t xml:space="preserve"> </w:t>
      </w:r>
      <w:r>
        <w:t xml:space="preserve">framed as responses to “labor shortages,” including early Mexican recruitment (1977) and later mass recruitment from South Texas and Miami.</w:t>
      </w:r>
      <w:r>
        <w:t xml:space="preserve"> </w:t>
      </w:r>
      <w:hyperlink r:id="rId25">
        <w:r>
          <w:rPr>
            <w:rStyle w:val="Hyperlink"/>
          </w:rPr>
          <w:t xml:space="preserve">[42]</w:t>
        </w:r>
      </w:hyperlink>
      <w:r>
        <w:br/>
      </w:r>
      <w:r>
        <w:t xml:space="preserve">-</w:t>
      </w:r>
      <w:r>
        <w:t xml:space="preserve"> </w:t>
      </w:r>
      <w:r>
        <w:rPr>
          <w:b/>
          <w:bCs/>
        </w:rPr>
        <w:t xml:space="preserve">Vertical control over housing and transport</w:t>
      </w:r>
      <w:r>
        <w:t xml:space="preserve">: company-owned trailers/houses, paycheck deductions for rent and transport, and reliance on third-party contractors “paid by the head” for transport in later phases.</w:t>
      </w:r>
      <w:r>
        <w:t xml:space="preserve"> </w:t>
      </w:r>
      <w:hyperlink r:id="rId26">
        <w:r>
          <w:rPr>
            <w:rStyle w:val="Hyperlink"/>
          </w:rPr>
          <w:t xml:space="preserve">[45]</w:t>
        </w:r>
      </w:hyperlink>
      <w:r>
        <w:br/>
      </w:r>
      <w:r>
        <w:t xml:space="preserve">-</w:t>
      </w:r>
      <w:r>
        <w:t xml:space="preserve"> </w:t>
      </w:r>
      <w:r>
        <w:rPr>
          <w:b/>
          <w:bCs/>
        </w:rPr>
        <w:t xml:space="preserve">Union avoidance and labor control</w:t>
      </w:r>
      <w:r>
        <w:t xml:space="preserve">: the post-1970s history is repeatedly framed as employers using intimidation, threats, and policy environment (e.g., right-to-work) to defeat organizing, then using immigrant recruitment as a labor-control tool.</w:t>
      </w:r>
      <w:r>
        <w:t xml:space="preserve"> </w:t>
      </w:r>
      <w:hyperlink r:id="rId26">
        <w:r>
          <w:rPr>
            <w:rStyle w:val="Hyperlink"/>
          </w:rPr>
          <w:t xml:space="preserve">[48]</w:t>
        </w:r>
      </w:hyperlink>
    </w:p>
    <w:p>
      <w:pPr>
        <w:pStyle w:val="BodyText"/>
      </w:pPr>
      <w:r>
        <w:t xml:space="preserve">The key worker/organizing actors include the Mississippi Poultry Workers’ Union in the 1970s and later multi-actor coalitions described in scholarship.</w:t>
      </w:r>
      <w:r>
        <w:t xml:space="preserve"> </w:t>
      </w:r>
      <w:hyperlink r:id="rId26">
        <w:r>
          <w:rPr>
            <w:rStyle w:val="Hyperlink"/>
          </w:rPr>
          <w:t xml:space="preserve">[49]</w:t>
        </w:r>
      </w:hyperlink>
    </w:p>
    <w:bookmarkEnd w:id="42"/>
    <w:bookmarkStart w:id="43" w:name="X4bb79d6720a7a04f9bdaaf62895d9063b20175b"/>
    <w:p>
      <w:pPr>
        <w:pStyle w:val="Heading4"/>
      </w:pPr>
      <w:r>
        <w:t xml:space="preserve">Demographic and employment indicators of occupational shifts</w:t>
      </w:r>
    </w:p>
    <w:p>
      <w:pPr>
        <w:pStyle w:val="FirstParagraph"/>
      </w:pPr>
      <w:r>
        <w:t xml:space="preserve">Plant-level and recruitment figures provide partial but meaningful indicators.</w:t>
      </w:r>
    </w:p>
    <w:p>
      <w:pPr>
        <w:pStyle w:val="Compact"/>
        <w:numPr>
          <w:ilvl w:val="0"/>
          <w:numId w:val="1001"/>
        </w:numPr>
      </w:pPr>
      <w:r>
        <w:t xml:space="preserve">In a 1972 strike report quoted in an historical account, the plant involved was described as</w:t>
      </w:r>
      <w:r>
        <w:t xml:space="preserve"> </w:t>
      </w:r>
      <w:r>
        <w:rPr>
          <w:b/>
          <w:bCs/>
        </w:rPr>
        <w:t xml:space="preserve">80% Black</w:t>
      </w:r>
      <w:r>
        <w:t xml:space="preserve"> </w:t>
      </w:r>
      <w:r>
        <w:t xml:space="preserve">at that time, anchoring the industry’s reliance on African American labor during the early organizing era.</w:t>
      </w:r>
      <w:r>
        <w:t xml:space="preserve"> </w:t>
      </w:r>
      <w:hyperlink r:id="rId26">
        <w:r>
          <w:rPr>
            <w:rStyle w:val="Hyperlink"/>
          </w:rPr>
          <w:t xml:space="preserve">[41]</w:t>
        </w:r>
      </w:hyperlink>
    </w:p>
    <w:p>
      <w:pPr>
        <w:pStyle w:val="Compact"/>
        <w:numPr>
          <w:ilvl w:val="0"/>
          <w:numId w:val="1001"/>
        </w:numPr>
      </w:pPr>
      <w:r>
        <w:t xml:space="preserve">By the mid-1990s, the “Hispanic Project” is described as recruiting</w:t>
      </w:r>
      <w:r>
        <w:t xml:space="preserve"> </w:t>
      </w:r>
      <w:r>
        <w:rPr>
          <w:b/>
          <w:bCs/>
        </w:rPr>
        <w:t xml:space="preserve">nearly 5,000 workers</w:t>
      </w:r>
      <w:r>
        <w:t xml:space="preserve"> </w:t>
      </w:r>
      <w:r>
        <w:t xml:space="preserve">over roughly four years into two neighboring towns (combined population under 10,000), and employer-owned housing and deductions are described as a systematic practice, indicating the scale of labor replacement/augmentation.</w:t>
      </w:r>
      <w:r>
        <w:t xml:space="preserve"> </w:t>
      </w:r>
      <w:hyperlink r:id="rId26">
        <w:r>
          <w:rPr>
            <w:rStyle w:val="Hyperlink"/>
          </w:rPr>
          <w:t xml:space="preserve">[45]</w:t>
        </w:r>
      </w:hyperlink>
    </w:p>
    <w:p>
      <w:pPr>
        <w:pStyle w:val="Compact"/>
        <w:numPr>
          <w:ilvl w:val="0"/>
          <w:numId w:val="1001"/>
        </w:numPr>
      </w:pPr>
      <w:r>
        <w:t xml:space="preserve">The same account documents the</w:t>
      </w:r>
      <w:r>
        <w:t xml:space="preserve"> </w:t>
      </w:r>
      <w:r>
        <w:rPr>
          <w:b/>
          <w:bCs/>
        </w:rPr>
        <w:t xml:space="preserve">economic terms</w:t>
      </w:r>
      <w:r>
        <w:t xml:space="preserve"> </w:t>
      </w:r>
      <w:r>
        <w:t xml:space="preserve">of recruitment: wages around</w:t>
      </w:r>
      <w:r>
        <w:t xml:space="preserve"> </w:t>
      </w:r>
      <w:r>
        <w:rPr>
          <w:b/>
          <w:bCs/>
        </w:rPr>
        <w:t xml:space="preserve">$6.50/hour</w:t>
      </w:r>
      <w:r>
        <w:t xml:space="preserve">, with weekly deductions for housing and transport leaving many workers with take-home pay “typically under $200/week.”</w:t>
      </w:r>
      <w:r>
        <w:t xml:space="preserve"> </w:t>
      </w:r>
      <w:hyperlink r:id="rId26">
        <w:r>
          <w:rPr>
            <w:rStyle w:val="Hyperlink"/>
          </w:rPr>
          <w:t xml:space="preserve">[50]</w:t>
        </w:r>
      </w:hyperlink>
    </w:p>
    <w:p>
      <w:pPr>
        <w:pStyle w:val="FirstParagraph"/>
      </w:pPr>
      <w:r>
        <w:t xml:space="preserve">Table: Selected quantitative indicators for Scott County poultry labor turnover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Indicator</w:t>
            </w:r>
          </w:p>
        </w:tc>
        <w:tc>
          <w:tcPr/>
          <w:p>
            <w:pPr>
              <w:pStyle w:val="Compact"/>
              <w:jc w:val="right"/>
            </w:pPr>
            <w:r>
              <w:t xml:space="preserve">Approx. date</w:t>
            </w:r>
          </w:p>
        </w:tc>
        <w:tc>
          <w:tcPr/>
          <w:p>
            <w:pPr>
              <w:pStyle w:val="Compact"/>
              <w:jc w:val="right"/>
            </w:pPr>
            <w:r>
              <w:t xml:space="preserve">Value</w:t>
            </w:r>
          </w:p>
        </w:tc>
      </w:tr>
      <w:tr>
        <w:tc>
          <w:tcPr/>
          <w:p>
            <w:pPr>
              <w:pStyle w:val="Compact"/>
            </w:pPr>
            <w:r>
              <w:t xml:space="preserve">Workforce composition in described strike plant</w:t>
            </w:r>
          </w:p>
        </w:tc>
        <w:tc>
          <w:tcPr/>
          <w:p>
            <w:pPr>
              <w:pStyle w:val="Compact"/>
              <w:jc w:val="right"/>
            </w:pPr>
            <w:r>
              <w:t xml:space="preserve">1972</w:t>
            </w:r>
          </w:p>
        </w:tc>
        <w:tc>
          <w:tcPr/>
          <w:p>
            <w:pPr>
              <w:pStyle w:val="Compact"/>
              <w:jc w:val="right"/>
            </w:pPr>
            <w:r>
              <w:t xml:space="preserve">80% Black</w:t>
            </w:r>
          </w:p>
        </w:tc>
      </w:tr>
      <w:tr>
        <w:tc>
          <w:tcPr/>
          <w:p>
            <w:pPr>
              <w:pStyle w:val="Compact"/>
            </w:pPr>
            <w:r>
              <w:t xml:space="preserve">Recruited workers through “Hispanic Project”</w:t>
            </w:r>
          </w:p>
        </w:tc>
        <w:tc>
          <w:tcPr/>
          <w:p>
            <w:pPr>
              <w:pStyle w:val="Compact"/>
              <w:jc w:val="right"/>
            </w:pPr>
            <w:r>
              <w:t xml:space="preserve">~1994–1998</w:t>
            </w:r>
          </w:p>
        </w:tc>
        <w:tc>
          <w:tcPr/>
          <w:p>
            <w:pPr>
              <w:pStyle w:val="Compact"/>
              <w:jc w:val="right"/>
            </w:pPr>
            <w:r>
              <w:t xml:space="preserve">~5,000 recruited (approx. as reported)</w:t>
            </w:r>
          </w:p>
        </w:tc>
      </w:tr>
      <w:tr>
        <w:tc>
          <w:tcPr/>
          <w:p>
            <w:pPr>
              <w:pStyle w:val="Compact"/>
            </w:pPr>
            <w:r>
              <w:t xml:space="preserve">Typical wage noted for recruited workers</w:t>
            </w:r>
          </w:p>
        </w:tc>
        <w:tc>
          <w:tcPr/>
          <w:p>
            <w:pPr>
              <w:pStyle w:val="Compact"/>
              <w:jc w:val="right"/>
            </w:pPr>
            <w:r>
              <w:t xml:space="preserve">early 1990s</w:t>
            </w:r>
          </w:p>
        </w:tc>
        <w:tc>
          <w:tcPr/>
          <w:p>
            <w:pPr>
              <w:pStyle w:val="Compact"/>
              <w:jc w:val="right"/>
            </w:pPr>
            <w:r>
              <w:t xml:space="preserve">~$6.50/hour</w:t>
            </w:r>
          </w:p>
        </w:tc>
      </w:tr>
      <w:tr>
        <w:tc>
          <w:tcPr/>
          <w:p>
            <w:pPr>
              <w:pStyle w:val="Compact"/>
            </w:pPr>
            <w:r>
              <w:t xml:space="preserve">Take-home pay after deductions (typical)</w:t>
            </w:r>
          </w:p>
        </w:tc>
        <w:tc>
          <w:tcPr/>
          <w:p>
            <w:pPr>
              <w:pStyle w:val="Compact"/>
              <w:jc w:val="right"/>
            </w:pPr>
            <w:r>
              <w:t xml:space="preserve">early 1990s</w:t>
            </w:r>
          </w:p>
        </w:tc>
        <w:tc>
          <w:tcPr/>
          <w:p>
            <w:pPr>
              <w:pStyle w:val="Compact"/>
              <w:jc w:val="right"/>
            </w:pPr>
            <w:r>
              <w:t xml:space="preserve">under $200/week</w:t>
            </w:r>
          </w:p>
        </w:tc>
      </w:tr>
    </w:tbl>
    <w:p>
      <w:pPr>
        <w:pStyle w:val="BodyText"/>
      </w:pPr>
      <w:r>
        <w:t xml:space="preserve">Sources: interview- and document-based historical account and Mississippi state encyclopedia synthesis.</w:t>
      </w:r>
      <w:r>
        <w:t xml:space="preserve"> </w:t>
      </w:r>
      <w:hyperlink r:id="rId26">
        <w:r>
          <w:rPr>
            <w:rStyle w:val="Hyperlink"/>
          </w:rPr>
          <w:t xml:space="preserve">[51]</w:t>
        </w:r>
      </w:hyperlink>
    </w:p>
    <w:bookmarkEnd w:id="43"/>
    <w:bookmarkStart w:id="44" w:name="X95019469cd3fb6c61768de0ee9f1b151825af66"/>
    <w:p>
      <w:pPr>
        <w:pStyle w:val="Heading4"/>
      </w:pPr>
      <w:r>
        <w:t xml:space="preserve">Documented incidents of tension and conflict tied to labor competition</w:t>
      </w:r>
    </w:p>
    <w:p>
      <w:pPr>
        <w:pStyle w:val="FirstParagraph"/>
      </w:pPr>
      <w:r>
        <w:t xml:space="preserve">This case provides unusually explicit textual evidence of how labor competition becomes racialized.</w:t>
      </w:r>
    </w:p>
    <w:p>
      <w:pPr>
        <w:pStyle w:val="BodyText"/>
      </w:pPr>
      <w:r>
        <w:t xml:space="preserve">A central Mississippi historical account records local statements praising “Mexicans” as workers and explicitly criticizing Black workers with “lazy” tropes—linking immigration directly to an account of why “they had to bring the immigrants in.”</w:t>
      </w:r>
      <w:r>
        <w:t xml:space="preserve"> </w:t>
      </w:r>
      <w:hyperlink r:id="rId26">
        <w:r>
          <w:rPr>
            <w:rStyle w:val="Hyperlink"/>
          </w:rPr>
          <w:t xml:space="preserve">[52]</w:t>
        </w:r>
      </w:hyperlink>
      <w:r>
        <w:t xml:space="preserve"> </w:t>
      </w:r>
      <w:r>
        <w:t xml:space="preserve">It also documents the reciprocal dimension: immigrant workers reported complaints that “Blacks can take long breaks…”—a workplace-grievance framing that, whatever its accuracy, evidences perceived unequal treatment and contributes to tension.</w:t>
      </w:r>
      <w:r>
        <w:t xml:space="preserve"> </w:t>
      </w:r>
      <w:hyperlink r:id="rId26">
        <w:r>
          <w:rPr>
            <w:rStyle w:val="Hyperlink"/>
          </w:rPr>
          <w:t xml:space="preserve">[53]</w:t>
        </w:r>
      </w:hyperlink>
    </w:p>
    <w:p>
      <w:pPr>
        <w:pStyle w:val="BodyText"/>
      </w:pPr>
      <w:r>
        <w:t xml:space="preserve">The same narrative contains a succinct African American interpretation of employer sequencing: “the whites left for more money, so they brought in blacks. Then when blacks wanted more money, they brought immigrants.”</w:t>
      </w:r>
      <w:r>
        <w:t xml:space="preserve"> </w:t>
      </w:r>
      <w:hyperlink r:id="rId26">
        <w:r>
          <w:rPr>
            <w:rStyle w:val="Hyperlink"/>
          </w:rPr>
          <w:t xml:space="preserve">[53]</w:t>
        </w:r>
      </w:hyperlink>
      <w:r>
        <w:t xml:space="preserve"> </w:t>
      </w:r>
      <w:r>
        <w:t xml:space="preserve">This is a direct articulation of the</w:t>
      </w:r>
      <w:r>
        <w:t xml:space="preserve"> </w:t>
      </w:r>
      <w:r>
        <w:rPr>
          <w:b/>
          <w:bCs/>
        </w:rPr>
        <w:t xml:space="preserve">employer-intent hypothesis</w:t>
      </w:r>
      <w:r>
        <w:t xml:space="preserve"> </w:t>
      </w:r>
      <w:r>
        <w:t xml:space="preserve">in community memory: workers connect ethnic succession to wage demands and labor control rather than to inherent group traits.</w:t>
      </w:r>
    </w:p>
    <w:bookmarkEnd w:id="44"/>
    <w:bookmarkEnd w:id="45"/>
    <w:bookmarkStart w:id="50" w:name="Xf7dfbf48187d2f5e30e2788038df85ecc706cd5"/>
    <w:p>
      <w:pPr>
        <w:pStyle w:val="Heading3"/>
      </w:pPr>
      <w:r>
        <w:t xml:space="preserve">Arkansas Delta</w:t>
      </w:r>
      <w:hyperlink r:id="rId27">
        <w:r>
          <w:rPr>
            <w:rStyle w:val="Hyperlink"/>
          </w:rPr>
          <w:t xml:space="preserve">[8]</w:t>
        </w:r>
      </w:hyperlink>
      <w:r>
        <w:t xml:space="preserve"> </w:t>
      </w:r>
      <w:r>
        <w:t xml:space="preserve">bracero-era agriculture from the 1940s to the 1950s</w:t>
      </w:r>
    </w:p>
    <w:p>
      <w:pPr>
        <w:pStyle w:val="FirstParagraph"/>
      </w:pPr>
      <w:r>
        <w:t xml:space="preserve">The bracero-era Arkansas Delta case differs from late-20th-century industrial cases in that labor competition was mediated by a binational contract-labor program that was explicitly justified as addressing “labor shortages,” but widely criticized as depressing wages and competing with domestic workers.</w:t>
      </w:r>
    </w:p>
    <w:p>
      <w:pPr>
        <w:pStyle w:val="BodyText"/>
      </w:pPr>
      <w:r>
        <w:t xml:space="preserve">An Arkansas historical synthesis describes the bracero program as beginning via a 1942 bilateral agreement and notes Delta landowners’ eagerness to participate as Delta population declined (1940–1960). It explicitly states that “tension resulting from competition for employment” contributed to limited relationships between braceros and local whites and African Americans.</w:t>
      </w:r>
      <w:r>
        <w:t xml:space="preserve"> </w:t>
      </w:r>
      <w:hyperlink r:id="rId28">
        <w:r>
          <w:rPr>
            <w:rStyle w:val="Hyperlink"/>
          </w:rPr>
          <w:t xml:space="preserve">[54]</w:t>
        </w:r>
      </w:hyperlink>
      <w:r>
        <w:t xml:space="preserve"> </w:t>
      </w:r>
      <w:r>
        <w:t xml:space="preserve">It also reports a 1960 peak of “more than 30,000” braceros laboring in Arkansas and notes the U.S. Department of Labor</w:t>
      </w:r>
      <w:hyperlink r:id="rId21">
        <w:r>
          <w:rPr>
            <w:rStyle w:val="Hyperlink"/>
          </w:rPr>
          <w:t xml:space="preserve">[55]</w:t>
        </w:r>
      </w:hyperlink>
      <w:r>
        <w:t xml:space="preserve"> </w:t>
      </w:r>
      <w:r>
        <w:t xml:space="preserve">raising concerns that growers hired Mexicans when local labor was plentiful, “artificially lowering wages.”</w:t>
      </w:r>
      <w:r>
        <w:t xml:space="preserve"> </w:t>
      </w:r>
      <w:hyperlink r:id="rId28">
        <w:r>
          <w:rPr>
            <w:rStyle w:val="Hyperlink"/>
          </w:rPr>
          <w:t xml:space="preserve">[56]</w:t>
        </w:r>
      </w:hyperlink>
    </w:p>
    <w:p>
      <w:pPr>
        <w:pStyle w:val="BodyText"/>
      </w:pPr>
      <w:r>
        <w:t xml:space="preserve">A national historical investigation produced from the Bracero History Archive (an educational synthesis drawing on archival and oral-history materials) frames the bracero program as the largest US “experiment with guest workers” and reports</w:t>
      </w:r>
      <w:r>
        <w:t xml:space="preserve"> </w:t>
      </w:r>
      <w:r>
        <w:rPr>
          <w:b/>
          <w:bCs/>
        </w:rPr>
        <w:t xml:space="preserve">4.6 million contracts</w:t>
      </w:r>
      <w:r>
        <w:t xml:space="preserve"> </w:t>
      </w:r>
      <w:r>
        <w:t xml:space="preserve">signed from 1942–1964. It documents domestic farmworkers’ worries about job competition and wage depression, and notes that—although safeguards existed in theory (including non-strikebreaking provisions and prevailing-wage requirements)—employers often ignored rules in practice.</w:t>
      </w:r>
      <w:r>
        <w:t xml:space="preserve"> </w:t>
      </w:r>
      <w:hyperlink r:id="rId27">
        <w:r>
          <w:rPr>
            <w:rStyle w:val="Hyperlink"/>
          </w:rPr>
          <w:t xml:space="preserve">[57]</w:t>
        </w:r>
      </w:hyperlink>
    </w:p>
    <w:bookmarkStart w:id="46" w:name="timeline-2"/>
    <w:p>
      <w:pPr>
        <w:pStyle w:val="Heading4"/>
      </w:pPr>
      <w:r>
        <w:t xml:space="preserve">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Key developments</w:t>
            </w:r>
          </w:p>
        </w:tc>
        <w:tc>
          <w:tcPr/>
          <w:p>
            <w:pPr>
              <w:pStyle w:val="Compact"/>
            </w:pPr>
            <w:r>
              <w:t xml:space="preserve">Tension/conflict signals documented</w:t>
            </w:r>
          </w:p>
        </w:tc>
      </w:tr>
      <w:tr>
        <w:tc>
          <w:tcPr/>
          <w:p>
            <w:pPr>
              <w:pStyle w:val="Compact"/>
            </w:pPr>
            <w:r>
              <w:t xml:space="preserve">1942–1951</w:t>
            </w:r>
          </w:p>
        </w:tc>
        <w:tc>
          <w:tcPr/>
          <w:p>
            <w:pPr>
              <w:pStyle w:val="Compact"/>
            </w:pPr>
            <w:r>
              <w:t xml:space="preserve">Program begins via bilateral agreements; later formalized by Public Law 78 (1951) amid Korean War-era labor politics.</w:t>
            </w:r>
            <w:r>
              <w:t xml:space="preserve"> </w:t>
            </w:r>
            <w:hyperlink r:id="rId27">
              <w:r>
                <w:rPr>
                  <w:rStyle w:val="Hyperlink"/>
                </w:rPr>
                <w:t xml:space="preserve">[58]</w:t>
              </w:r>
            </w:hyperlink>
          </w:p>
        </w:tc>
        <w:tc>
          <w:tcPr/>
          <w:p>
            <w:pPr>
              <w:pStyle w:val="Compact"/>
            </w:pPr>
            <w:r>
              <w:t xml:space="preserve">Domestic workers worry about job competition and wage depression; rules against strikebreaking exist but are described as ignored in practice.</w:t>
            </w:r>
            <w:r>
              <w:t xml:space="preserve"> </w:t>
            </w:r>
            <w:hyperlink r:id="rId27">
              <w:r>
                <w:rPr>
                  <w:rStyle w:val="Hyperlink"/>
                </w:rPr>
                <w:t xml:space="preserve">[57]</w:t>
              </w:r>
            </w:hyperlink>
          </w:p>
        </w:tc>
      </w:tr>
      <w:tr>
        <w:tc>
          <w:tcPr/>
          <w:p>
            <w:pPr>
              <w:pStyle w:val="Compact"/>
            </w:pPr>
            <w:r>
              <w:t xml:space="preserve">Late 1940s–1950s</w:t>
            </w:r>
          </w:p>
        </w:tc>
        <w:tc>
          <w:tcPr/>
          <w:p>
            <w:pPr>
              <w:pStyle w:val="Compact"/>
            </w:pPr>
            <w:r>
              <w:t xml:space="preserve">Arkansas Delta growers increasingly use braceros; program expands; civil society and religious actors sometimes mediating conditions (e.g., migrant center).</w:t>
            </w:r>
            <w:r>
              <w:t xml:space="preserve"> </w:t>
            </w:r>
            <w:hyperlink r:id="rId28">
              <w:r>
                <w:rPr>
                  <w:rStyle w:val="Hyperlink"/>
                </w:rPr>
                <w:t xml:space="preserve">[59]</w:t>
              </w:r>
            </w:hyperlink>
          </w:p>
        </w:tc>
        <w:tc>
          <w:tcPr/>
          <w:p>
            <w:pPr>
              <w:pStyle w:val="Compact"/>
            </w:pPr>
            <w:r>
              <w:t xml:space="preserve">State encyclopedia explicitly notes employment-competition tension affecting bracero relations with local African Americans.</w:t>
            </w:r>
            <w:r>
              <w:t xml:space="preserve"> </w:t>
            </w:r>
            <w:hyperlink r:id="rId28">
              <w:r>
                <w:rPr>
                  <w:rStyle w:val="Hyperlink"/>
                </w:rPr>
                <w:t xml:space="preserve">[59]</w:t>
              </w:r>
            </w:hyperlink>
          </w:p>
        </w:tc>
      </w:tr>
      <w:tr>
        <w:tc>
          <w:tcPr/>
          <w:p>
            <w:pPr>
              <w:pStyle w:val="Compact"/>
            </w:pPr>
            <w:r>
              <w:t xml:space="preserve">1960 (contextual)</w:t>
            </w:r>
          </w:p>
        </w:tc>
        <w:tc>
          <w:tcPr/>
          <w:p>
            <w:pPr>
              <w:pStyle w:val="Compact"/>
            </w:pPr>
            <w:r>
              <w:t xml:space="preserve">Arkansas bracero use peaks (30,000+).</w:t>
            </w:r>
            <w:r>
              <w:t xml:space="preserve"> </w:t>
            </w:r>
            <w:hyperlink r:id="rId28">
              <w:r>
                <w:rPr>
                  <w:rStyle w:val="Hyperlink"/>
                </w:rPr>
                <w:t xml:space="preserve">[56]</w:t>
              </w:r>
            </w:hyperlink>
          </w:p>
        </w:tc>
        <w:tc>
          <w:tcPr/>
          <w:p>
            <w:pPr>
              <w:pStyle w:val="Compact"/>
            </w:pPr>
            <w:r>
              <w:t xml:space="preserve">US DOL concerns regarding use when local labor was plentiful signal institutional conflict over displacement and wage suppression.</w:t>
            </w:r>
            <w:r>
              <w:t xml:space="preserve"> </w:t>
            </w:r>
            <w:hyperlink r:id="rId28">
              <w:r>
                <w:rPr>
                  <w:rStyle w:val="Hyperlink"/>
                </w:rPr>
                <w:t xml:space="preserve">[59]</w:t>
              </w:r>
            </w:hyperlink>
          </w:p>
        </w:tc>
      </w:tr>
    </w:tbl>
    <w:bookmarkEnd w:id="46"/>
    <w:bookmarkStart w:id="47" w:name="key-actors-and-employer-strategies-1"/>
    <w:p>
      <w:pPr>
        <w:pStyle w:val="Heading4"/>
      </w:pPr>
      <w:r>
        <w:t xml:space="preserve">Key actors and employer strategies</w:t>
      </w:r>
    </w:p>
    <w:p>
      <w:pPr>
        <w:pStyle w:val="FirstParagraph"/>
      </w:pPr>
      <w:r>
        <w:t xml:space="preserve">Key state-side institutional actors included federal agencies involved in administering the program historically (e.g., Farm Security Administration per Arkansas synthesis) and the binational agreement structure.</w:t>
      </w:r>
      <w:r>
        <w:t xml:space="preserve"> </w:t>
      </w:r>
      <w:hyperlink r:id="rId28">
        <w:r>
          <w:rPr>
            <w:rStyle w:val="Hyperlink"/>
          </w:rPr>
          <w:t xml:space="preserve">[60]</w:t>
        </w:r>
      </w:hyperlink>
      <w:r>
        <w:t xml:space="preserve"> </w:t>
      </w:r>
      <w:r>
        <w:t xml:space="preserve">On the employer side, the central strategy is structural: a</w:t>
      </w:r>
      <w:r>
        <w:t xml:space="preserve"> </w:t>
      </w:r>
      <w:r>
        <w:rPr>
          <w:b/>
          <w:bCs/>
        </w:rPr>
        <w:t xml:space="preserve">large, flexible contracted workforce</w:t>
      </w:r>
      <w:r>
        <w:t xml:space="preserve"> </w:t>
      </w:r>
      <w:r>
        <w:t xml:space="preserve">that can be expanded when domestic workers demand better terms. This strategy is precisely what domestic farmworkers worried about and what the US DOL later questioned, as described in the Arkansas synthesis and Smithsonian/Bracero Archive materials.</w:t>
      </w:r>
      <w:r>
        <w:t xml:space="preserve"> </w:t>
      </w:r>
      <w:hyperlink r:id="rId28">
        <w:r>
          <w:rPr>
            <w:rStyle w:val="Hyperlink"/>
          </w:rPr>
          <w:t xml:space="preserve">[9]</w:t>
        </w:r>
      </w:hyperlink>
    </w:p>
    <w:bookmarkEnd w:id="47"/>
    <w:bookmarkStart w:id="48" w:name="demographic-and-employment-data"/>
    <w:p>
      <w:pPr>
        <w:pStyle w:val="Heading4"/>
      </w:pPr>
      <w:r>
        <w:t xml:space="preserve">Demographic and employment data</w:t>
      </w:r>
    </w:p>
    <w:p>
      <w:pPr>
        <w:pStyle w:val="FirstParagraph"/>
      </w:pPr>
      <w:r>
        <w:t xml:space="preserve">Available indicators are program headcounts and regional population shifts rather than race-specific occupational shares.</w:t>
      </w:r>
    </w:p>
    <w:p>
      <w:pPr>
        <w:pStyle w:val="BodyText"/>
      </w:pPr>
      <w:r>
        <w:t xml:space="preserve">Table: Selected quantitative indicators for Arkansas Delta bracero-era labor markets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Indicator</w:t>
            </w:r>
          </w:p>
        </w:tc>
        <w:tc>
          <w:tcPr/>
          <w:p>
            <w:pPr>
              <w:pStyle w:val="Compact"/>
              <w:jc w:val="right"/>
            </w:pPr>
            <w:r>
              <w:t xml:space="preserve">1940s–1950s context</w:t>
            </w:r>
          </w:p>
        </w:tc>
        <w:tc>
          <w:tcPr/>
          <w:p>
            <w:pPr>
              <w:pStyle w:val="Compact"/>
              <w:jc w:val="right"/>
            </w:pPr>
            <w:r>
              <w:t xml:space="preserve">Value</w:t>
            </w:r>
          </w:p>
        </w:tc>
      </w:tr>
      <w:tr>
        <w:tc>
          <w:tcPr/>
          <w:p>
            <w:pPr>
              <w:pStyle w:val="Compact"/>
            </w:pPr>
            <w:r>
              <w:t xml:space="preserve">Arkansas Delta population</w:t>
            </w:r>
          </w:p>
        </w:tc>
        <w:tc>
          <w:tcPr/>
          <w:p>
            <w:pPr>
              <w:pStyle w:val="Compact"/>
              <w:jc w:val="right"/>
            </w:pPr>
            <w:r>
              <w:t xml:space="preserve">1940 → 1960</w:t>
            </w:r>
          </w:p>
        </w:tc>
        <w:tc>
          <w:tcPr/>
          <w:p>
            <w:pPr>
              <w:pStyle w:val="Compact"/>
              <w:jc w:val="right"/>
            </w:pPr>
            <w:r>
              <w:t xml:space="preserve">704,608 → 620,578</w:t>
            </w:r>
          </w:p>
        </w:tc>
      </w:tr>
      <w:tr>
        <w:tc>
          <w:tcPr/>
          <w:p>
            <w:pPr>
              <w:pStyle w:val="Compact"/>
            </w:pPr>
            <w:r>
              <w:t xml:space="preserve">Braceros in Arkansas (peak, contextual to late 1950s trajectory)</w:t>
            </w:r>
          </w:p>
        </w:tc>
        <w:tc>
          <w:tcPr/>
          <w:p>
            <w:pPr>
              <w:pStyle w:val="Compact"/>
              <w:jc w:val="right"/>
            </w:pPr>
            <w:r>
              <w:t xml:space="preserve">1960</w:t>
            </w:r>
          </w:p>
        </w:tc>
        <w:tc>
          <w:tcPr/>
          <w:p>
            <w:pPr>
              <w:pStyle w:val="Compact"/>
              <w:jc w:val="right"/>
            </w:pPr>
            <w:r>
              <w:t xml:space="preserve">&gt;30,000 braceros</w:t>
            </w:r>
          </w:p>
        </w:tc>
      </w:tr>
      <w:tr>
        <w:tc>
          <w:tcPr/>
          <w:p>
            <w:pPr>
              <w:pStyle w:val="Compact"/>
            </w:pPr>
            <w:r>
              <w:t xml:space="preserve">Bracero contracts (national)</w:t>
            </w:r>
          </w:p>
        </w:tc>
        <w:tc>
          <w:tcPr/>
          <w:p>
            <w:pPr>
              <w:pStyle w:val="Compact"/>
              <w:jc w:val="right"/>
            </w:pPr>
            <w:r>
              <w:t xml:space="preserve">1942–1964</w:t>
            </w:r>
          </w:p>
        </w:tc>
        <w:tc>
          <w:tcPr/>
          <w:p>
            <w:pPr>
              <w:pStyle w:val="Compact"/>
              <w:jc w:val="right"/>
            </w:pPr>
            <w:r>
              <w:t xml:space="preserve">4.6 million contracts</w:t>
            </w:r>
          </w:p>
        </w:tc>
      </w:tr>
    </w:tbl>
    <w:p>
      <w:pPr>
        <w:pStyle w:val="BodyText"/>
      </w:pPr>
      <w:r>
        <w:t xml:space="preserve">Sources: Arkansas historical synthesis and Bracero History Archive educational investigation.</w:t>
      </w:r>
      <w:r>
        <w:t xml:space="preserve"> </w:t>
      </w:r>
      <w:hyperlink r:id="rId28">
        <w:r>
          <w:rPr>
            <w:rStyle w:val="Hyperlink"/>
          </w:rPr>
          <w:t xml:space="preserve">[61]</w:t>
        </w:r>
      </w:hyperlink>
    </w:p>
    <w:bookmarkEnd w:id="48"/>
    <w:bookmarkStart w:id="49" w:name="documented-tension-mechanisms-1"/>
    <w:p>
      <w:pPr>
        <w:pStyle w:val="Heading4"/>
      </w:pPr>
      <w:r>
        <w:t xml:space="preserve">Documented tension mechanisms</w:t>
      </w:r>
    </w:p>
    <w:p>
      <w:pPr>
        <w:pStyle w:val="FirstParagraph"/>
      </w:pPr>
      <w:r>
        <w:t xml:space="preserve">Two mechanisms are documented at this level of evidence.</w:t>
      </w:r>
    </w:p>
    <w:p>
      <w:pPr>
        <w:pStyle w:val="BodyText"/>
      </w:pPr>
      <w:r>
        <w:t xml:space="preserve">First, domestic workers’ fear of</w:t>
      </w:r>
      <w:r>
        <w:t xml:space="preserve"> </w:t>
      </w:r>
      <w:r>
        <w:rPr>
          <w:b/>
          <w:bCs/>
        </w:rPr>
        <w:t xml:space="preserve">wage depression and job competition</w:t>
      </w:r>
      <w:r>
        <w:t xml:space="preserve">—a classic labor-competition channel—appears in national bracero summaries, which explicitly report domestic-worker worries and the weak enforcement of safeguards in practice.</w:t>
      </w:r>
      <w:r>
        <w:t xml:space="preserve"> </w:t>
      </w:r>
      <w:hyperlink r:id="rId27">
        <w:r>
          <w:rPr>
            <w:rStyle w:val="Hyperlink"/>
          </w:rPr>
          <w:t xml:space="preserve">[57]</w:t>
        </w:r>
      </w:hyperlink>
      <w:r>
        <w:t xml:space="preserve"> </w:t>
      </w:r>
      <w:r>
        <w:t xml:space="preserve">Second, Arkansas-specific synthesis identifies</w:t>
      </w:r>
      <w:r>
        <w:t xml:space="preserve"> </w:t>
      </w:r>
      <w:r>
        <w:rPr>
          <w:b/>
          <w:bCs/>
        </w:rPr>
        <w:t xml:space="preserve">competition-driven tension</w:t>
      </w:r>
      <w:r>
        <w:t xml:space="preserve"> </w:t>
      </w:r>
      <w:r>
        <w:t xml:space="preserve">between braceros and local African Americans, suggesting that braceros were not merely segregated “separately,” but were perceived to be in the same labor market for farm employment.</w:t>
      </w:r>
      <w:r>
        <w:t xml:space="preserve"> </w:t>
      </w:r>
      <w:hyperlink r:id="rId28">
        <w:r>
          <w:rPr>
            <w:rStyle w:val="Hyperlink"/>
          </w:rPr>
          <w:t xml:space="preserve">[59]</w:t>
        </w:r>
      </w:hyperlink>
    </w:p>
    <w:bookmarkEnd w:id="49"/>
    <w:bookmarkEnd w:id="50"/>
    <w:bookmarkStart w:id="54" w:name="Xd7e40a7fc429622f6f97af45e41922a9e81fbc8"/>
    <w:p>
      <w:pPr>
        <w:pStyle w:val="Heading3"/>
      </w:pPr>
      <w:r>
        <w:t xml:space="preserve">New Orleans</w:t>
      </w:r>
      <w:hyperlink r:id="rId29">
        <w:r>
          <w:rPr>
            <w:rStyle w:val="Hyperlink"/>
          </w:rPr>
          <w:t xml:space="preserve">[11]</w:t>
        </w:r>
      </w:hyperlink>
      <w:r>
        <w:t xml:space="preserve"> </w:t>
      </w:r>
      <w:r>
        <w:t xml:space="preserve">reconstruction labor markets after Hurricane Katrina</w:t>
      </w:r>
    </w:p>
    <w:p>
      <w:pPr>
        <w:pStyle w:val="FirstParagraph"/>
      </w:pPr>
      <w:r>
        <w:t xml:space="preserve">Post-Katrina New Orleans provides one of the clearest modern instances where “immigrants taking jobs from Black residents” became a</w:t>
      </w:r>
      <w:r>
        <w:t xml:space="preserve"> </w:t>
      </w:r>
      <w:r>
        <w:rPr>
          <w:b/>
          <w:bCs/>
        </w:rPr>
        <w:t xml:space="preserve">public narrative</w:t>
      </w:r>
      <w:r>
        <w:t xml:space="preserve">, and where high-quality research connects that narrative to measured workforce composition, employer incentives, and the vulnerability of undocumented labor.</w:t>
      </w:r>
    </w:p>
    <w:p>
      <w:pPr>
        <w:pStyle w:val="BodyText"/>
      </w:pPr>
      <w:r>
        <w:t xml:space="preserve">A population-based study of labor and human rights in New Orleans reconstruction estimated:</w:t>
      </w:r>
      <w:r>
        <w:br/>
      </w:r>
      <w:r>
        <w:t xml:space="preserve">-</w:t>
      </w:r>
      <w:r>
        <w:t xml:space="preserve"> </w:t>
      </w:r>
      <w:r>
        <w:rPr>
          <w:b/>
          <w:bCs/>
        </w:rPr>
        <w:t xml:space="preserve">45% of construction workers were Latino</w:t>
      </w:r>
      <w:r>
        <w:t xml:space="preserve">, and</w:t>
      </w:r>
      <w:r>
        <w:t xml:space="preserve"> </w:t>
      </w:r>
      <w:r>
        <w:rPr>
          <w:b/>
          <w:bCs/>
        </w:rPr>
        <w:t xml:space="preserve">54% of Latinos were undocumented</w:t>
      </w:r>
      <w:r>
        <w:t xml:space="preserve">.</w:t>
      </w:r>
      <w:r>
        <w:br/>
      </w:r>
      <w:r>
        <w:t xml:space="preserve">- Among US citizens and permanent residents in construction,</w:t>
      </w:r>
      <w:r>
        <w:t xml:space="preserve"> </w:t>
      </w:r>
      <w:r>
        <w:rPr>
          <w:b/>
          <w:bCs/>
        </w:rPr>
        <w:t xml:space="preserve">34% were African American</w:t>
      </w:r>
      <w:r>
        <w:t xml:space="preserve">,</w:t>
      </w:r>
      <w:r>
        <w:t xml:space="preserve"> </w:t>
      </w:r>
      <w:r>
        <w:rPr>
          <w:b/>
          <w:bCs/>
        </w:rPr>
        <w:t xml:space="preserve">40% Caucasian</w:t>
      </w:r>
      <w:r>
        <w:t xml:space="preserve">,</w:t>
      </w:r>
      <w:r>
        <w:t xml:space="preserve"> </w:t>
      </w:r>
      <w:r>
        <w:rPr>
          <w:b/>
          <w:bCs/>
        </w:rPr>
        <w:t xml:space="preserve">20% Latino</w:t>
      </w:r>
      <w:r>
        <w:t xml:space="preserve">, and</w:t>
      </w:r>
      <w:r>
        <w:t xml:space="preserve"> </w:t>
      </w:r>
      <w:r>
        <w:rPr>
          <w:b/>
          <w:bCs/>
        </w:rPr>
        <w:t xml:space="preserve">6% other/declined</w:t>
      </w:r>
      <w:r>
        <w:t xml:space="preserve">; all undocumented workers were Latino (as reported in the study’s tabulation).</w:t>
      </w:r>
      <w:r>
        <w:t xml:space="preserve"> </w:t>
      </w:r>
      <w:hyperlink r:id="rId24">
        <w:r>
          <w:rPr>
            <w:rStyle w:val="Hyperlink"/>
          </w:rPr>
          <w:t xml:space="preserve">[62]</w:t>
        </w:r>
      </w:hyperlink>
      <w:r>
        <w:br/>
      </w:r>
      <w:r>
        <w:t xml:space="preserve">- Key informants reported employer bias in favor of Latino immigrants and warned that absent state intervention, job competition could pit Latinos against historically excluded African Americans.</w:t>
      </w:r>
      <w:r>
        <w:t xml:space="preserve"> </w:t>
      </w:r>
      <w:hyperlink r:id="rId24">
        <w:r>
          <w:rPr>
            <w:rStyle w:val="Hyperlink"/>
          </w:rPr>
          <w:t xml:space="preserve">[63]</w:t>
        </w:r>
      </w:hyperlink>
    </w:p>
    <w:p>
      <w:pPr>
        <w:pStyle w:val="BodyText"/>
      </w:pPr>
      <w:r>
        <w:t xml:space="preserve">A separate report on workers’ lives in the reconstruction documents the “job theft script” and records direct quotations framing Latino/Mexican labor as taking jobs from Black evacuees, explicitly stating this framing “has led to racial tension,” while also arguing that this script masks institutional responsibility and supports exploitation of migrant labor.</w:t>
      </w:r>
      <w:r>
        <w:t xml:space="preserve"> </w:t>
      </w:r>
      <w:hyperlink r:id="rId29">
        <w:r>
          <w:rPr>
            <w:rStyle w:val="Hyperlink"/>
          </w:rPr>
          <w:t xml:space="preserve">[64]</w:t>
        </w:r>
      </w:hyperlink>
    </w:p>
    <w:bookmarkStart w:id="51" w:name="timeline-3"/>
    <w:p>
      <w:pPr>
        <w:pStyle w:val="Heading4"/>
      </w:pPr>
      <w:r>
        <w:t xml:space="preserve">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Key developments</w:t>
            </w:r>
          </w:p>
        </w:tc>
        <w:tc>
          <w:tcPr/>
          <w:p>
            <w:pPr>
              <w:pStyle w:val="Compact"/>
            </w:pPr>
            <w:r>
              <w:t xml:space="preserve">Tension/conflict signals documented</w:t>
            </w:r>
          </w:p>
        </w:tc>
      </w:tr>
      <w:tr>
        <w:tc>
          <w:tcPr/>
          <w:p>
            <w:pPr>
              <w:pStyle w:val="Compact"/>
            </w:pPr>
            <w:r>
              <w:t xml:space="preserve">2005–2006</w:t>
            </w:r>
          </w:p>
        </w:tc>
        <w:tc>
          <w:tcPr/>
          <w:p>
            <w:pPr>
              <w:pStyle w:val="Compact"/>
            </w:pPr>
            <w:r>
              <w:t xml:space="preserve">Rapid labor demand; influx of Latino labor to debris removal/demolition/reconstruction; political and media debates about “Mexican workers” and who should rebuild.</w:t>
            </w:r>
            <w:r>
              <w:t xml:space="preserve"> </w:t>
            </w:r>
            <w:hyperlink r:id="rId29">
              <w:r>
                <w:rPr>
                  <w:rStyle w:val="Hyperlink"/>
                </w:rPr>
                <w:t xml:space="preserve">[65]</w:t>
              </w:r>
            </w:hyperlink>
          </w:p>
        </w:tc>
        <w:tc>
          <w:tcPr/>
          <w:p>
            <w:pPr>
              <w:pStyle w:val="Compact"/>
            </w:pPr>
            <w:r>
              <w:t xml:space="preserve">Explicitly documented racial-tension framing in media/political discourse; civil rights groups warn against divisive framing.</w:t>
            </w:r>
            <w:r>
              <w:t xml:space="preserve"> </w:t>
            </w:r>
            <w:hyperlink r:id="rId29">
              <w:r>
                <w:rPr>
                  <w:rStyle w:val="Hyperlink"/>
                </w:rPr>
                <w:t xml:space="preserve">[66]</w:t>
              </w:r>
            </w:hyperlink>
          </w:p>
        </w:tc>
      </w:tr>
      <w:tr>
        <w:tc>
          <w:tcPr/>
          <w:p>
            <w:pPr>
              <w:pStyle w:val="Compact"/>
            </w:pPr>
            <w:r>
              <w:t xml:space="preserve">2006 (study period)</w:t>
            </w:r>
          </w:p>
        </w:tc>
        <w:tc>
          <w:tcPr/>
          <w:p>
            <w:pPr>
              <w:pStyle w:val="Compact"/>
            </w:pPr>
            <w:r>
              <w:t xml:space="preserve">Survey-based measurement of workforce composition and legal-status distribution; documented wage gaps by status and employer abuse reports.</w:t>
            </w:r>
            <w:r>
              <w:t xml:space="preserve"> </w:t>
            </w:r>
            <w:hyperlink r:id="rId24">
              <w:r>
                <w:rPr>
                  <w:rStyle w:val="Hyperlink"/>
                </w:rPr>
                <w:t xml:space="preserve">[67]</w:t>
              </w:r>
            </w:hyperlink>
          </w:p>
        </w:tc>
        <w:tc>
          <w:tcPr/>
          <w:p>
            <w:pPr>
              <w:pStyle w:val="Compact"/>
            </w:pPr>
            <w:r>
              <w:t xml:space="preserve">Employer preference claims reported; wage inequality and abuse risks exacerbate competition and mistrust.</w:t>
            </w:r>
            <w:r>
              <w:t xml:space="preserve"> </w:t>
            </w:r>
            <w:hyperlink r:id="rId24">
              <w:r>
                <w:rPr>
                  <w:rStyle w:val="Hyperlink"/>
                </w:rPr>
                <w:t xml:space="preserve">[68]</w:t>
              </w:r>
            </w:hyperlink>
          </w:p>
        </w:tc>
      </w:tr>
      <w:tr>
        <w:tc>
          <w:tcPr/>
          <w:p>
            <w:pPr>
              <w:pStyle w:val="Compact"/>
            </w:pPr>
            <w:r>
              <w:t xml:space="preserve">2006–2007</w:t>
            </w:r>
          </w:p>
        </w:tc>
        <w:tc>
          <w:tcPr/>
          <w:p>
            <w:pPr>
              <w:pStyle w:val="Compact"/>
            </w:pPr>
            <w:r>
              <w:t xml:space="preserve">Emergence of worker-centered responses and calls for structural accountability in reconstruction labor.</w:t>
            </w:r>
            <w:r>
              <w:t xml:space="preserve"> </w:t>
            </w:r>
            <w:hyperlink r:id="rId29">
              <w:r>
                <w:rPr>
                  <w:rStyle w:val="Hyperlink"/>
                </w:rPr>
                <w:t xml:space="preserve">[69]</w:t>
              </w:r>
            </w:hyperlink>
          </w:p>
        </w:tc>
        <w:tc>
          <w:tcPr/>
          <w:p>
            <w:pPr>
              <w:pStyle w:val="Compact"/>
            </w:pPr>
            <w:r>
              <w:t xml:space="preserve">Reports argue that scapegoating escalates harassment and undermines cross-group coalitions.</w:t>
            </w:r>
            <w:r>
              <w:t xml:space="preserve"> </w:t>
            </w:r>
            <w:hyperlink r:id="rId29">
              <w:r>
                <w:rPr>
                  <w:rStyle w:val="Hyperlink"/>
                </w:rPr>
                <w:t xml:space="preserve">[64]</w:t>
              </w:r>
            </w:hyperlink>
          </w:p>
        </w:tc>
      </w:tr>
    </w:tbl>
    <w:bookmarkEnd w:id="51"/>
    <w:bookmarkStart w:id="52" w:name="Xd7ffc4f326de86885adffae14e34ef4f7205735"/>
    <w:p>
      <w:pPr>
        <w:pStyle w:val="Heading4"/>
      </w:pPr>
      <w:r>
        <w:t xml:space="preserve">Employer strategies and labor-market dynamics</w:t>
      </w:r>
    </w:p>
    <w:p>
      <w:pPr>
        <w:pStyle w:val="FirstParagraph"/>
      </w:pPr>
      <w:r>
        <w:t xml:space="preserve">The New Orleans evidence documents several employer-relevant mechanisms:</w:t>
      </w:r>
    </w:p>
    <w:p>
      <w:pPr>
        <w:pStyle w:val="Compact"/>
        <w:numPr>
          <w:ilvl w:val="0"/>
          <w:numId w:val="1002"/>
        </w:numPr>
      </w:pPr>
      <w:r>
        <w:t xml:space="preserve">Recruitment and information channels mattered: by the study’s account, many workers learned of jobs through friends/family and media, and</w:t>
      </w:r>
      <w:r>
        <w:t xml:space="preserve"> </w:t>
      </w:r>
      <w:r>
        <w:rPr>
          <w:b/>
          <w:bCs/>
        </w:rPr>
        <w:t xml:space="preserve">general contractors outside the hurricane-affected area recruited 13% of Latino workers</w:t>
      </w:r>
      <w:r>
        <w:t xml:space="preserve">.</w:t>
      </w:r>
      <w:r>
        <w:t xml:space="preserve"> </w:t>
      </w:r>
      <w:hyperlink r:id="rId24">
        <w:r>
          <w:rPr>
            <w:rStyle w:val="Hyperlink"/>
          </w:rPr>
          <w:t xml:space="preserve">[70]</w:t>
        </w:r>
      </w:hyperlink>
    </w:p>
    <w:p>
      <w:pPr>
        <w:pStyle w:val="Compact"/>
        <w:numPr>
          <w:ilvl w:val="0"/>
          <w:numId w:val="1002"/>
        </w:numPr>
      </w:pPr>
      <w:r>
        <w:t xml:space="preserve">Legal status structured vulnerability: undocumented workers earned substantially less in the study (average</w:t>
      </w:r>
      <w:r>
        <w:t xml:space="preserve"> </w:t>
      </w:r>
      <w:r>
        <w:rPr>
          <w:b/>
          <w:bCs/>
        </w:rPr>
        <w:t xml:space="preserve">$10/hour</w:t>
      </w:r>
      <w:r>
        <w:t xml:space="preserve"> </w:t>
      </w:r>
      <w:r>
        <w:t xml:space="preserve">vs</w:t>
      </w:r>
      <w:r>
        <w:t xml:space="preserve"> </w:t>
      </w:r>
      <w:r>
        <w:rPr>
          <w:b/>
          <w:bCs/>
        </w:rPr>
        <w:t xml:space="preserve">$16.50/hour</w:t>
      </w:r>
      <w:r>
        <w:t xml:space="preserve"> </w:t>
      </w:r>
      <w:r>
        <w:t xml:space="preserve">for documented workers), reported more frequent pay problems, and were more exposed to employer deductions and threats.</w:t>
      </w:r>
      <w:r>
        <w:t xml:space="preserve"> </w:t>
      </w:r>
      <w:hyperlink r:id="rId24">
        <w:r>
          <w:rPr>
            <w:rStyle w:val="Hyperlink"/>
          </w:rPr>
          <w:t xml:space="preserve">[71]</w:t>
        </w:r>
      </w:hyperlink>
    </w:p>
    <w:p>
      <w:pPr>
        <w:pStyle w:val="Compact"/>
        <w:numPr>
          <w:ilvl w:val="0"/>
          <w:numId w:val="1002"/>
        </w:numPr>
      </w:pPr>
      <w:r>
        <w:t xml:space="preserve">Key informants described employer bias toward Latino immigrants because they were perceived as more willing to tolerate difficult conditions—an explicit echo of the “work ethic” rhetoric documented in Los Angeles and Mississippi.</w:t>
      </w:r>
      <w:r>
        <w:t xml:space="preserve"> </w:t>
      </w:r>
      <w:hyperlink r:id="rId24">
        <w:r>
          <w:rPr>
            <w:rStyle w:val="Hyperlink"/>
          </w:rPr>
          <w:t xml:space="preserve">[72]</w:t>
        </w:r>
      </w:hyperlink>
    </w:p>
    <w:bookmarkEnd w:id="52"/>
    <w:bookmarkStart w:id="53" w:name="workforce-composition-table"/>
    <w:p>
      <w:pPr>
        <w:pStyle w:val="Heading4"/>
      </w:pPr>
      <w:r>
        <w:t xml:space="preserve">Workforce composition table</w:t>
      </w:r>
    </w:p>
    <w:p>
      <w:pPr>
        <w:pStyle w:val="FirstParagraph"/>
      </w:pPr>
      <w:r>
        <w:t xml:space="preserve">Table: Construction workforce composition in post-Katrina New Orleans (study estimate)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jc w:val="right"/>
            </w:pPr>
            <w:r>
              <w:t xml:space="preserve">Share</w:t>
            </w:r>
          </w:p>
        </w:tc>
      </w:tr>
      <w:tr>
        <w:tc>
          <w:tcPr/>
          <w:p>
            <w:pPr>
              <w:pStyle w:val="Compact"/>
            </w:pPr>
            <w:r>
              <w:t xml:space="preserve">Latino share of construction workers</w:t>
            </w:r>
          </w:p>
        </w:tc>
        <w:tc>
          <w:tcPr/>
          <w:p>
            <w:pPr>
              <w:pStyle w:val="Compact"/>
              <w:jc w:val="right"/>
            </w:pPr>
            <w:r>
              <w:t xml:space="preserve">45%</w:t>
            </w:r>
          </w:p>
        </w:tc>
      </w:tr>
      <w:tr>
        <w:tc>
          <w:tcPr/>
          <w:p>
            <w:pPr>
              <w:pStyle w:val="Compact"/>
            </w:pPr>
            <w:r>
              <w:t xml:space="preserve">Of Latino construction workers: undocumented</w:t>
            </w:r>
          </w:p>
        </w:tc>
        <w:tc>
          <w:tcPr/>
          <w:p>
            <w:pPr>
              <w:pStyle w:val="Compact"/>
              <w:jc w:val="right"/>
            </w:pPr>
            <w:r>
              <w:t xml:space="preserve">54%</w:t>
            </w:r>
          </w:p>
        </w:tc>
      </w:tr>
      <w:tr>
        <w:tc>
          <w:tcPr/>
          <w:p>
            <w:pPr>
              <w:pStyle w:val="Compact"/>
            </w:pPr>
            <w:r>
              <w:t xml:space="preserve">Among US citizens &amp; permanent residents: African American</w:t>
            </w:r>
          </w:p>
        </w:tc>
        <w:tc>
          <w:tcPr/>
          <w:p>
            <w:pPr>
              <w:pStyle w:val="Compact"/>
              <w:jc w:val="right"/>
            </w:pPr>
            <w:r>
              <w:t xml:space="preserve">34%</w:t>
            </w:r>
          </w:p>
        </w:tc>
      </w:tr>
      <w:tr>
        <w:tc>
          <w:tcPr/>
          <w:p>
            <w:pPr>
              <w:pStyle w:val="Compact"/>
            </w:pPr>
            <w:r>
              <w:t xml:space="preserve">Among US citizens &amp; permanent residents: Caucasian</w:t>
            </w:r>
          </w:p>
        </w:tc>
        <w:tc>
          <w:tcPr/>
          <w:p>
            <w:pPr>
              <w:pStyle w:val="Compact"/>
              <w:jc w:val="right"/>
            </w:pPr>
            <w:r>
              <w:t xml:space="preserve">40%</w:t>
            </w:r>
          </w:p>
        </w:tc>
      </w:tr>
      <w:tr>
        <w:tc>
          <w:tcPr/>
          <w:p>
            <w:pPr>
              <w:pStyle w:val="Compact"/>
            </w:pPr>
            <w:r>
              <w:t xml:space="preserve">Among US citizens &amp; permanent residents: Latino</w:t>
            </w:r>
          </w:p>
        </w:tc>
        <w:tc>
          <w:tcPr/>
          <w:p>
            <w:pPr>
              <w:pStyle w:val="Compact"/>
              <w:jc w:val="right"/>
            </w:pPr>
            <w:r>
              <w:t xml:space="preserve">20%</w:t>
            </w:r>
          </w:p>
        </w:tc>
      </w:tr>
    </w:tbl>
    <w:p>
      <w:pPr>
        <w:pStyle w:val="BodyText"/>
      </w:pPr>
      <w:r>
        <w:t xml:space="preserve">Source: population-based reconstruction labor study.</w:t>
      </w:r>
      <w:r>
        <w:t xml:space="preserve"> </w:t>
      </w:r>
      <w:hyperlink r:id="rId24">
        <w:r>
          <w:rPr>
            <w:rStyle w:val="Hyperlink"/>
          </w:rPr>
          <w:t xml:space="preserve">[62]</w:t>
        </w:r>
      </w:hyperlink>
    </w:p>
    <w:bookmarkEnd w:id="53"/>
    <w:bookmarkEnd w:id="54"/>
    <w:bookmarkStart w:id="55" w:name="X8ebce76443d5afe66e21933e2b83961b25d3f8d"/>
    <w:p>
      <w:pPr>
        <w:pStyle w:val="Heading3"/>
      </w:pPr>
      <w:r>
        <w:t xml:space="preserve">North Carolina</w:t>
      </w:r>
      <w:hyperlink r:id="rId30">
        <w:r>
          <w:rPr>
            <w:rStyle w:val="Hyperlink"/>
          </w:rPr>
          <w:t xml:space="preserve">[13]</w:t>
        </w:r>
      </w:hyperlink>
      <w:r>
        <w:t xml:space="preserve"> </w:t>
      </w:r>
      <w:r>
        <w:t xml:space="preserve">meatpacking and Latino labor growth at the Tar Heel plant</w:t>
      </w:r>
    </w:p>
    <w:p>
      <w:pPr>
        <w:pStyle w:val="FirstParagraph"/>
      </w:pPr>
      <w:r>
        <w:t xml:space="preserve">A major human-rights report on meat and poultry plants provides a specific quantitative indicator of changing workforce composition at the Tar Heel hog-processing plant operated by Smithfield.</w:t>
      </w:r>
    </w:p>
    <w:p>
      <w:pPr>
        <w:pStyle w:val="BodyText"/>
      </w:pPr>
      <w:r>
        <w:t xml:space="preserve">It reports that when the plant opened in 1993, fewer than</w:t>
      </w:r>
      <w:r>
        <w:t xml:space="preserve"> </w:t>
      </w:r>
      <w:r>
        <w:rPr>
          <w:b/>
          <w:bCs/>
        </w:rPr>
        <w:t xml:space="preserve">10%</w:t>
      </w:r>
      <w:r>
        <w:t xml:space="preserve"> </w:t>
      </w:r>
      <w:r>
        <w:t xml:space="preserve">of hourly employees were immigrants; later,</w:t>
      </w:r>
      <w:r>
        <w:t xml:space="preserve"> </w:t>
      </w:r>
      <w:r>
        <w:rPr>
          <w:b/>
          <w:bCs/>
        </w:rPr>
        <w:t xml:space="preserve">an estimated half</w:t>
      </w:r>
      <w:r>
        <w:t xml:space="preserve"> </w:t>
      </w:r>
      <w:r>
        <w:t xml:space="preserve">of the plant’s workers were Hispanic immigrants and</w:t>
      </w:r>
      <w:r>
        <w:t xml:space="preserve"> </w:t>
      </w:r>
      <w:r>
        <w:rPr>
          <w:b/>
          <w:bCs/>
        </w:rPr>
        <w:t xml:space="preserve">African Americans made up about 40%</w:t>
      </w:r>
      <w:r>
        <w:t xml:space="preserve"> </w:t>
      </w:r>
      <w:r>
        <w:t xml:space="preserve">of the workforce.</w:t>
      </w:r>
      <w:r>
        <w:t xml:space="preserve"> </w:t>
      </w:r>
      <w:hyperlink r:id="rId30">
        <w:r>
          <w:rPr>
            <w:rStyle w:val="Hyperlink"/>
          </w:rPr>
          <w:t xml:space="preserve">[15]</w:t>
        </w:r>
      </w:hyperlink>
      <w:r>
        <w:t xml:space="preserve"> </w:t>
      </w:r>
      <w:r>
        <w:t xml:space="preserve">The same report details intense conflict around freedom of association, including allegations of intimidation and coercive anti-union activity around a 1997 election and subsequent legal proceedings—an “organizing setback” context in which the racial and nativity composition of the workforce becomes strategically relevant to both labor and management.</w:t>
      </w:r>
      <w:r>
        <w:t xml:space="preserve"> </w:t>
      </w:r>
      <w:hyperlink r:id="rId30">
        <w:r>
          <w:rPr>
            <w:rStyle w:val="Hyperlink"/>
          </w:rPr>
          <w:t xml:space="preserve">[15]</w:t>
        </w:r>
      </w:hyperlink>
    </w:p>
    <w:bookmarkEnd w:id="55"/>
    <w:bookmarkEnd w:id="56"/>
    <w:bookmarkStart w:id="61" w:name="cross-case-analysis-of-mechanisms"/>
    <w:p>
      <w:pPr>
        <w:pStyle w:val="Heading2"/>
      </w:pPr>
      <w:r>
        <w:t xml:space="preserve">Cross-case analysis of mechanisms</w:t>
      </w:r>
    </w:p>
    <w:p>
      <w:pPr>
        <w:pStyle w:val="FirstParagraph"/>
      </w:pPr>
      <w:r>
        <w:t xml:space="preserve">Across the cases, four mechanisms recur with strong documentation.</w:t>
      </w:r>
    </w:p>
    <w:bookmarkStart w:id="57" w:name="Xbfa758ff4d90d33a540e50aab8f3a95535649e1"/>
    <w:p>
      <w:pPr>
        <w:pStyle w:val="Heading3"/>
      </w:pPr>
      <w:r>
        <w:t xml:space="preserve">Subcontracting and “employer of record” strategies widen substitution capacity</w:t>
      </w:r>
    </w:p>
    <w:p>
      <w:pPr>
        <w:pStyle w:val="FirstParagraph"/>
      </w:pPr>
      <w:r>
        <w:t xml:space="preserve">In Los Angeles janitorial markets, contracting-out shifted technical employment responsibility away from building owners to contractors, enabling rapid replacement of union labor and complicating legal targeting of the true economic decision-makers.</w:t>
      </w:r>
      <w:r>
        <w:t xml:space="preserve"> </w:t>
      </w:r>
      <w:hyperlink r:id="rId23">
        <w:r>
          <w:rPr>
            <w:rStyle w:val="Hyperlink"/>
          </w:rPr>
          <w:t xml:space="preserve">[29]</w:t>
        </w:r>
      </w:hyperlink>
      <w:r>
        <w:t xml:space="preserve"> </w:t>
      </w:r>
      <w:r>
        <w:t xml:space="preserve">In Mississippi poultry, outsourcing and third-party contractors appear in recruitment and staffing of production lines; this similarly increases workforce replaceability and reduces accountability.</w:t>
      </w:r>
      <w:r>
        <w:t xml:space="preserve"> </w:t>
      </w:r>
      <w:hyperlink r:id="rId25">
        <w:r>
          <w:rPr>
            <w:rStyle w:val="Hyperlink"/>
          </w:rPr>
          <w:t xml:space="preserve">[38]</w:t>
        </w:r>
      </w:hyperlink>
      <w:r>
        <w:t xml:space="preserve"> </w:t>
      </w:r>
      <w:r>
        <w:t xml:space="preserve">In New Orleans reconstruction, the proliferation of contractors and “fly-by-night” actors is explicitly discussed as a factor enabling wage theft and weak enforcement.</w:t>
      </w:r>
      <w:r>
        <w:t xml:space="preserve"> </w:t>
      </w:r>
      <w:hyperlink r:id="rId24">
        <w:r>
          <w:rPr>
            <w:rStyle w:val="Hyperlink"/>
          </w:rPr>
          <w:t xml:space="preserve">[73]</w:t>
        </w:r>
      </w:hyperlink>
    </w:p>
    <w:bookmarkEnd w:id="57"/>
    <w:bookmarkStart w:id="58" w:name="Xb569729eaca0709e98cde56ee349fa26b34cdd3"/>
    <w:p>
      <w:pPr>
        <w:pStyle w:val="Heading3"/>
      </w:pPr>
      <w:r>
        <w:t xml:space="preserve">Recruitment systems and network hiring detach vacancies from open competition</w:t>
      </w:r>
    </w:p>
    <w:p>
      <w:pPr>
        <w:pStyle w:val="FirstParagraph"/>
      </w:pPr>
      <w:r>
        <w:t xml:space="preserve">Employer-survey evidence from Los Angeles directly identifies network hiring as a process that brings immigrant communities into workplaces while detaching jobs from open markets, diminishing Black opportunities.</w:t>
      </w:r>
      <w:r>
        <w:t xml:space="preserve"> </w:t>
      </w:r>
      <w:hyperlink r:id="rId21">
        <w:r>
          <w:rPr>
            <w:rStyle w:val="Hyperlink"/>
          </w:rPr>
          <w:t xml:space="preserve">[34]</w:t>
        </w:r>
      </w:hyperlink>
      <w:r>
        <w:t xml:space="preserve"> </w:t>
      </w:r>
      <w:r>
        <w:t xml:space="preserve">Mississippi poultry narratives show large-scale targeted recruitment and employer-controlled housing/transport that bind workers to the job and can bypass local labor pools.</w:t>
      </w:r>
      <w:r>
        <w:t xml:space="preserve"> </w:t>
      </w:r>
      <w:hyperlink r:id="rId26">
        <w:r>
          <w:rPr>
            <w:rStyle w:val="Hyperlink"/>
          </w:rPr>
          <w:t xml:space="preserve">[45]</w:t>
        </w:r>
      </w:hyperlink>
      <w:r>
        <w:t xml:space="preserve"> </w:t>
      </w:r>
      <w:r>
        <w:t xml:space="preserve">New Orleans reconstruction data similarly shows external recruitment and rapid newcomer inflows, which can change hiring competition on the ground.</w:t>
      </w:r>
      <w:r>
        <w:t xml:space="preserve"> </w:t>
      </w:r>
      <w:hyperlink r:id="rId24">
        <w:r>
          <w:rPr>
            <w:rStyle w:val="Hyperlink"/>
          </w:rPr>
          <w:t xml:space="preserve">[74]</w:t>
        </w:r>
      </w:hyperlink>
    </w:p>
    <w:bookmarkEnd w:id="58"/>
    <w:bookmarkStart w:id="59" w:name="X342a489f5715d11a383eac8489793bf2f03f25c"/>
    <w:p>
      <w:pPr>
        <w:pStyle w:val="Heading3"/>
      </w:pPr>
      <w:r>
        <w:t xml:space="preserve">Deunionization and anti-union tactics interact with race and nativity</w:t>
      </w:r>
    </w:p>
    <w:p>
      <w:pPr>
        <w:pStyle w:val="FirstParagraph"/>
      </w:pPr>
      <w:r>
        <w:t xml:space="preserve">In all modern cases, employer strategies are strongly tied to reducing the feasibility of worker organizing. Los Angeles janitorial restructuring coincided with the weakening of the unionized market and a wage collapse; re-unionization required new tactics and community coalitions.</w:t>
      </w:r>
      <w:r>
        <w:t xml:space="preserve"> </w:t>
      </w:r>
      <w:hyperlink r:id="rId22">
        <w:r>
          <w:rPr>
            <w:rStyle w:val="Hyperlink"/>
          </w:rPr>
          <w:t xml:space="preserve">[75]</w:t>
        </w:r>
      </w:hyperlink>
      <w:r>
        <w:t xml:space="preserve"> </w:t>
      </w:r>
      <w:r>
        <w:t xml:space="preserve">Mississippi poultry includes explicit narratives of intimidation, strikebreaking, and later reliance on immigrant labor as labor control after organizing efforts.</w:t>
      </w:r>
      <w:r>
        <w:t xml:space="preserve"> </w:t>
      </w:r>
      <w:hyperlink r:id="rId26">
        <w:r>
          <w:rPr>
            <w:rStyle w:val="Hyperlink"/>
          </w:rPr>
          <w:t xml:space="preserve">[76]</w:t>
        </w:r>
      </w:hyperlink>
      <w:r>
        <w:t xml:space="preserve"> </w:t>
      </w:r>
      <w:r>
        <w:t xml:space="preserve">New Orleans and Tar Heel cases show that even when the central conflict is “workers vs employers,” public and managerial narratives can place African American and Latino workers into a competitive frame that hinders cross-group labor solidarity.</w:t>
      </w:r>
      <w:r>
        <w:t xml:space="preserve"> </w:t>
      </w:r>
      <w:hyperlink r:id="rId29">
        <w:r>
          <w:rPr>
            <w:rStyle w:val="Hyperlink"/>
          </w:rPr>
          <w:t xml:space="preserve">[77]</w:t>
        </w:r>
      </w:hyperlink>
    </w:p>
    <w:bookmarkEnd w:id="59"/>
    <w:bookmarkStart w:id="60" w:name="X1ec765530ca634787bbf1a30cf870f0f3e6a147"/>
    <w:p>
      <w:pPr>
        <w:pStyle w:val="Heading3"/>
      </w:pPr>
      <w:r>
        <w:t xml:space="preserve">Rhetoric and employer intent: “work ethic” narratives often do employer work</w:t>
      </w:r>
    </w:p>
    <w:p>
      <w:pPr>
        <w:pStyle w:val="FirstParagraph"/>
      </w:pPr>
      <w:r>
        <w:t xml:space="preserve">In Mississippi poultry, locals’ explicit language praising “Mexicans” and critiquing Black workers as “lazy,” and immigrants’ complaints about Black workers’ breaks, are documented as part of a broader discourse that explains immigration in racial terms.</w:t>
      </w:r>
      <w:r>
        <w:t xml:space="preserve"> </w:t>
      </w:r>
      <w:hyperlink r:id="rId26">
        <w:r>
          <w:rPr>
            <w:rStyle w:val="Hyperlink"/>
          </w:rPr>
          <w:t xml:space="preserve">[52]</w:t>
        </w:r>
      </w:hyperlink>
      <w:r>
        <w:t xml:space="preserve"> </w:t>
      </w:r>
      <w:r>
        <w:t xml:space="preserve">In Los Angeles, employer interviews similarly praise immigrants’ “attitude” and discipline and contrast it with stereotypes about Black workers—while also acknowledging hostility between groups.</w:t>
      </w:r>
      <w:r>
        <w:t xml:space="preserve"> </w:t>
      </w:r>
      <w:hyperlink r:id="rId21">
        <w:r>
          <w:rPr>
            <w:rStyle w:val="Hyperlink"/>
          </w:rPr>
          <w:t xml:space="preserve">[35]</w:t>
        </w:r>
      </w:hyperlink>
      <w:r>
        <w:t xml:space="preserve"> </w:t>
      </w:r>
      <w:r>
        <w:t xml:space="preserve">In New Orleans, reports argue that political/media “job theft” scripts framed migrants as the problem while contractors profited from cheap labor and weak regulation.</w:t>
      </w:r>
      <w:r>
        <w:t xml:space="preserve"> </w:t>
      </w:r>
      <w:hyperlink r:id="rId29">
        <w:r>
          <w:rPr>
            <w:rStyle w:val="Hyperlink"/>
          </w:rPr>
          <w:t xml:space="preserve">[64]</w:t>
        </w:r>
      </w:hyperlink>
    </w:p>
    <w:p>
      <w:pPr>
        <w:pStyle w:val="BodyText"/>
      </w:pPr>
      <w:r>
        <w:t xml:space="preserve">The weight of evidence across cases supports a composite inference:</w:t>
      </w:r>
      <w:r>
        <w:t xml:space="preserve"> </w:t>
      </w:r>
      <w:r>
        <w:rPr>
          <w:b/>
          <w:bCs/>
        </w:rPr>
        <w:t xml:space="preserve">even when workers experience the outcome as “replacement,” the proximate drivers are frequently employer strategies (subcontracting + targeted recruitment + exploitation of vulnerability), with racialized rhetoric functioning as legitimation and as a wedge undermining coalition-building</w:t>
      </w:r>
      <w:r>
        <w:t xml:space="preserve">.</w:t>
      </w:r>
      <w:r>
        <w:t xml:space="preserve"> </w:t>
      </w:r>
      <w:hyperlink r:id="rId29">
        <w:r>
          <w:rPr>
            <w:rStyle w:val="Hyperlink"/>
          </w:rPr>
          <w:t xml:space="preserve">[78]</w:t>
        </w:r>
      </w:hyperlink>
    </w:p>
    <w:bookmarkEnd w:id="60"/>
    <w:bookmarkEnd w:id="61"/>
    <w:bookmarkStart w:id="62" w:name="X04156f7b6309fdc9156a74597fbafa155d09361"/>
    <w:p>
      <w:pPr>
        <w:pStyle w:val="Heading2"/>
      </w:pPr>
      <w:r>
        <w:t xml:space="preserve">Policy implications and research recommendations</w:t>
      </w:r>
    </w:p>
    <w:p>
      <w:pPr>
        <w:pStyle w:val="FirstParagraph"/>
      </w:pPr>
      <w:r>
        <w:t xml:space="preserve">Policy implications follow directly from the shared mechanism: where employers can cheaply substitute workers and externalize risk, intergroup conflict becomes more likely.</w:t>
      </w:r>
    </w:p>
    <w:p>
      <w:pPr>
        <w:pStyle w:val="BodyText"/>
      </w:pPr>
      <w:r>
        <w:t xml:space="preserve">First, strengthening labor standards and enforcement in fissured workplaces is central. In New Orleans reconstruction research, the authors recommend strengthening employer accountability for labor violations, separating immigration enforcement from labor protections, and ensuring protections regardless of legal status—recommendations aligned with the finding that legal vulnerability drives exploitation and wage suppression.</w:t>
      </w:r>
      <w:r>
        <w:t xml:space="preserve"> </w:t>
      </w:r>
      <w:hyperlink r:id="rId24">
        <w:r>
          <w:rPr>
            <w:rStyle w:val="Hyperlink"/>
          </w:rPr>
          <w:t xml:space="preserve">[79]</w:t>
        </w:r>
      </w:hyperlink>
      <w:r>
        <w:t xml:space="preserve"> </w:t>
      </w:r>
      <w:r>
        <w:t xml:space="preserve">Comparable logic applies to janitorial contracting and poultry labor brokers.</w:t>
      </w:r>
      <w:r>
        <w:t xml:space="preserve"> </w:t>
      </w:r>
      <w:hyperlink r:id="rId22">
        <w:r>
          <w:rPr>
            <w:rStyle w:val="Hyperlink"/>
          </w:rPr>
          <w:t xml:space="preserve">[80]</w:t>
        </w:r>
      </w:hyperlink>
    </w:p>
    <w:p>
      <w:pPr>
        <w:pStyle w:val="BodyText"/>
      </w:pPr>
      <w:r>
        <w:t xml:space="preserve">Second, policies that increase transparency and constrain abusive recruitment arrangements reduce the competitive wedge. Evidence from Mississippi poultry indicates that employer control via housing/transport deductions and contractor recruitment can effectively bind workers and depress take-home pay, which can intensify perceived undercutting of local labor.</w:t>
      </w:r>
      <w:r>
        <w:t xml:space="preserve"> </w:t>
      </w:r>
      <w:hyperlink r:id="rId26">
        <w:r>
          <w:rPr>
            <w:rStyle w:val="Hyperlink"/>
          </w:rPr>
          <w:t xml:space="preserve">[45]</w:t>
        </w:r>
      </w:hyperlink>
      <w:r>
        <w:t xml:space="preserve"> </w:t>
      </w:r>
      <w:r>
        <w:t xml:space="preserve">Oversight of employer-provided housing, prohibitions on coercive deductions, and strict enforcement of wage-payment laws are therefore directly relevant.</w:t>
      </w:r>
    </w:p>
    <w:p>
      <w:pPr>
        <w:pStyle w:val="BodyText"/>
      </w:pPr>
      <w:r>
        <w:t xml:space="preserve">Third, any policy debate that frames competition as purely a function of migrant presence should be evaluated against the documented history of</w:t>
      </w:r>
      <w:r>
        <w:t xml:space="preserve"> </w:t>
      </w:r>
      <w:r>
        <w:rPr>
          <w:b/>
          <w:bCs/>
        </w:rPr>
        <w:t xml:space="preserve">employer-driven ethnic succession</w:t>
      </w:r>
      <w:r>
        <w:t xml:space="preserve">. The Mississippi quote about employers “bringing immigrants” when Black workers want more money, and the New Orleans critique of “job theft scripts,” highlight that simplistic displacement narratives can obscure the actors who design labor-market outcomes.</w:t>
      </w:r>
      <w:r>
        <w:t xml:space="preserve"> </w:t>
      </w:r>
      <w:hyperlink r:id="rId26">
        <w:r>
          <w:rPr>
            <w:rStyle w:val="Hyperlink"/>
          </w:rPr>
          <w:t xml:space="preserve">[81]</w:t>
        </w:r>
      </w:hyperlink>
      <w:r>
        <w:t xml:space="preserve"> </w:t>
      </w:r>
      <w:r>
        <w:t xml:space="preserve">Policymakers and researchers should treat public discourse about “work ethic” as a potential indicator of labor-control strategy rather than as a neutral description of labor supply.</w:t>
      </w:r>
    </w:p>
    <w:p>
      <w:pPr>
        <w:pStyle w:val="BodyText"/>
      </w:pPr>
      <w:r>
        <w:t xml:space="preserve">Research recommendations follow from data limitations observed in the cases. Scholars should prioritize: standardized workforce-composition series in specific industries/metros using consistent NAICS/occupation codes; triangulation of employer recruitment channels; and mixed-method designs that record both intergroup perceptions and employer practices over time. The New Orleans population-based study is a model for combining composition estimates with rights conditions and legal status.</w:t>
      </w:r>
      <w:r>
        <w:t xml:space="preserve"> </w:t>
      </w:r>
      <w:hyperlink r:id="rId24">
        <w:r>
          <w:rPr>
            <w:rStyle w:val="Hyperlink"/>
          </w:rPr>
          <w:t xml:space="preserve">[67]</w:t>
        </w:r>
      </w:hyperlink>
    </w:p>
    <w:bookmarkEnd w:id="62"/>
    <w:bookmarkStart w:id="63" w:name="X2624ba101b54698b953e79fc03dee26579330c9"/>
    <w:p>
      <w:pPr>
        <w:pStyle w:val="Heading2"/>
      </w:pPr>
      <w:r>
        <w:t xml:space="preserve">Gaps, uncertainties, and clarifying questions</w:t>
      </w:r>
    </w:p>
    <w:p>
      <w:pPr>
        <w:pStyle w:val="FirstParagraph"/>
      </w:pPr>
      <w:r>
        <w:t xml:space="preserve">Workforce composition measures are not always directly comparable across sources and decades, especially when comparing “Latino” vs “Latino immigrant” and “janitors” vs “building-services janitors.” The Los Angeles case demonstrates this clearly; the direction of change is consistent, but exact levels differ by definition.</w:t>
      </w:r>
      <w:r>
        <w:t xml:space="preserve"> </w:t>
      </w:r>
      <w:hyperlink r:id="rId22">
        <w:r>
          <w:rPr>
            <w:rStyle w:val="Hyperlink"/>
          </w:rPr>
          <w:t xml:space="preserve">[82]</w:t>
        </w:r>
      </w:hyperlink>
    </w:p>
    <w:p>
      <w:pPr>
        <w:pStyle w:val="BodyText"/>
      </w:pPr>
      <w:r>
        <w:t xml:space="preserve">For the Arkansas Delta bracero-era case, the evidence base strongly supports “competition/tension” as documented by synthesis sources and national historical investigations, but it is thinner on</w:t>
      </w:r>
      <w:r>
        <w:t xml:space="preserve"> </w:t>
      </w:r>
      <w:r>
        <w:rPr>
          <w:b/>
          <w:bCs/>
        </w:rPr>
        <w:t xml:space="preserve">race-specific job displacement metrics</w:t>
      </w:r>
      <w:r>
        <w:t xml:space="preserve"> </w:t>
      </w:r>
      <w:r>
        <w:t xml:space="preserve">(e.g., precise estimates of bracero substitution for African American farm labor in specific counties during the early 1950s). The available sources identify competition and wage-suppression concerns, but do not provide a clean, county-level Black vs bracero occupational timeseries.</w:t>
      </w:r>
      <w:r>
        <w:t xml:space="preserve"> </w:t>
      </w:r>
      <w:hyperlink r:id="rId28">
        <w:r>
          <w:rPr>
            <w:rStyle w:val="Hyperlink"/>
          </w:rPr>
          <w:t xml:space="preserve">[9]</w:t>
        </w:r>
      </w:hyperlink>
    </w:p>
    <w:p>
      <w:pPr>
        <w:pStyle w:val="BodyText"/>
      </w:pPr>
      <w:r>
        <w:t xml:space="preserve">To sharpen the report further for your intended use, the most useful clarifying questions are:</w:t>
      </w:r>
      <w:r>
        <w:t xml:space="preserve"> </w:t>
      </w:r>
      <w:r>
        <w:t xml:space="preserve">- Are you interested primarily in</w:t>
      </w:r>
      <w:r>
        <w:t xml:space="preserve"> </w:t>
      </w:r>
      <w:r>
        <w:rPr>
          <w:b/>
          <w:bCs/>
        </w:rPr>
        <w:t xml:space="preserve">documented interpersonal hostility</w:t>
      </w:r>
      <w:r>
        <w:t xml:space="preserve"> </w:t>
      </w:r>
      <w:r>
        <w:t xml:space="preserve">(e.g., fights, harassment, violence) or in</w:t>
      </w:r>
      <w:r>
        <w:t xml:space="preserve"> </w:t>
      </w:r>
      <w:r>
        <w:rPr>
          <w:b/>
          <w:bCs/>
        </w:rPr>
        <w:t xml:space="preserve">institutional patterns</w:t>
      </w:r>
      <w:r>
        <w:t xml:space="preserve"> </w:t>
      </w:r>
      <w:r>
        <w:t xml:space="preserve">(employer recruitment and displacement narratives) where “tension” is documented mainly in interviews and rhetoric?</w:t>
      </w:r>
      <w:r>
        <w:t xml:space="preserve"> </w:t>
      </w:r>
      <w:r>
        <w:t xml:space="preserve">- Should the report treat “Mexicans” strictly as</w:t>
      </w:r>
      <w:r>
        <w:t xml:space="preserve"> </w:t>
      </w:r>
      <w:r>
        <w:rPr>
          <w:b/>
          <w:bCs/>
        </w:rPr>
        <w:t xml:space="preserve">Mexican nationals/immigrants</w:t>
      </w:r>
      <w:r>
        <w:t xml:space="preserve">, or should it continue to include the empirically common Southern pattern where diverse Latin American groups are labeled “Mexican” in local discourse?</w:t>
      </w:r>
      <w:r>
        <w:t xml:space="preserve"> </w:t>
      </w:r>
      <w:hyperlink r:id="rId26">
        <w:r>
          <w:rPr>
            <w:rStyle w:val="Hyperlink"/>
          </w:rPr>
          <w:t xml:space="preserve">[18]</w:t>
        </w:r>
      </w:hyperlink>
    </w:p>
    <w:bookmarkEnd w:id="63"/>
    <w:bookmarkEnd w:id="64"/>
    <w:bookmarkEnd w:id="65"/>
    <w:p>
      <w:r>
        <w:pict>
          <v:rect style="width:0;height:1.5pt" o:hralign="center" o:hrstd="t" o:hr="t"/>
        </w:pict>
      </w:r>
    </w:p>
    <w:bookmarkStart w:id="66" w:name="citations"/>
    <w:p>
      <w:pPr>
        <w:pStyle w:val="FirstParagraph"/>
      </w:pPr>
      <w:hyperlink r:id="rId21">
        <w:r>
          <w:rPr>
            <w:rStyle w:val="Hyperlink"/>
          </w:rPr>
          <w:t xml:space="preserve">[1]</w:t>
        </w:r>
      </w:hyperlink>
      <w:r>
        <w:t xml:space="preserve"> </w:t>
      </w:r>
      <w:hyperlink r:id="rId21">
        <w:r>
          <w:rPr>
            <w:rStyle w:val="Hyperlink"/>
          </w:rPr>
          <w:t xml:space="preserve">[25]</w:t>
        </w:r>
      </w:hyperlink>
      <w:r>
        <w:t xml:space="preserve"> </w:t>
      </w:r>
      <w:hyperlink r:id="rId21">
        <w:r>
          <w:rPr>
            <w:rStyle w:val="Hyperlink"/>
          </w:rPr>
          <w:t xml:space="preserve">[34]</w:t>
        </w:r>
      </w:hyperlink>
      <w:r>
        <w:t xml:space="preserve"> </w:t>
      </w:r>
      <w:hyperlink r:id="rId21">
        <w:r>
          <w:rPr>
            <w:rStyle w:val="Hyperlink"/>
          </w:rPr>
          <w:t xml:space="preserve">[35]</w:t>
        </w:r>
      </w:hyperlink>
      <w:r>
        <w:t xml:space="preserve"> </w:t>
      </w:r>
      <w:hyperlink r:id="rId21">
        <w:r>
          <w:rPr>
            <w:rStyle w:val="Hyperlink"/>
          </w:rPr>
          <w:t xml:space="preserve">[55]</w:t>
        </w:r>
      </w:hyperlink>
      <w:r>
        <w:t xml:space="preserve"> </w:t>
      </w:r>
      <w:r>
        <w:t xml:space="preserve">https://waldinger.scholar.ss.ucla.edu/wp-content/uploads/sites/25/2024/08/A48_BlackImmigrant-1.pdf</w:t>
      </w:r>
    </w:p>
    <w:p>
      <w:pPr>
        <w:pStyle w:val="BodyText"/>
      </w:pPr>
      <w:hyperlink r:id="rId21">
        <w:r>
          <w:rPr>
            <w:rStyle w:val="Hyperlink"/>
          </w:rPr>
          <w:t xml:space="preserve">https://waldinger.scholar.ss.ucla.edu/wp-content/uploads/sites/25/2024/08/A48_BlackImmigrant-1.pdf</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2">
        <w:r>
          <w:rPr>
            <w:rStyle w:val="Hyperlink"/>
          </w:rPr>
          <w:t xml:space="preserve">[19]</w:t>
        </w:r>
      </w:hyperlink>
      <w:r>
        <w:t xml:space="preserve"> </w:t>
      </w:r>
      <w:hyperlink r:id="rId22">
        <w:r>
          <w:rPr>
            <w:rStyle w:val="Hyperlink"/>
          </w:rPr>
          <w:t xml:space="preserve">[30]</w:t>
        </w:r>
      </w:hyperlink>
      <w:r>
        <w:t xml:space="preserve"> </w:t>
      </w:r>
      <w:hyperlink r:id="rId22">
        <w:r>
          <w:rPr>
            <w:rStyle w:val="Hyperlink"/>
          </w:rPr>
          <w:t xml:space="preserve">[33]</w:t>
        </w:r>
      </w:hyperlink>
      <w:r>
        <w:t xml:space="preserve"> </w:t>
      </w:r>
      <w:hyperlink r:id="rId22">
        <w:r>
          <w:rPr>
            <w:rStyle w:val="Hyperlink"/>
          </w:rPr>
          <w:t xml:space="preserve">[75]</w:t>
        </w:r>
      </w:hyperlink>
      <w:r>
        <w:t xml:space="preserve"> </w:t>
      </w:r>
      <w:hyperlink r:id="rId22">
        <w:r>
          <w:rPr>
            <w:rStyle w:val="Hyperlink"/>
          </w:rPr>
          <w:t xml:space="preserve">[80]</w:t>
        </w:r>
      </w:hyperlink>
      <w:r>
        <w:t xml:space="preserve"> </w:t>
      </w:r>
      <w:hyperlink r:id="rId22">
        <w:r>
          <w:rPr>
            <w:rStyle w:val="Hyperlink"/>
          </w:rPr>
          <w:t xml:space="preserve">[82]</w:t>
        </w:r>
      </w:hyperlink>
      <w:r>
        <w:t xml:space="preserve"> </w:t>
      </w:r>
      <w:r>
        <w:t xml:space="preserve">https://ccis.ucsd.edu/_files/wp9.pdf</w:t>
      </w:r>
    </w:p>
    <w:p>
      <w:pPr>
        <w:pStyle w:val="BodyText"/>
      </w:pPr>
      <w:hyperlink r:id="rId22">
        <w:r>
          <w:rPr>
            <w:rStyle w:val="Hyperlink"/>
          </w:rPr>
          <w:t xml:space="preserve">https://ccis.ucsd.edu/_files/wp9.pdf</w:t>
        </w:r>
      </w:hyperlink>
    </w:p>
    <w:p>
      <w:pPr>
        <w:pStyle w:val="BodyText"/>
      </w:pPr>
      <w:hyperlink r:id="rId23">
        <w:r>
          <w:rPr>
            <w:rStyle w:val="Hyperlink"/>
          </w:rPr>
          <w:t xml:space="preserve">[3]</w:t>
        </w:r>
      </w:hyperlink>
      <w:r>
        <w:t xml:space="preserve"> </w:t>
      </w:r>
      <w:hyperlink r:id="rId23">
        <w:r>
          <w:rPr>
            <w:rStyle w:val="Hyperlink"/>
          </w:rPr>
          <w:t xml:space="preserve">[14]</w:t>
        </w:r>
      </w:hyperlink>
      <w:r>
        <w:t xml:space="preserve"> </w:t>
      </w:r>
      <w:hyperlink r:id="rId23">
        <w:r>
          <w:rPr>
            <w:rStyle w:val="Hyperlink"/>
          </w:rPr>
          <w:t xml:space="preserve">[22]</w:t>
        </w:r>
      </w:hyperlink>
      <w:r>
        <w:t xml:space="preserve"> </w:t>
      </w:r>
      <w:hyperlink r:id="rId23">
        <w:r>
          <w:rPr>
            <w:rStyle w:val="Hyperlink"/>
          </w:rPr>
          <w:t xml:space="preserve">[24]</w:t>
        </w:r>
      </w:hyperlink>
      <w:r>
        <w:t xml:space="preserve"> </w:t>
      </w:r>
      <w:hyperlink r:id="rId23">
        <w:r>
          <w:rPr>
            <w:rStyle w:val="Hyperlink"/>
          </w:rPr>
          <w:t xml:space="preserve">[26]</w:t>
        </w:r>
      </w:hyperlink>
      <w:r>
        <w:t xml:space="preserve"> </w:t>
      </w:r>
      <w:hyperlink r:id="rId23">
        <w:r>
          <w:rPr>
            <w:rStyle w:val="Hyperlink"/>
          </w:rPr>
          <w:t xml:space="preserve">[28]</w:t>
        </w:r>
      </w:hyperlink>
      <w:r>
        <w:t xml:space="preserve"> </w:t>
      </w:r>
      <w:hyperlink r:id="rId23">
        <w:r>
          <w:rPr>
            <w:rStyle w:val="Hyperlink"/>
          </w:rPr>
          <w:t xml:space="preserve">[29]</w:t>
        </w:r>
      </w:hyperlink>
      <w:r>
        <w:t xml:space="preserve"> </w:t>
      </w:r>
      <w:hyperlink r:id="rId23">
        <w:r>
          <w:rPr>
            <w:rStyle w:val="Hyperlink"/>
          </w:rPr>
          <w:t xml:space="preserve">[32]</w:t>
        </w:r>
      </w:hyperlink>
      <w:r>
        <w:t xml:space="preserve"> </w:t>
      </w:r>
      <w:r>
        <w:t xml:space="preserve">https://www.anderson.ucla.edu/documents/areas/fac/hrob/mitchell_janitors.pdf</w:t>
      </w:r>
    </w:p>
    <w:p>
      <w:pPr>
        <w:pStyle w:val="BodyText"/>
      </w:pPr>
      <w:hyperlink r:id="rId23">
        <w:r>
          <w:rPr>
            <w:rStyle w:val="Hyperlink"/>
          </w:rPr>
          <w:t xml:space="preserve">https://www.anderson.ucla.edu/documents/areas/fac/hrob/mitchell_janitors.pdf</w:t>
        </w:r>
      </w:hyperlink>
    </w:p>
    <w:p>
      <w:pPr>
        <w:pStyle w:val="BodyText"/>
      </w:pPr>
      <w:hyperlink r:id="rId24">
        <w:r>
          <w:rPr>
            <w:rStyle w:val="Hyperlink"/>
          </w:rPr>
          <w:t xml:space="preserve">[5]</w:t>
        </w:r>
      </w:hyperlink>
      <w:r>
        <w:t xml:space="preserve"> </w:t>
      </w:r>
      <w:hyperlink r:id="rId24">
        <w:r>
          <w:rPr>
            <w:rStyle w:val="Hyperlink"/>
          </w:rPr>
          <w:t xml:space="preserve">[12]</w:t>
        </w:r>
      </w:hyperlink>
      <w:r>
        <w:t xml:space="preserve"> </w:t>
      </w:r>
      <w:hyperlink r:id="rId24">
        <w:r>
          <w:rPr>
            <w:rStyle w:val="Hyperlink"/>
          </w:rPr>
          <w:t xml:space="preserve">[62]</w:t>
        </w:r>
      </w:hyperlink>
      <w:r>
        <w:t xml:space="preserve"> </w:t>
      </w:r>
      <w:hyperlink r:id="rId24">
        <w:r>
          <w:rPr>
            <w:rStyle w:val="Hyperlink"/>
          </w:rPr>
          <w:t xml:space="preserve">[63]</w:t>
        </w:r>
      </w:hyperlink>
      <w:r>
        <w:t xml:space="preserve"> </w:t>
      </w:r>
      <w:hyperlink r:id="rId24">
        <w:r>
          <w:rPr>
            <w:rStyle w:val="Hyperlink"/>
          </w:rPr>
          <w:t xml:space="preserve">[67]</w:t>
        </w:r>
      </w:hyperlink>
      <w:r>
        <w:t xml:space="preserve"> </w:t>
      </w:r>
      <w:hyperlink r:id="rId24">
        <w:r>
          <w:rPr>
            <w:rStyle w:val="Hyperlink"/>
          </w:rPr>
          <w:t xml:space="preserve">[68]</w:t>
        </w:r>
      </w:hyperlink>
      <w:r>
        <w:t xml:space="preserve"> </w:t>
      </w:r>
      <w:hyperlink r:id="rId24">
        <w:r>
          <w:rPr>
            <w:rStyle w:val="Hyperlink"/>
          </w:rPr>
          <w:t xml:space="preserve">[70]</w:t>
        </w:r>
      </w:hyperlink>
      <w:r>
        <w:t xml:space="preserve"> </w:t>
      </w:r>
      <w:hyperlink r:id="rId24">
        <w:r>
          <w:rPr>
            <w:rStyle w:val="Hyperlink"/>
          </w:rPr>
          <w:t xml:space="preserve">[71]</w:t>
        </w:r>
      </w:hyperlink>
      <w:r>
        <w:t xml:space="preserve"> </w:t>
      </w:r>
      <w:hyperlink r:id="rId24">
        <w:r>
          <w:rPr>
            <w:rStyle w:val="Hyperlink"/>
          </w:rPr>
          <w:t xml:space="preserve">[72]</w:t>
        </w:r>
      </w:hyperlink>
      <w:r>
        <w:t xml:space="preserve"> </w:t>
      </w:r>
      <w:hyperlink r:id="rId24">
        <w:r>
          <w:rPr>
            <w:rStyle w:val="Hyperlink"/>
          </w:rPr>
          <w:t xml:space="preserve">[73]</w:t>
        </w:r>
      </w:hyperlink>
      <w:r>
        <w:t xml:space="preserve"> </w:t>
      </w:r>
      <w:hyperlink r:id="rId24">
        <w:r>
          <w:rPr>
            <w:rStyle w:val="Hyperlink"/>
          </w:rPr>
          <w:t xml:space="preserve">[74]</w:t>
        </w:r>
      </w:hyperlink>
      <w:r>
        <w:t xml:space="preserve"> </w:t>
      </w:r>
      <w:hyperlink r:id="rId24">
        <w:r>
          <w:rPr>
            <w:rStyle w:val="Hyperlink"/>
          </w:rPr>
          <w:t xml:space="preserve">[79]</w:t>
        </w:r>
      </w:hyperlink>
      <w:r>
        <w:t xml:space="preserve"> </w:t>
      </w:r>
      <w:r>
        <w:t xml:space="preserve">https://www.law.berkeley.edu/files/rebuilding_after_katrina.pdf</w:t>
      </w:r>
    </w:p>
    <w:p>
      <w:pPr>
        <w:pStyle w:val="BodyText"/>
      </w:pPr>
      <w:hyperlink r:id="rId24">
        <w:r>
          <w:rPr>
            <w:rStyle w:val="Hyperlink"/>
          </w:rPr>
          <w:t xml:space="preserve">https://www.law.berkeley.edu/files/rebuilding_after_katrina.pdf</w:t>
        </w:r>
      </w:hyperlink>
    </w:p>
    <w:p>
      <w:pPr>
        <w:pStyle w:val="BodyText"/>
      </w:pPr>
      <w:hyperlink r:id="rId25">
        <w:r>
          <w:rPr>
            <w:rStyle w:val="Hyperlink"/>
          </w:rPr>
          <w:t xml:space="preserve">[6]</w:t>
        </w:r>
      </w:hyperlink>
      <w:r>
        <w:t xml:space="preserve"> </w:t>
      </w:r>
      <w:hyperlink r:id="rId25">
        <w:r>
          <w:rPr>
            <w:rStyle w:val="Hyperlink"/>
          </w:rPr>
          <w:t xml:space="preserve">[36]</w:t>
        </w:r>
      </w:hyperlink>
      <w:r>
        <w:t xml:space="preserve"> </w:t>
      </w:r>
      <w:hyperlink r:id="rId25">
        <w:r>
          <w:rPr>
            <w:rStyle w:val="Hyperlink"/>
          </w:rPr>
          <w:t xml:space="preserve">[38]</w:t>
        </w:r>
      </w:hyperlink>
      <w:r>
        <w:t xml:space="preserve"> </w:t>
      </w:r>
      <w:hyperlink r:id="rId25">
        <w:r>
          <w:rPr>
            <w:rStyle w:val="Hyperlink"/>
          </w:rPr>
          <w:t xml:space="preserve">[42]</w:t>
        </w:r>
      </w:hyperlink>
      <w:r>
        <w:t xml:space="preserve"> </w:t>
      </w:r>
      <w:hyperlink r:id="rId25">
        <w:r>
          <w:rPr>
            <w:rStyle w:val="Hyperlink"/>
          </w:rPr>
          <w:t xml:space="preserve">[43]</w:t>
        </w:r>
      </w:hyperlink>
      <w:r>
        <w:t xml:space="preserve"> </w:t>
      </w:r>
      <w:r>
        <w:t xml:space="preserve">https://mississippiencyclopedia.org/entries/poultry-industry-and-latino-workers/</w:t>
      </w:r>
    </w:p>
    <w:p>
      <w:pPr>
        <w:pStyle w:val="BodyText"/>
      </w:pPr>
      <w:hyperlink r:id="rId25">
        <w:r>
          <w:rPr>
            <w:rStyle w:val="Hyperlink"/>
          </w:rPr>
          <w:t xml:space="preserve">https://mississippiencyclopedia.org/entries/poultry-industry-and-latino-workers/</w:t>
        </w:r>
      </w:hyperlink>
    </w:p>
    <w:p>
      <w:pPr>
        <w:pStyle w:val="BodyText"/>
      </w:pPr>
      <w:hyperlink r:id="rId26">
        <w:r>
          <w:rPr>
            <w:rStyle w:val="Hyperlink"/>
          </w:rPr>
          <w:t xml:space="preserve">[7]</w:t>
        </w:r>
      </w:hyperlink>
      <w:r>
        <w:t xml:space="preserve"> </w:t>
      </w:r>
      <w:hyperlink r:id="rId26">
        <w:r>
          <w:rPr>
            <w:rStyle w:val="Hyperlink"/>
          </w:rPr>
          <w:t xml:space="preserve">[16]</w:t>
        </w:r>
      </w:hyperlink>
      <w:r>
        <w:t xml:space="preserve"> </w:t>
      </w:r>
      <w:hyperlink r:id="rId26">
        <w:r>
          <w:rPr>
            <w:rStyle w:val="Hyperlink"/>
          </w:rPr>
          <w:t xml:space="preserve">[18]</w:t>
        </w:r>
      </w:hyperlink>
      <w:r>
        <w:t xml:space="preserve"> </w:t>
      </w:r>
      <w:hyperlink r:id="rId26">
        <w:r>
          <w:rPr>
            <w:rStyle w:val="Hyperlink"/>
          </w:rPr>
          <w:t xml:space="preserve">[37]</w:t>
        </w:r>
      </w:hyperlink>
      <w:r>
        <w:t xml:space="preserve"> </w:t>
      </w:r>
      <w:hyperlink r:id="rId26">
        <w:r>
          <w:rPr>
            <w:rStyle w:val="Hyperlink"/>
          </w:rPr>
          <w:t xml:space="preserve">[39]</w:t>
        </w:r>
      </w:hyperlink>
      <w:r>
        <w:t xml:space="preserve"> </w:t>
      </w:r>
      <w:hyperlink r:id="rId26">
        <w:r>
          <w:rPr>
            <w:rStyle w:val="Hyperlink"/>
          </w:rPr>
          <w:t xml:space="preserve">[40]</w:t>
        </w:r>
      </w:hyperlink>
      <w:r>
        <w:t xml:space="preserve"> </w:t>
      </w:r>
      <w:hyperlink r:id="rId26">
        <w:r>
          <w:rPr>
            <w:rStyle w:val="Hyperlink"/>
          </w:rPr>
          <w:t xml:space="preserve">[41]</w:t>
        </w:r>
      </w:hyperlink>
      <w:r>
        <w:t xml:space="preserve"> </w:t>
      </w:r>
      <w:hyperlink r:id="rId26">
        <w:r>
          <w:rPr>
            <w:rStyle w:val="Hyperlink"/>
          </w:rPr>
          <w:t xml:space="preserve">[44]</w:t>
        </w:r>
      </w:hyperlink>
      <w:r>
        <w:t xml:space="preserve"> </w:t>
      </w:r>
      <w:hyperlink r:id="rId26">
        <w:r>
          <w:rPr>
            <w:rStyle w:val="Hyperlink"/>
          </w:rPr>
          <w:t xml:space="preserve">[45]</w:t>
        </w:r>
      </w:hyperlink>
      <w:r>
        <w:t xml:space="preserve"> </w:t>
      </w:r>
      <w:hyperlink r:id="rId26">
        <w:r>
          <w:rPr>
            <w:rStyle w:val="Hyperlink"/>
          </w:rPr>
          <w:t xml:space="preserve">[46]</w:t>
        </w:r>
      </w:hyperlink>
      <w:r>
        <w:t xml:space="preserve"> </w:t>
      </w:r>
      <w:hyperlink r:id="rId26">
        <w:r>
          <w:rPr>
            <w:rStyle w:val="Hyperlink"/>
          </w:rPr>
          <w:t xml:space="preserve">[47]</w:t>
        </w:r>
      </w:hyperlink>
      <w:r>
        <w:t xml:space="preserve"> </w:t>
      </w:r>
      <w:hyperlink r:id="rId26">
        <w:r>
          <w:rPr>
            <w:rStyle w:val="Hyperlink"/>
          </w:rPr>
          <w:t xml:space="preserve">[48]</w:t>
        </w:r>
      </w:hyperlink>
      <w:r>
        <w:t xml:space="preserve"> </w:t>
      </w:r>
      <w:hyperlink r:id="rId26">
        <w:r>
          <w:rPr>
            <w:rStyle w:val="Hyperlink"/>
          </w:rPr>
          <w:t xml:space="preserve">[49]</w:t>
        </w:r>
      </w:hyperlink>
      <w:r>
        <w:t xml:space="preserve"> </w:t>
      </w:r>
      <w:hyperlink r:id="rId26">
        <w:r>
          <w:rPr>
            <w:rStyle w:val="Hyperlink"/>
          </w:rPr>
          <w:t xml:space="preserve">[50]</w:t>
        </w:r>
      </w:hyperlink>
      <w:r>
        <w:t xml:space="preserve"> </w:t>
      </w:r>
      <w:hyperlink r:id="rId26">
        <w:r>
          <w:rPr>
            <w:rStyle w:val="Hyperlink"/>
          </w:rPr>
          <w:t xml:space="preserve">[51]</w:t>
        </w:r>
      </w:hyperlink>
      <w:r>
        <w:t xml:space="preserve"> </w:t>
      </w:r>
      <w:hyperlink r:id="rId26">
        <w:r>
          <w:rPr>
            <w:rStyle w:val="Hyperlink"/>
          </w:rPr>
          <w:t xml:space="preserve">[52]</w:t>
        </w:r>
      </w:hyperlink>
      <w:r>
        <w:t xml:space="preserve"> </w:t>
      </w:r>
      <w:hyperlink r:id="rId26">
        <w:r>
          <w:rPr>
            <w:rStyle w:val="Hyperlink"/>
          </w:rPr>
          <w:t xml:space="preserve">[53]</w:t>
        </w:r>
      </w:hyperlink>
      <w:r>
        <w:t xml:space="preserve"> </w:t>
      </w:r>
      <w:hyperlink r:id="rId26">
        <w:r>
          <w:rPr>
            <w:rStyle w:val="Hyperlink"/>
          </w:rPr>
          <w:t xml:space="preserve">[76]</w:t>
        </w:r>
      </w:hyperlink>
      <w:r>
        <w:t xml:space="preserve"> </w:t>
      </w:r>
      <w:hyperlink r:id="rId26">
        <w:r>
          <w:rPr>
            <w:rStyle w:val="Hyperlink"/>
          </w:rPr>
          <w:t xml:space="preserve">[81]</w:t>
        </w:r>
      </w:hyperlink>
      <w:r>
        <w:t xml:space="preserve"> </w:t>
      </w:r>
      <w:r>
        <w:t xml:space="preserve">https://southernspaces.org/2013/low-wage-legacies-race-and-golden-chicken-mississippi-where-contemporary-immigration-meets-african-american-labor-history/</w:t>
      </w:r>
    </w:p>
    <w:p>
      <w:pPr>
        <w:pStyle w:val="BodyText"/>
      </w:pPr>
      <w:hyperlink r:id="rId26">
        <w:r>
          <w:rPr>
            <w:rStyle w:val="Hyperlink"/>
          </w:rPr>
          <w:t xml:space="preserve">https://southernspaces.org/2013/low-wage-legacies-race-and-golden-chicken-mississippi-where-contemporary-immigration-meets-african-american-labor-history/</w:t>
        </w:r>
      </w:hyperlink>
    </w:p>
    <w:p>
      <w:pPr>
        <w:pStyle w:val="BodyText"/>
      </w:pPr>
      <w:hyperlink r:id="rId27">
        <w:r>
          <w:rPr>
            <w:rStyle w:val="Hyperlink"/>
          </w:rPr>
          <w:t xml:space="preserve">[8]</w:t>
        </w:r>
      </w:hyperlink>
      <w:r>
        <w:t xml:space="preserve"> </w:t>
      </w:r>
      <w:hyperlink r:id="rId27">
        <w:r>
          <w:rPr>
            <w:rStyle w:val="Hyperlink"/>
          </w:rPr>
          <w:t xml:space="preserve">[10]</w:t>
        </w:r>
      </w:hyperlink>
      <w:r>
        <w:t xml:space="preserve"> </w:t>
      </w:r>
      <w:hyperlink r:id="rId27">
        <w:r>
          <w:rPr>
            <w:rStyle w:val="Hyperlink"/>
          </w:rPr>
          <w:t xml:space="preserve">[17]</w:t>
        </w:r>
      </w:hyperlink>
      <w:r>
        <w:t xml:space="preserve"> </w:t>
      </w:r>
      <w:hyperlink r:id="rId27">
        <w:r>
          <w:rPr>
            <w:rStyle w:val="Hyperlink"/>
          </w:rPr>
          <w:t xml:space="preserve">[31]</w:t>
        </w:r>
      </w:hyperlink>
      <w:r>
        <w:t xml:space="preserve"> </w:t>
      </w:r>
      <w:hyperlink r:id="rId27">
        <w:r>
          <w:rPr>
            <w:rStyle w:val="Hyperlink"/>
          </w:rPr>
          <w:t xml:space="preserve">[57]</w:t>
        </w:r>
      </w:hyperlink>
      <w:r>
        <w:t xml:space="preserve"> </w:t>
      </w:r>
      <w:hyperlink r:id="rId27">
        <w:r>
          <w:rPr>
            <w:rStyle w:val="Hyperlink"/>
          </w:rPr>
          <w:t xml:space="preserve">[58]</w:t>
        </w:r>
      </w:hyperlink>
      <w:r>
        <w:t xml:space="preserve"> </w:t>
      </w:r>
      <w:r>
        <w:t xml:space="preserve">https://americanhistory.si.edu/sites/default/files/Bracero%20Historical%20Investigation.pdf</w:t>
      </w:r>
    </w:p>
    <w:p>
      <w:pPr>
        <w:pStyle w:val="BodyText"/>
      </w:pPr>
      <w:hyperlink r:id="rId27">
        <w:r>
          <w:rPr>
            <w:rStyle w:val="Hyperlink"/>
          </w:rPr>
          <w:t xml:space="preserve">https://americanhistory.si.edu/sites/default/files/Bracero%20Historical%20Investigation.pdf</w:t>
        </w:r>
      </w:hyperlink>
    </w:p>
    <w:p>
      <w:pPr>
        <w:pStyle w:val="BodyText"/>
      </w:pPr>
      <w:hyperlink r:id="rId28">
        <w:r>
          <w:rPr>
            <w:rStyle w:val="Hyperlink"/>
          </w:rPr>
          <w:t xml:space="preserve">[9]</w:t>
        </w:r>
      </w:hyperlink>
      <w:r>
        <w:t xml:space="preserve"> </w:t>
      </w:r>
      <w:hyperlink r:id="rId28">
        <w:r>
          <w:rPr>
            <w:rStyle w:val="Hyperlink"/>
          </w:rPr>
          <w:t xml:space="preserve">[54]</w:t>
        </w:r>
      </w:hyperlink>
      <w:r>
        <w:t xml:space="preserve"> </w:t>
      </w:r>
      <w:hyperlink r:id="rId28">
        <w:r>
          <w:rPr>
            <w:rStyle w:val="Hyperlink"/>
          </w:rPr>
          <w:t xml:space="preserve">[56]</w:t>
        </w:r>
      </w:hyperlink>
      <w:r>
        <w:t xml:space="preserve"> </w:t>
      </w:r>
      <w:hyperlink r:id="rId28">
        <w:r>
          <w:rPr>
            <w:rStyle w:val="Hyperlink"/>
          </w:rPr>
          <w:t xml:space="preserve">[59]</w:t>
        </w:r>
      </w:hyperlink>
      <w:r>
        <w:t xml:space="preserve"> </w:t>
      </w:r>
      <w:hyperlink r:id="rId28">
        <w:r>
          <w:rPr>
            <w:rStyle w:val="Hyperlink"/>
          </w:rPr>
          <w:t xml:space="preserve">[60]</w:t>
        </w:r>
      </w:hyperlink>
      <w:r>
        <w:t xml:space="preserve"> </w:t>
      </w:r>
      <w:hyperlink r:id="rId28">
        <w:r>
          <w:rPr>
            <w:rStyle w:val="Hyperlink"/>
          </w:rPr>
          <w:t xml:space="preserve">[61]</w:t>
        </w:r>
      </w:hyperlink>
      <w:r>
        <w:t xml:space="preserve"> </w:t>
      </w:r>
      <w:r>
        <w:t xml:space="preserve">https://encyclopediaofarkansas.net/entries/bracero-program-5548/</w:t>
      </w:r>
    </w:p>
    <w:p>
      <w:pPr>
        <w:pStyle w:val="BodyText"/>
      </w:pPr>
      <w:hyperlink r:id="rId28">
        <w:r>
          <w:rPr>
            <w:rStyle w:val="Hyperlink"/>
          </w:rPr>
          <w:t xml:space="preserve">https://encyclopediaofarkansas.net/entries/bracero-program-5548/</w:t>
        </w:r>
      </w:hyperlink>
    </w:p>
    <w:p>
      <w:pPr>
        <w:pStyle w:val="BodyText"/>
      </w:pPr>
      <w:hyperlink r:id="rId29">
        <w:r>
          <w:rPr>
            <w:rStyle w:val="Hyperlink"/>
          </w:rPr>
          <w:t xml:space="preserve">[11]</w:t>
        </w:r>
      </w:hyperlink>
      <w:r>
        <w:t xml:space="preserve"> </w:t>
      </w:r>
      <w:hyperlink r:id="rId29">
        <w:r>
          <w:rPr>
            <w:rStyle w:val="Hyperlink"/>
          </w:rPr>
          <w:t xml:space="preserve">[20]</w:t>
        </w:r>
      </w:hyperlink>
      <w:r>
        <w:t xml:space="preserve"> </w:t>
      </w:r>
      <w:hyperlink r:id="rId29">
        <w:r>
          <w:rPr>
            <w:rStyle w:val="Hyperlink"/>
          </w:rPr>
          <w:t xml:space="preserve">[64]</w:t>
        </w:r>
      </w:hyperlink>
      <w:r>
        <w:t xml:space="preserve"> </w:t>
      </w:r>
      <w:hyperlink r:id="rId29">
        <w:r>
          <w:rPr>
            <w:rStyle w:val="Hyperlink"/>
          </w:rPr>
          <w:t xml:space="preserve">[65]</w:t>
        </w:r>
      </w:hyperlink>
      <w:r>
        <w:t xml:space="preserve"> </w:t>
      </w:r>
      <w:hyperlink r:id="rId29">
        <w:r>
          <w:rPr>
            <w:rStyle w:val="Hyperlink"/>
          </w:rPr>
          <w:t xml:space="preserve">[66]</w:t>
        </w:r>
      </w:hyperlink>
      <w:r>
        <w:t xml:space="preserve"> </w:t>
      </w:r>
      <w:hyperlink r:id="rId29">
        <w:r>
          <w:rPr>
            <w:rStyle w:val="Hyperlink"/>
          </w:rPr>
          <w:t xml:space="preserve">[69]</w:t>
        </w:r>
      </w:hyperlink>
      <w:r>
        <w:t xml:space="preserve"> </w:t>
      </w:r>
      <w:hyperlink r:id="rId29">
        <w:r>
          <w:rPr>
            <w:rStyle w:val="Hyperlink"/>
          </w:rPr>
          <w:t xml:space="preserve">[77]</w:t>
        </w:r>
      </w:hyperlink>
      <w:r>
        <w:t xml:space="preserve"> </w:t>
      </w:r>
      <w:hyperlink r:id="rId29">
        <w:r>
          <w:rPr>
            <w:rStyle w:val="Hyperlink"/>
          </w:rPr>
          <w:t xml:space="preserve">[78]</w:t>
        </w:r>
      </w:hyperlink>
      <w:r>
        <w:t xml:space="preserve"> </w:t>
      </w:r>
      <w:r>
        <w:t xml:space="preserve">https://www.ilw.com/articles/2006%2C0913-browne.pdf</w:t>
      </w:r>
    </w:p>
    <w:p>
      <w:pPr>
        <w:pStyle w:val="BodyText"/>
      </w:pPr>
      <w:hyperlink r:id="rId29">
        <w:r>
          <w:rPr>
            <w:rStyle w:val="Hyperlink"/>
          </w:rPr>
          <w:t xml:space="preserve">https://www.ilw.com/articles/2006%2C0913-browne.pdf</w:t>
        </w:r>
      </w:hyperlink>
    </w:p>
    <w:p>
      <w:pPr>
        <w:pStyle w:val="BodyText"/>
      </w:pPr>
      <w:hyperlink r:id="rId30">
        <w:r>
          <w:rPr>
            <w:rStyle w:val="Hyperlink"/>
          </w:rPr>
          <w:t xml:space="preserve">[13]</w:t>
        </w:r>
      </w:hyperlink>
      <w:r>
        <w:t xml:space="preserve"> </w:t>
      </w:r>
      <w:hyperlink r:id="rId30">
        <w:r>
          <w:rPr>
            <w:rStyle w:val="Hyperlink"/>
          </w:rPr>
          <w:t xml:space="preserve">[15]</w:t>
        </w:r>
      </w:hyperlink>
      <w:r>
        <w:t xml:space="preserve"> </w:t>
      </w:r>
      <w:r>
        <w:t xml:space="preserve">https://www.hrw.org/report/2005/01/24/blood-sweat-and-fear/workers-rights-us-meat-and-poultry-plants</w:t>
      </w:r>
    </w:p>
    <w:p>
      <w:pPr>
        <w:pStyle w:val="BodyText"/>
      </w:pPr>
      <w:hyperlink r:id="rId30">
        <w:r>
          <w:rPr>
            <w:rStyle w:val="Hyperlink"/>
          </w:rPr>
          <w:t xml:space="preserve">https://www.hrw.org/report/2005/01/24/blood-sweat-and-fear/workers-rights-us-meat-and-poultry-plants</w:t>
        </w:r>
      </w:hyperlink>
    </w:p>
    <w:p>
      <w:pPr>
        <w:pStyle w:val="BodyText"/>
      </w:pPr>
      <w:hyperlink r:id="rId32">
        <w:r>
          <w:rPr>
            <w:rStyle w:val="Hyperlink"/>
          </w:rPr>
          <w:t xml:space="preserve">[21]</w:t>
        </w:r>
      </w:hyperlink>
      <w:r>
        <w:t xml:space="preserve"> </w:t>
      </w:r>
      <w:r>
        <w:t xml:space="preserve">https://www.nber.org/system/files/working_papers/w12518/w12518.pdf</w:t>
      </w:r>
    </w:p>
    <w:p>
      <w:pPr>
        <w:pStyle w:val="BodyText"/>
      </w:pPr>
      <w:hyperlink r:id="rId32">
        <w:r>
          <w:rPr>
            <w:rStyle w:val="Hyperlink"/>
          </w:rPr>
          <w:t xml:space="preserve">https://www.nber.org/system/files/working_papers/w12518/w12518.pdf</w:t>
        </w:r>
      </w:hyperlink>
    </w:p>
    <w:p>
      <w:pPr>
        <w:pStyle w:val="BodyText"/>
      </w:pPr>
      <w:hyperlink r:id="rId34">
        <w:r>
          <w:rPr>
            <w:rStyle w:val="Hyperlink"/>
          </w:rPr>
          <w:t xml:space="preserve">[23]</w:t>
        </w:r>
      </w:hyperlink>
      <w:r>
        <w:t xml:space="preserve"> </w:t>
      </w:r>
      <w:r>
        <w:t xml:space="preserve">https://socialistregister.com/index.php/srv/article/download/5802/2698/7729</w:t>
      </w:r>
    </w:p>
    <w:p>
      <w:pPr>
        <w:pStyle w:val="BodyText"/>
      </w:pPr>
      <w:hyperlink r:id="rId34">
        <w:r>
          <w:rPr>
            <w:rStyle w:val="Hyperlink"/>
          </w:rPr>
          <w:t xml:space="preserve">https://socialistregister.com/index.php/srv/article/download/5802/2698/7729</w:t>
        </w:r>
      </w:hyperlink>
    </w:p>
    <w:p>
      <w:pPr>
        <w:pStyle w:val="BodyText"/>
      </w:pPr>
      <w:hyperlink r:id="rId35">
        <w:r>
          <w:rPr>
            <w:rStyle w:val="Hyperlink"/>
          </w:rPr>
          <w:t xml:space="preserve">[27]</w:t>
        </w:r>
      </w:hyperlink>
      <w:r>
        <w:t xml:space="preserve"> </w:t>
      </w:r>
      <w:r>
        <w:t xml:space="preserve">https://memorywork.irle.ucla.edu/archives/970</w:t>
      </w:r>
    </w:p>
    <w:p>
      <w:pPr>
        <w:pStyle w:val="BodyText"/>
      </w:pPr>
      <w:hyperlink r:id="rId35">
        <w:r>
          <w:rPr>
            <w:rStyle w:val="Hyperlink"/>
          </w:rPr>
          <w:t xml:space="preserve">https://memorywork.irle.ucla.edu/archives/970</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americanhistory.si.edu/sites/default/files/Bracero%20Historical%20Investigation.pdf" TargetMode="External" /><Relationship Type="http://schemas.openxmlformats.org/officeDocument/2006/relationships/hyperlink" Id="rId22" Target="https://ccis.ucsd.edu/_files/wp9.pdf" TargetMode="External" /><Relationship Type="http://schemas.openxmlformats.org/officeDocument/2006/relationships/hyperlink" Id="rId28" Target="https://encyclopediaofarkansas.net/entries/bracero-program-5548/" TargetMode="External" /><Relationship Type="http://schemas.openxmlformats.org/officeDocument/2006/relationships/hyperlink" Id="rId35" Target="https://memorywork.irle.ucla.edu/archives/970" TargetMode="External" /><Relationship Type="http://schemas.openxmlformats.org/officeDocument/2006/relationships/hyperlink" Id="rId25" Target="https://mississippiencyclopedia.org/entries/poultry-industry-and-latino-workers/" TargetMode="External" /><Relationship Type="http://schemas.openxmlformats.org/officeDocument/2006/relationships/hyperlink" Id="rId34" Target="https://socialistregister.com/index.php/srv/article/download/5802/2698/7729" TargetMode="External" /><Relationship Type="http://schemas.openxmlformats.org/officeDocument/2006/relationships/hyperlink" Id="rId26" Target="https://southernspaces.org/2013/low-wage-legacies-race-and-golden-chicken-mississippi-where-contemporary-immigration-meets-african-american-labor-history/" TargetMode="External" /><Relationship Type="http://schemas.openxmlformats.org/officeDocument/2006/relationships/hyperlink" Id="rId21" Target="https://waldinger.scholar.ss.ucla.edu/wp-content/uploads/sites/25/2024/08/A48_BlackImmigrant-1.pdf" TargetMode="External" /><Relationship Type="http://schemas.openxmlformats.org/officeDocument/2006/relationships/hyperlink" Id="rId23" Target="https://www.anderson.ucla.edu/documents/areas/fac/hrob/mitchell_janitors.pdf" TargetMode="External" /><Relationship Type="http://schemas.openxmlformats.org/officeDocument/2006/relationships/hyperlink" Id="rId30" Target="https://www.hrw.org/report/2005/01/24/blood-sweat-and-fear/workers-rights-us-meat-and-poultry-plants" TargetMode="External" /><Relationship Type="http://schemas.openxmlformats.org/officeDocument/2006/relationships/hyperlink" Id="rId29" Target="https://www.ilw.com/articles/2006%2C0913-browne.pdf" TargetMode="External" /><Relationship Type="http://schemas.openxmlformats.org/officeDocument/2006/relationships/hyperlink" Id="rId24" Target="https://www.law.berkeley.edu/files/rebuilding_after_katrina.pdf" TargetMode="External" /><Relationship Type="http://schemas.openxmlformats.org/officeDocument/2006/relationships/hyperlink" Id="rId32" Target="https://www.nber.org/system/files/working_papers/w12518/w12518.pdf" TargetMode="External" /></Relationships>
</file>

<file path=word/_rels/footnotes.xml.rels><?xml version="1.0" encoding="UTF-8"?><Relationships xmlns="http://schemas.openxmlformats.org/package/2006/relationships"><Relationship Type="http://schemas.openxmlformats.org/officeDocument/2006/relationships/hyperlink" Id="rId27" Target="https://americanhistory.si.edu/sites/default/files/Bracero%20Historical%20Investigation.pdf" TargetMode="External" /><Relationship Type="http://schemas.openxmlformats.org/officeDocument/2006/relationships/hyperlink" Id="rId22" Target="https://ccis.ucsd.edu/_files/wp9.pdf" TargetMode="External" /><Relationship Type="http://schemas.openxmlformats.org/officeDocument/2006/relationships/hyperlink" Id="rId28" Target="https://encyclopediaofarkansas.net/entries/bracero-program-5548/" TargetMode="External" /><Relationship Type="http://schemas.openxmlformats.org/officeDocument/2006/relationships/hyperlink" Id="rId35" Target="https://memorywork.irle.ucla.edu/archives/970" TargetMode="External" /><Relationship Type="http://schemas.openxmlformats.org/officeDocument/2006/relationships/hyperlink" Id="rId25" Target="https://mississippiencyclopedia.org/entries/poultry-industry-and-latino-workers/" TargetMode="External" /><Relationship Type="http://schemas.openxmlformats.org/officeDocument/2006/relationships/hyperlink" Id="rId34" Target="https://socialistregister.com/index.php/srv/article/download/5802/2698/7729" TargetMode="External" /><Relationship Type="http://schemas.openxmlformats.org/officeDocument/2006/relationships/hyperlink" Id="rId26" Target="https://southernspaces.org/2013/low-wage-legacies-race-and-golden-chicken-mississippi-where-contemporary-immigration-meets-african-american-labor-history/" TargetMode="External" /><Relationship Type="http://schemas.openxmlformats.org/officeDocument/2006/relationships/hyperlink" Id="rId21" Target="https://waldinger.scholar.ss.ucla.edu/wp-content/uploads/sites/25/2024/08/A48_BlackImmigrant-1.pdf" TargetMode="External" /><Relationship Type="http://schemas.openxmlformats.org/officeDocument/2006/relationships/hyperlink" Id="rId23" Target="https://www.anderson.ucla.edu/documents/areas/fac/hrob/mitchell_janitors.pdf" TargetMode="External" /><Relationship Type="http://schemas.openxmlformats.org/officeDocument/2006/relationships/hyperlink" Id="rId30" Target="https://www.hrw.org/report/2005/01/24/blood-sweat-and-fear/workers-rights-us-meat-and-poultry-plants" TargetMode="External" /><Relationship Type="http://schemas.openxmlformats.org/officeDocument/2006/relationships/hyperlink" Id="rId29" Target="https://www.ilw.com/articles/2006%2C0913-browne.pdf" TargetMode="External" /><Relationship Type="http://schemas.openxmlformats.org/officeDocument/2006/relationships/hyperlink" Id="rId24" Target="https://www.law.berkeley.edu/files/rebuilding_after_katrina.pdf" TargetMode="External" /><Relationship Type="http://schemas.openxmlformats.org/officeDocument/2006/relationships/hyperlink" Id="rId32" Target="https://www.nber.org/system/files/working_papers/w12518/w12518.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2026-02-15T03:12:22Z</dcterms:created>
  <dcterms:modified xsi:type="dcterms:W3CDTF">2026-02-15T03:12:22Z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