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eafe29d5550c5453ddb490d45c4c09a5f65ca9c"/>
    <w:p>
      <w:pPr>
        <w:pStyle w:val="Heading1"/>
      </w:pPr>
      <w:r>
        <w:t xml:space="preserve">Corporate Capital and Progressive Cultural Politics</w:t>
      </w:r>
    </w:p>
    <w:bookmarkStart w:id="21" w:name="executive-summary"/>
    <w:p>
      <w:pPr>
        <w:pStyle w:val="Heading2"/>
      </w:pPr>
      <w:r>
        <w:t xml:space="preserve">Executive summary</w:t>
      </w:r>
    </w:p>
    <w:p>
      <w:pPr>
        <w:pStyle w:val="FirstParagraph"/>
      </w:pPr>
      <w:r>
        <w:t xml:space="preserve">This report defends and documents the thesis that large corporations and capitalist interests frequently align with culturally progressive movements against traditionalist conservatism—not because “capitalism is left-wing” in a comprehensive ideological sense, but because post-traditional norms are often</w:t>
      </w:r>
      <w:r>
        <w:t xml:space="preserve"> </w:t>
      </w:r>
      <w:r>
        <w:rPr>
          <w:i/>
          <w:iCs/>
        </w:rPr>
        <w:t xml:space="preserve">instrumentally valuable</w:t>
      </w:r>
      <w:r>
        <w:t xml:space="preserve"> </w:t>
      </w:r>
      <w:r>
        <w:t xml:space="preserve">for three recurring business reasons: market expansion, reputational risk management, and managerial professionalization.</w:t>
      </w:r>
    </w:p>
    <w:p>
      <w:pPr>
        <w:pStyle w:val="BodyText"/>
      </w:pPr>
      <w:r>
        <w:t xml:space="preserve">Across U.S.-centered case studies in technology, retail, entertainment, finance, higher education, and NGO-mediated governance, a repeated pattern appears: firms publicly endorse (and sometimes materially enforce) norms of non-discrimination, LGBTQ+ inclusion, diversity and inclusion, and immigration openness when those norms (a) reduce frictions to labor mobility and talent recruitment, (b) support global scaling and brand access to heterogeneous consumer segments, (c) lower legal/administrative complexity across jurisdictions, and/or (d) anticipate stakeholder expectations—especially among employees, consumers, and institutional investors. The pattern also appears in “hard” corporate actions (amicus briefs, expansion cancellations, benefits redesign, disclosure rules), not only in slogans.</w:t>
      </w:r>
    </w:p>
    <w:p>
      <w:pPr>
        <w:pStyle w:val="BodyText"/>
      </w:pPr>
      <w:r>
        <w:t xml:space="preserve">At the same time, “alignment” is conditional. Corporations often</w:t>
      </w:r>
      <w:r>
        <w:t xml:space="preserve"> </w:t>
      </w:r>
      <w:r>
        <w:rPr>
          <w:i/>
          <w:iCs/>
        </w:rPr>
        <w:t xml:space="preserve">diverge</w:t>
      </w:r>
      <w:r>
        <w:t xml:space="preserve"> </w:t>
      </w:r>
      <w:r>
        <w:t xml:space="preserve">from the cultural left on distributive/economic priorities (taxation, labor power, regulation), and many culturally progressive programs have been softened, rebranded, or withdrawn under heightened litigation and political backlash risk. This creates a scope condition: corporate-progressive alignment is typically strongest where the firm’s value is most dependent on (i) high-skill labor markets, (ii) brand-sensitive consumer segments, (iii) cross-jurisdictional governance uniformity, or (iv) investor- or regulator-facing disclosure regimes; and weakest where the revenue base is culturally conservative, where government contracting rules shift sharply, or where state-level retaliation becomes material.</w:t>
      </w:r>
    </w:p>
    <w:bookmarkEnd w:id="21"/>
    <w:bookmarkStart w:id="40" w:name="thesis-definitions-and-propositions"/>
    <w:p>
      <w:pPr>
        <w:pStyle w:val="Heading2"/>
      </w:pPr>
      <w:r>
        <w:t xml:space="preserve">Thesis, definitions, and propositions</w:t>
      </w:r>
    </w:p>
    <w:p>
      <w:pPr>
        <w:pStyle w:val="FirstParagraph"/>
      </w:pPr>
      <w:r>
        <w:t xml:space="preserve">The core claim can be formulated precisely:</w:t>
      </w:r>
    </w:p>
    <w:p>
      <w:pPr>
        <w:pStyle w:val="BodyText"/>
      </w:pPr>
      <w:r>
        <w:rPr>
          <w:b/>
          <w:bCs/>
        </w:rPr>
        <w:t xml:space="preserve">Thesis (instrumental alignment):</w:t>
      </w:r>
      <w:r>
        <w:t xml:space="preserve"> </w:t>
      </w:r>
      <w:r>
        <w:t xml:space="preserve">Large corporations and capitalist interests often align with culturally progressive movements against traditionalist conservatism because post-traditional norms (autonomy, cosmopolitan inclusion, expressive identity pluralism, and anti-discrimination) can be economically useful—expanding addressable markets, reducing labor and governance frictions, and managing reputational and regulatory risk.</w:t>
      </w:r>
    </w:p>
    <w:p>
      <w:pPr>
        <w:pStyle w:val="BodyText"/>
      </w:pPr>
      <w:r>
        <w:t xml:space="preserve">This thesis is compatible with classical and contemporary social theory emphasizing capitalism’s dissolving effect on inherited social forms (even when capitalism later re-institutionalizes new norms). Karl Marx</w:t>
      </w:r>
      <w:hyperlink r:id="rId22">
        <w:r>
          <w:rPr>
            <w:rStyle w:val="Hyperlink"/>
          </w:rPr>
          <w:t xml:space="preserve">[1]</w:t>
        </w:r>
      </w:hyperlink>
      <w:r>
        <w:t xml:space="preserve"> </w:t>
      </w:r>
      <w:r>
        <w:t xml:space="preserve">and Friedrich Engels</w:t>
      </w:r>
      <w:hyperlink r:id="rId22">
        <w:r>
          <w:rPr>
            <w:rStyle w:val="Hyperlink"/>
          </w:rPr>
          <w:t xml:space="preserve">[2]</w:t>
        </w:r>
      </w:hyperlink>
      <w:r>
        <w:t xml:space="preserve"> </w:t>
      </w:r>
      <w:r>
        <w:t xml:space="preserve">famously describe the bourgeois epoch as one that sweeps away “fixed, fast-frozen relations,” profaning what had been treated as holy, driven by the need for expanding markets. The Communist Manifesto</w:t>
      </w:r>
      <w:hyperlink r:id="rId23">
        <w:r>
          <w:rPr>
            <w:rStyle w:val="Hyperlink"/>
          </w:rPr>
          <w:t xml:space="preserve">[3]</w:t>
        </w:r>
      </w:hyperlink>
      <w:r>
        <w:t xml:space="preserve">.</w:t>
      </w:r>
      <w:r>
        <w:t xml:space="preserve"> </w:t>
      </w:r>
      <w:hyperlink r:id="rId24">
        <w:r>
          <w:rPr>
            <w:rStyle w:val="Hyperlink"/>
          </w:rPr>
          <w:t xml:space="preserve">[4]</w:t>
        </w:r>
      </w:hyperlink>
      <w:r>
        <w:t xml:space="preserve"> </w:t>
      </w:r>
      <w:r>
        <w:t xml:space="preserve">Joseph Schumpeter</w:t>
      </w:r>
      <w:hyperlink r:id="rId25">
        <w:r>
          <w:rPr>
            <w:rStyle w:val="Hyperlink"/>
          </w:rPr>
          <w:t xml:space="preserve">[5]</w:t>
        </w:r>
      </w:hyperlink>
      <w:r>
        <w:t xml:space="preserve"> </w:t>
      </w:r>
      <w:r>
        <w:t xml:space="preserve">later theorized capitalism as “creative destruction,” incessantly revolutionizing the economic structure from within.</w:t>
      </w:r>
      <w:r>
        <w:t xml:space="preserve"> </w:t>
      </w:r>
      <w:hyperlink r:id="rId26">
        <w:r>
          <w:rPr>
            <w:rStyle w:val="Hyperlink"/>
          </w:rPr>
          <w:t xml:space="preserve">[6]</w:t>
        </w:r>
      </w:hyperlink>
      <w:r>
        <w:t xml:space="preserve"> </w:t>
      </w:r>
      <w:r>
        <w:t xml:space="preserve">Daniel Bell</w:t>
      </w:r>
      <w:hyperlink r:id="rId27">
        <w:r>
          <w:rPr>
            <w:rStyle w:val="Hyperlink"/>
          </w:rPr>
          <w:t xml:space="preserve">[7]</w:t>
        </w:r>
      </w:hyperlink>
      <w:r>
        <w:t xml:space="preserve"> </w:t>
      </w:r>
      <w:r>
        <w:t xml:space="preserve">argued that modern culture evolves toward a “tradition of the new,” supported by markets that “gobble up” novelty.</w:t>
      </w:r>
      <w:r>
        <w:t xml:space="preserve"> </w:t>
      </w:r>
      <w:hyperlink r:id="rId28">
        <w:r>
          <w:rPr>
            <w:rStyle w:val="Hyperlink"/>
          </w:rPr>
          <w:t xml:space="preserve">[8]</w:t>
        </w:r>
      </w:hyperlink>
      <w:r>
        <w:t xml:space="preserve"> </w:t>
      </w:r>
      <w:r>
        <w:t xml:space="preserve">Contemporary political theorist Nancy Fraser</w:t>
      </w:r>
      <w:hyperlink r:id="rId29">
        <w:r>
          <w:rPr>
            <w:rStyle w:val="Hyperlink"/>
          </w:rPr>
          <w:t xml:space="preserve">[9]</w:t>
        </w:r>
      </w:hyperlink>
      <w:r>
        <w:t xml:space="preserve"> </w:t>
      </w:r>
      <w:r>
        <w:t xml:space="preserve">frames U.S. “progressive neoliberalism” as a bloc uniting new social movements with high-end financial and symbolic sectors (a direct statement of the coalition mechanism this thesis generalizes).</w:t>
      </w:r>
      <w:r>
        <w:t xml:space="preserve"> </w:t>
      </w:r>
      <w:hyperlink r:id="rId30">
        <w:r>
          <w:rPr>
            <w:rStyle w:val="Hyperlink"/>
          </w:rPr>
          <w:t xml:space="preserve">[10]</w:t>
        </w:r>
      </w:hyperlink>
      <w:r>
        <w:t xml:space="preserve"> </w:t>
      </w:r>
      <w:r>
        <w:t xml:space="preserve">Œuvre by Luc Boltanski</w:t>
      </w:r>
      <w:hyperlink r:id="rId31">
        <w:r>
          <w:rPr>
            <w:rStyle w:val="Hyperlink"/>
          </w:rPr>
          <w:t xml:space="preserve">[11]</w:t>
        </w:r>
      </w:hyperlink>
      <w:r>
        <w:t xml:space="preserve"> </w:t>
      </w:r>
      <w:r>
        <w:t xml:space="preserve">and Eve Chiapello</w:t>
      </w:r>
      <w:hyperlink r:id="rId32">
        <w:r>
          <w:rPr>
            <w:rStyle w:val="Hyperlink"/>
          </w:rPr>
          <w:t xml:space="preserve">[12]</w:t>
        </w:r>
      </w:hyperlink>
      <w:r>
        <w:t xml:space="preserve"> </w:t>
      </w:r>
      <w:r>
        <w:t xml:space="preserve">stresses the dynamic relationship between capitalism and its critiques, including how critique can be weakened, redirected, or reabsorbed into new justifications.</w:t>
      </w:r>
      <w:r>
        <w:t xml:space="preserve"> </w:t>
      </w:r>
      <w:hyperlink r:id="rId33">
        <w:r>
          <w:rPr>
            <w:rStyle w:val="Hyperlink"/>
          </w:rPr>
          <w:t xml:space="preserve">[13]</w:t>
        </w:r>
      </w:hyperlink>
    </w:p>
    <w:bookmarkStart w:id="39" w:name="X3f28f512e1e5916b167ac688ee4134bb77f6982"/>
    <w:p>
      <w:pPr>
        <w:pStyle w:val="Heading3"/>
      </w:pPr>
      <w:r>
        <w:t xml:space="preserve">Numbered propositions and measurable indicators</w:t>
      </w:r>
    </w:p>
    <w:p>
      <w:pPr>
        <w:pStyle w:val="FirstParagraph"/>
      </w:pPr>
      <w:r>
        <w:rPr>
          <w:b/>
          <w:bCs/>
        </w:rPr>
        <w:t xml:space="preserve">Proposition 1: Talent markets push firms toward inclusion norms.</w:t>
      </w:r>
      <w:r>
        <w:br/>
      </w:r>
      <w:r>
        <w:t xml:space="preserve">In high-skill labor markets, inclusive cultural signals (LGBTQ inclusion, DEI rhetoric, immigration openness) function as recruitment/retention tools and as internal cohesion mechanisms.</w:t>
      </w:r>
      <w:r>
        <w:br/>
      </w:r>
      <w:r>
        <w:rPr>
          <w:b/>
          <w:bCs/>
        </w:rPr>
        <w:t xml:space="preserve">Measurable indicators:</w:t>
      </w:r>
      <w:r>
        <w:t xml:space="preserve"> </w:t>
      </w:r>
      <w:r>
        <w:t xml:space="preserve">(i) explicit “attract and retain talent” language in corporate briefs/statements; (ii) benefits parity policies; (iii) participation in inclusion indices; (iv) employee expectations for CEO issue advocacy.</w:t>
      </w:r>
      <w:r>
        <w:t xml:space="preserve"> </w:t>
      </w:r>
      <w:hyperlink r:id="rId34">
        <w:r>
          <w:rPr>
            <w:rStyle w:val="Hyperlink"/>
          </w:rPr>
          <w:t xml:space="preserve">[14]</w:t>
        </w:r>
      </w:hyperlink>
    </w:p>
    <w:p>
      <w:pPr>
        <w:pStyle w:val="BodyText"/>
      </w:pPr>
      <w:r>
        <w:rPr>
          <w:b/>
          <w:bCs/>
        </w:rPr>
        <w:t xml:space="preserve">Proposition 2: Cross-jurisdiction uniformity makes post-traditional rules administratively efficient.</w:t>
      </w:r>
      <w:r>
        <w:br/>
      </w:r>
      <w:r>
        <w:t xml:space="preserve">Firms operating across states and countries disproportionately favor uniform non-discrimination and family-status regimes, because patchwork traditionalist laws create legal uncertainty and administrative costs.</w:t>
      </w:r>
      <w:r>
        <w:br/>
      </w:r>
      <w:r>
        <w:rPr>
          <w:b/>
          <w:bCs/>
        </w:rPr>
        <w:t xml:space="preserve">Measurable indicators:</w:t>
      </w:r>
      <w:r>
        <w:t xml:space="preserve"> </w:t>
      </w:r>
      <w:r>
        <w:t xml:space="preserve">(i) “administrative complexity/cost” language in employer coalitions; (ii) corporate support for national standards (via litigation or regulation).</w:t>
      </w:r>
      <w:r>
        <w:t xml:space="preserve"> </w:t>
      </w:r>
      <w:hyperlink r:id="rId34">
        <w:r>
          <w:rPr>
            <w:rStyle w:val="Hyperlink"/>
          </w:rPr>
          <w:t xml:space="preserve">[15]</w:t>
        </w:r>
      </w:hyperlink>
    </w:p>
    <w:p>
      <w:pPr>
        <w:pStyle w:val="BodyText"/>
      </w:pPr>
      <w:r>
        <w:rPr>
          <w:b/>
          <w:bCs/>
        </w:rPr>
        <w:t xml:space="preserve">Proposition 3: Market expansion rewards cosmopolitan and pluralist branding.</w:t>
      </w:r>
      <w:r>
        <w:br/>
      </w:r>
      <w:r>
        <w:t xml:space="preserve">Consumer-facing firms often adopt progressive cultural positioning to reach heterogeneous customer segments and to align with the purchasing power of diverse groups, even when the stance is polarizing.</w:t>
      </w:r>
      <w:r>
        <w:br/>
      </w:r>
      <w:r>
        <w:rPr>
          <w:b/>
          <w:bCs/>
        </w:rPr>
        <w:t xml:space="preserve">Measurable indicators:</w:t>
      </w:r>
      <w:r>
        <w:t xml:space="preserve"> </w:t>
      </w:r>
      <w:r>
        <w:t xml:space="preserve">(i) Pride/DEI marketing campaigns; (ii) targeted product assortments; (iii) consumer sentiment shifts vs sales metrics around campaigns.</w:t>
      </w:r>
      <w:r>
        <w:t xml:space="preserve"> </w:t>
      </w:r>
      <w:hyperlink r:id="rId35">
        <w:r>
          <w:rPr>
            <w:rStyle w:val="Hyperlink"/>
          </w:rPr>
          <w:t xml:space="preserve">[16]</w:t>
        </w:r>
      </w:hyperlink>
    </w:p>
    <w:p>
      <w:pPr>
        <w:pStyle w:val="BodyText"/>
      </w:pPr>
      <w:r>
        <w:rPr>
          <w:b/>
          <w:bCs/>
        </w:rPr>
        <w:t xml:space="preserve">Proposition 4: Stakeholder expectations create reputational risk incentives for “values signaling.”</w:t>
      </w:r>
      <w:r>
        <w:br/>
      </w:r>
      <w:r>
        <w:t xml:space="preserve">Even when executives emphasize fiduciary logic, they increasingly treat “ethics” and “social issues” as part of trust capital, affecting employee engagement, customer loyalty, and cost of capital narratives.</w:t>
      </w:r>
      <w:r>
        <w:br/>
      </w:r>
      <w:r>
        <w:rPr>
          <w:b/>
          <w:bCs/>
        </w:rPr>
        <w:t xml:space="preserve">Measurable indicators:</w:t>
      </w:r>
      <w:r>
        <w:t xml:space="preserve"> </w:t>
      </w:r>
      <w:r>
        <w:t xml:space="preserve">(i) survey evidence that employees expect CEO speech; (ii) corporate stakeholder-purpose statements; (iii) “purpose” framing in investor letters.</w:t>
      </w:r>
      <w:r>
        <w:t xml:space="preserve"> </w:t>
      </w:r>
      <w:hyperlink r:id="rId36">
        <w:r>
          <w:rPr>
            <w:rStyle w:val="Hyperlink"/>
          </w:rPr>
          <w:t xml:space="preserve">[17]</w:t>
        </w:r>
      </w:hyperlink>
    </w:p>
    <w:p>
      <w:pPr>
        <w:pStyle w:val="BodyText"/>
      </w:pPr>
      <w:r>
        <w:rPr>
          <w:b/>
          <w:bCs/>
        </w:rPr>
        <w:t xml:space="preserve">Proposition 5: Managerial professionalization institutionalizes progressive norms inside firms.</w:t>
      </w:r>
      <w:r>
        <w:br/>
      </w:r>
      <w:r>
        <w:t xml:space="preserve">DEI and inclusion become routinized as professionalized functions (HR, compliance, risk, corporate affairs), creating internal constituencies whose career incentives align with maintaining these programs, even if labels change.</w:t>
      </w:r>
      <w:r>
        <w:br/>
      </w:r>
      <w:r>
        <w:rPr>
          <w:b/>
          <w:bCs/>
        </w:rPr>
        <w:t xml:space="preserve">Measurable indicators:</w:t>
      </w:r>
      <w:r>
        <w:t xml:space="preserve"> </w:t>
      </w:r>
      <w:r>
        <w:t xml:space="preserve">(i) rebranding (DEI→DOI, “belonging”); (ii) decreases in DEI language in filings; (iii) creation/retention of specialized programs despite rhetorical shifts.</w:t>
      </w:r>
      <w:r>
        <w:t xml:space="preserve"> </w:t>
      </w:r>
      <w:hyperlink r:id="rId37">
        <w:r>
          <w:rPr>
            <w:rStyle w:val="Hyperlink"/>
          </w:rPr>
          <w:t xml:space="preserve">[18]</w:t>
        </w:r>
      </w:hyperlink>
    </w:p>
    <w:p>
      <w:pPr>
        <w:pStyle w:val="BodyText"/>
      </w:pPr>
      <w:r>
        <w:rPr>
          <w:b/>
          <w:bCs/>
        </w:rPr>
        <w:t xml:space="preserve">Proposition 6: NGO benchmarks and quasi-governance systems coordinate corporate cultural alignment.</w:t>
      </w:r>
      <w:r>
        <w:br/>
      </w:r>
      <w:r>
        <w:t xml:space="preserve">External rating systems help standardize inclusion practices, making progressive norms legible and comparable across firms and providing reputational rewards or penalties.</w:t>
      </w:r>
      <w:r>
        <w:br/>
      </w:r>
      <w:r>
        <w:rPr>
          <w:b/>
          <w:bCs/>
        </w:rPr>
        <w:t xml:space="preserve">Measurable indicators:</w:t>
      </w:r>
      <w:r>
        <w:t xml:space="preserve"> </w:t>
      </w:r>
      <w:r>
        <w:t xml:space="preserve">(i) number of companies rated and number achieving “top scores”; (ii) measurable policy coverage (e.g., transgender-inclusive benefits, nondiscrimination protections).</w:t>
      </w:r>
      <w:r>
        <w:t xml:space="preserve"> </w:t>
      </w:r>
      <w:hyperlink r:id="rId29">
        <w:r>
          <w:rPr>
            <w:rStyle w:val="Hyperlink"/>
          </w:rPr>
          <w:t xml:space="preserve">[19]</w:t>
        </w:r>
      </w:hyperlink>
    </w:p>
    <w:p>
      <w:pPr>
        <w:pStyle w:val="BodyText"/>
      </w:pPr>
      <w:r>
        <w:rPr>
          <w:b/>
          <w:bCs/>
        </w:rPr>
        <w:t xml:space="preserve">Proposition 7: Backlash and litigation risk impose scope conditions and produce strategic retreats.</w:t>
      </w:r>
      <w:r>
        <w:br/>
      </w:r>
      <w:r>
        <w:t xml:space="preserve">As political retaliation and legal uncertainty rise, firms may reduce visibility, modify programs, or exit external surveys—even while keeping some internal practices.</w:t>
      </w:r>
      <w:r>
        <w:br/>
      </w:r>
      <w:r>
        <w:rPr>
          <w:b/>
          <w:bCs/>
        </w:rPr>
        <w:t xml:space="preserve">Measurable indicators:</w:t>
      </w:r>
      <w:r>
        <w:t xml:space="preserve"> </w:t>
      </w:r>
      <w:r>
        <w:t xml:space="preserve">(i) withdrawal from indices; (ii) toned-down annual report language; (iii) explicit “remove perceived political agendas” messaging.</w:t>
      </w:r>
      <w:r>
        <w:t xml:space="preserve"> </w:t>
      </w:r>
      <w:hyperlink r:id="rId38">
        <w:r>
          <w:rPr>
            <w:rStyle w:val="Hyperlink"/>
          </w:rPr>
          <w:t xml:space="preserve">[20]</w:t>
        </w:r>
      </w:hyperlink>
    </w:p>
    <w:p>
      <w:pPr>
        <w:pStyle w:val="BodyText"/>
      </w:pPr>
      <w:r>
        <w:rPr>
          <w:b/>
          <w:bCs/>
        </w:rPr>
        <w:t xml:space="preserve">Proposition 8: Corporate alignment with conservatives remains strong on distributive and regulatory politics, even when culture aligns with progressives.</w:t>
      </w:r>
      <w:r>
        <w:br/>
      </w:r>
      <w:r>
        <w:t xml:space="preserve">Culturally progressive corporate posture does not imply economic-left alignment; many firms still pursue strategies consistent with pro-capital accumulation and institutional investor priorities.</w:t>
      </w:r>
      <w:r>
        <w:br/>
      </w:r>
      <w:r>
        <w:rPr>
          <w:b/>
          <w:bCs/>
        </w:rPr>
        <w:t xml:space="preserve">Measurable indicators:</w:t>
      </w:r>
      <w:r>
        <w:t xml:space="preserve"> </w:t>
      </w:r>
      <w:r>
        <w:t xml:space="preserve">(i) documented “plutocratic/neoliberal” economic programs paired with recognition politics (as described by Fraser); (ii) corporate PAC and political spending records.</w:t>
      </w:r>
      <w:r>
        <w:t xml:space="preserve"> </w:t>
      </w:r>
      <w:hyperlink r:id="rId30">
        <w:r>
          <w:rPr>
            <w:rStyle w:val="Hyperlink"/>
          </w:rPr>
          <w:t xml:space="preserve">[21]</w:t>
        </w:r>
      </w:hyperlink>
    </w:p>
    <w:bookmarkEnd w:id="39"/>
    <w:bookmarkEnd w:id="40"/>
    <w:bookmarkStart w:id="56" w:name="evidence-across-sectors"/>
    <w:p>
      <w:pPr>
        <w:pStyle w:val="Heading2"/>
      </w:pPr>
      <w:r>
        <w:t xml:space="preserve">Evidence across sectors</w:t>
      </w:r>
    </w:p>
    <w:p>
      <w:pPr>
        <w:pStyle w:val="FirstParagraph"/>
      </w:pPr>
      <w:r>
        <w:t xml:space="preserve">This section documents sectoral cases where firms adopted progressive cultural positions and links them to economic incentives. The emphasis is on primary/official material when available and on verifiable outcomes.</w:t>
      </w:r>
    </w:p>
    <w:p>
      <w:pPr>
        <w:pStyle w:val="BodyText"/>
      </w:pPr>
      <w:r>
        <w:rPr>
          <w:b/>
          <w:bCs/>
        </w:rPr>
        <w:t xml:space="preserve">Technology: immigration openness and cultural inclusion as competitiveness strategy.</w:t>
      </w:r>
      <w:r>
        <w:br/>
      </w:r>
      <w:r>
        <w:t xml:space="preserve">A large coalition of technology companies argued in court that restrictions on immigration harmed U.S. firms by hindering the ability to attract talented employees, increasing business costs, and reducing international competitiveness—explicitly framing inclusivity and mobility as economic necessities.</w:t>
      </w:r>
      <w:r>
        <w:t xml:space="preserve"> </w:t>
      </w:r>
      <w:hyperlink r:id="rId23">
        <w:r>
          <w:rPr>
            <w:rStyle w:val="Hyperlink"/>
          </w:rPr>
          <w:t xml:space="preserve">[22]</w:t>
        </w:r>
      </w:hyperlink>
      <w:r>
        <w:t xml:space="preserve"> </w:t>
      </w:r>
      <w:r>
        <w:t xml:space="preserve">This is not merely expressive: it is a claim about operational capacity and global competition.</w:t>
      </w:r>
      <w:r>
        <w:t xml:space="preserve"> </w:t>
      </w:r>
      <w:hyperlink r:id="rId23">
        <w:r>
          <w:rPr>
            <w:rStyle w:val="Hyperlink"/>
          </w:rPr>
          <w:t xml:space="preserve">[22]</w:t>
        </w:r>
      </w:hyperlink>
      <w:r>
        <w:br/>
      </w:r>
      <w:r>
        <w:t xml:space="preserve">A particularly direct “instrumental” framing appears in the DACA context. Apple</w:t>
      </w:r>
      <w:hyperlink r:id="rId36">
        <w:r>
          <w:rPr>
            <w:rStyle w:val="Hyperlink"/>
          </w:rPr>
          <w:t xml:space="preserve">[23]</w:t>
        </w:r>
      </w:hyperlink>
      <w:r>
        <w:t xml:space="preserve"> </w:t>
      </w:r>
      <w:r>
        <w:t xml:space="preserve">stated that it employed hundreds of Dreamers and “did not hire them out of kindness or charity,” but because they embodied its innovation strategy; it added that companies like it would be weaker and less competitive without them.</w:t>
      </w:r>
      <w:r>
        <w:t xml:space="preserve"> </w:t>
      </w:r>
      <w:hyperlink r:id="rId25">
        <w:r>
          <w:rPr>
            <w:rStyle w:val="Hyperlink"/>
          </w:rPr>
          <w:t xml:space="preserve">[24]</w:t>
        </w:r>
      </w:hyperlink>
      <w:r>
        <w:t xml:space="preserve"> </w:t>
      </w:r>
      <w:r>
        <w:t xml:space="preserve">This is a textbook instance of immigration openness aligning with business incentives (talent, innovation, competitiveness), while being culturally coded as progressive.</w:t>
      </w:r>
      <w:r>
        <w:t xml:space="preserve"> </w:t>
      </w:r>
      <w:hyperlink r:id="rId25">
        <w:r>
          <w:rPr>
            <w:rStyle w:val="Hyperlink"/>
          </w:rPr>
          <w:t xml:space="preserve">[25]</w:t>
        </w:r>
      </w:hyperlink>
    </w:p>
    <w:p>
      <w:pPr>
        <w:pStyle w:val="BodyText"/>
      </w:pPr>
      <w:r>
        <w:rPr>
          <w:b/>
          <w:bCs/>
        </w:rPr>
        <w:t xml:space="preserve">Retail: Pride/DEI marketing as market segmentation and brand strategy, with backlash risk.</w:t>
      </w:r>
      <w:r>
        <w:br/>
      </w:r>
      <w:r>
        <w:t xml:space="preserve">Target</w:t>
      </w:r>
      <w:hyperlink r:id="rId36">
        <w:r>
          <w:rPr>
            <w:rStyle w:val="Hyperlink"/>
          </w:rPr>
          <w:t xml:space="preserve">[26]</w:t>
        </w:r>
      </w:hyperlink>
      <w:r>
        <w:t xml:space="preserve"> </w:t>
      </w:r>
      <w:r>
        <w:t xml:space="preserve">altered Pride-related merchandise placement after what it described as threats and confrontations, explicitly prioritizing employee safety and business operations.</w:t>
      </w:r>
      <w:r>
        <w:t xml:space="preserve"> </w:t>
      </w:r>
      <w:hyperlink r:id="rId41">
        <w:r>
          <w:rPr>
            <w:rStyle w:val="Hyperlink"/>
          </w:rPr>
          <w:t xml:space="preserve">[27]</w:t>
        </w:r>
      </w:hyperlink>
      <w:r>
        <w:t xml:space="preserve"> </w:t>
      </w:r>
      <w:r>
        <w:t xml:space="preserve">Reuters later reported sales impacts in a quarter where Pride backlash was part of the cited context for weaker discretionary sales.</w:t>
      </w:r>
      <w:r>
        <w:t xml:space="preserve"> </w:t>
      </w:r>
      <w:hyperlink r:id="rId42">
        <w:r>
          <w:rPr>
            <w:rStyle w:val="Hyperlink"/>
          </w:rPr>
          <w:t xml:space="preserve">[28]</w:t>
        </w:r>
      </w:hyperlink>
      <w:r>
        <w:br/>
      </w:r>
      <w:r>
        <w:t xml:space="preserve">Nike</w:t>
      </w:r>
      <w:hyperlink r:id="rId35">
        <w:r>
          <w:rPr>
            <w:rStyle w:val="Hyperlink"/>
          </w:rPr>
          <w:t xml:space="preserve">[29]</w:t>
        </w:r>
      </w:hyperlink>
      <w:r>
        <w:t xml:space="preserve"> </w:t>
      </w:r>
      <w:r>
        <w:t xml:space="preserve">provides a clearer “polarization but profitable segmentation” case. Polling showed sharp favorability drops after the Kaepernick campaign (a reputational backlash), while sales indicators pointed to significant online sales increases and increased sold-out merchandise (a market/loyalty payoff).</w:t>
      </w:r>
      <w:r>
        <w:t xml:space="preserve"> </w:t>
      </w:r>
      <w:hyperlink r:id="rId43">
        <w:r>
          <w:rPr>
            <w:rStyle w:val="Hyperlink"/>
          </w:rPr>
          <w:t xml:space="preserve">[30]</w:t>
        </w:r>
      </w:hyperlink>
      <w:r>
        <w:t xml:space="preserve"> </w:t>
      </w:r>
      <w:r>
        <w:t xml:space="preserve">The mechanism consistent with the thesis is not “leftism,” but profit-relevant identity alignment with a core consumer segment, in a context where brand meaning is itself a competitive asset.</w:t>
      </w:r>
      <w:r>
        <w:t xml:space="preserve"> </w:t>
      </w:r>
      <w:hyperlink r:id="rId44">
        <w:r>
          <w:rPr>
            <w:rStyle w:val="Hyperlink"/>
          </w:rPr>
          <w:t xml:space="preserve">[31]</w:t>
        </w:r>
      </w:hyperlink>
    </w:p>
    <w:p>
      <w:pPr>
        <w:pStyle w:val="BodyText"/>
      </w:pPr>
      <w:r>
        <w:rPr>
          <w:b/>
          <w:bCs/>
        </w:rPr>
        <w:t xml:space="preserve">Entertainment and media: inclusion as platform legitimacy and audience/talent strategy.</w:t>
      </w:r>
      <w:r>
        <w:br/>
      </w:r>
      <w:r>
        <w:t xml:space="preserve">The Walt Disney Company</w:t>
      </w:r>
      <w:hyperlink r:id="rId32">
        <w:r>
          <w:rPr>
            <w:rStyle w:val="Hyperlink"/>
          </w:rPr>
          <w:t xml:space="preserve">[32]</w:t>
        </w:r>
      </w:hyperlink>
      <w:r>
        <w:t xml:space="preserve"> </w:t>
      </w:r>
      <w:r>
        <w:t xml:space="preserve">described a company-wide initiative (“Reimagine Tomorrow”) as advancing opportunities for diverse communities and representation in media, including talent acquisition initiatives and channeling substantial charitable giving toward underrepresented communities.</w:t>
      </w:r>
      <w:r>
        <w:t xml:space="preserve"> </w:t>
      </w:r>
      <w:hyperlink r:id="rId45">
        <w:r>
          <w:rPr>
            <w:rStyle w:val="Hyperlink"/>
          </w:rPr>
          <w:t xml:space="preserve">[33]</w:t>
        </w:r>
      </w:hyperlink>
      <w:r>
        <w:t xml:space="preserve"> </w:t>
      </w:r>
      <w:r>
        <w:t xml:space="preserve">Subsequent reporting emphasizes that Disney later adjusted DEI framing to align with business outcomes—evidence of reputational/legal risk management rather than abandonment of the underlying managerial logic.</w:t>
      </w:r>
      <w:r>
        <w:t xml:space="preserve"> </w:t>
      </w:r>
      <w:hyperlink r:id="rId46">
        <w:r>
          <w:rPr>
            <w:rStyle w:val="Hyperlink"/>
          </w:rPr>
          <w:t xml:space="preserve">[34]</w:t>
        </w:r>
      </w:hyperlink>
      <w:r>
        <w:br/>
      </w:r>
      <w:r>
        <w:t xml:space="preserve">Entertainment-associated firms also made measurable “racial equity” commitments following 2020’s protest wave, using the language and practice of progressive recognition politics. Examples include publicized donation/commitment programs by streaming/music platforms and related companies.</w:t>
      </w:r>
      <w:r>
        <w:t xml:space="preserve"> </w:t>
      </w:r>
      <w:hyperlink r:id="rId32">
        <w:r>
          <w:rPr>
            <w:rStyle w:val="Hyperlink"/>
          </w:rPr>
          <w:t xml:space="preserve">[35]</w:t>
        </w:r>
      </w:hyperlink>
      <w:r>
        <w:t xml:space="preserve"> </w:t>
      </w:r>
      <w:r>
        <w:t xml:space="preserve">(Where individual executive philanthropy is substituted for corporate policy, it still reflects reputational and coalition dynamics within entertainment’s “symbolic economy.”</w:t>
      </w:r>
      <w:r>
        <w:t xml:space="preserve"> </w:t>
      </w:r>
      <w:hyperlink r:id="rId47">
        <w:r>
          <w:rPr>
            <w:rStyle w:val="Hyperlink"/>
          </w:rPr>
          <w:t xml:space="preserve">[36]</w:t>
        </w:r>
      </w:hyperlink>
      <w:r>
        <w:t xml:space="preserve">)</w:t>
      </w:r>
    </w:p>
    <w:p>
      <w:pPr>
        <w:pStyle w:val="BodyText"/>
      </w:pPr>
      <w:r>
        <w:rPr>
          <w:b/>
          <w:bCs/>
        </w:rPr>
        <w:t xml:space="preserve">Finance and corporate governance: diversity disclosure and ESG as risk/capital strategy.</w:t>
      </w:r>
      <w:r>
        <w:br/>
      </w:r>
      <w:r>
        <w:t xml:space="preserve">A central finance-sector mechanism is that investor-facing institutions can make progressive norms “governable” by embedding them into disclosure and listing regimes. Nasdaq Stock Market LLC</w:t>
      </w:r>
      <w:hyperlink r:id="rId48">
        <w:r>
          <w:rPr>
            <w:rStyle w:val="Hyperlink"/>
          </w:rPr>
          <w:t xml:space="preserve">[37]</w:t>
        </w:r>
      </w:hyperlink>
      <w:r>
        <w:t xml:space="preserve"> </w:t>
      </w:r>
      <w:r>
        <w:t xml:space="preserve">proposed board diversity listing requirements; the U.S. Securities and Exchange Commission</w:t>
      </w:r>
      <w:hyperlink r:id="rId29">
        <w:r>
          <w:rPr>
            <w:rStyle w:val="Hyperlink"/>
          </w:rPr>
          <w:t xml:space="preserve">[38]</w:t>
        </w:r>
      </w:hyperlink>
      <w:r>
        <w:t xml:space="preserve"> </w:t>
      </w:r>
      <w:r>
        <w:t xml:space="preserve">approved rules requiring diversity disclosures that included gender identity categories and LGBTQ+ self-identification fields in a “Board Diversity Matrix.”</w:t>
      </w:r>
      <w:r>
        <w:t xml:space="preserve"> </w:t>
      </w:r>
      <w:hyperlink r:id="rId49">
        <w:r>
          <w:rPr>
            <w:rStyle w:val="Hyperlink"/>
          </w:rPr>
          <w:t xml:space="preserve">[39]</w:t>
        </w:r>
      </w:hyperlink>
      <w:r>
        <w:br/>
      </w:r>
      <w:r>
        <w:t xml:space="preserve">BlackRock</w:t>
      </w:r>
      <w:hyperlink r:id="rId50">
        <w:r>
          <w:rPr>
            <w:rStyle w:val="Hyperlink"/>
          </w:rPr>
          <w:t xml:space="preserve">[40]</w:t>
        </w:r>
      </w:hyperlink>
      <w:r>
        <w:t xml:space="preserve"> </w:t>
      </w:r>
      <w:r>
        <w:t xml:space="preserve">explicitly linked stakeholder issues—including workforce diversity and other ESG-like factors—to long-term value, disclosure expectations, and capital allocation dynamics, framing the posture as fiduciary and risk-based rather than ideological.</w:t>
      </w:r>
      <w:r>
        <w:t xml:space="preserve"> </w:t>
      </w:r>
      <w:hyperlink r:id="rId48">
        <w:r>
          <w:rPr>
            <w:rStyle w:val="Hyperlink"/>
          </w:rPr>
          <w:t xml:space="preserve">[41]</w:t>
        </w:r>
      </w:hyperlink>
      <w:r>
        <w:t xml:space="preserve"> </w:t>
      </w:r>
      <w:r>
        <w:t xml:space="preserve">This is a key instance of progressive cultural themes entering capitalism through investor governance and “risk” discourse.</w:t>
      </w:r>
      <w:r>
        <w:t xml:space="preserve"> </w:t>
      </w:r>
      <w:hyperlink r:id="rId48">
        <w:r>
          <w:rPr>
            <w:rStyle w:val="Hyperlink"/>
          </w:rPr>
          <w:t xml:space="preserve">[42]</w:t>
        </w:r>
      </w:hyperlink>
      <w:r>
        <w:br/>
      </w:r>
      <w:r>
        <w:t xml:space="preserve">The subsequent backlash illustrates scope conditions: Florida</w:t>
      </w:r>
      <w:hyperlink r:id="rId51">
        <w:r>
          <w:rPr>
            <w:rStyle w:val="Hyperlink"/>
          </w:rPr>
          <w:t xml:space="preserve">[43]</w:t>
        </w:r>
      </w:hyperlink>
      <w:r>
        <w:t xml:space="preserve"> </w:t>
      </w:r>
      <w:r>
        <w:t xml:space="preserve">withdrew $2 billion from BlackRock, with BlackRock responding that political initiatives can jeopardize returns—an explicit statement of the political economy conflict around ESG.</w:t>
      </w:r>
      <w:r>
        <w:t xml:space="preserve"> </w:t>
      </w:r>
      <w:hyperlink r:id="rId52">
        <w:r>
          <w:rPr>
            <w:rStyle w:val="Hyperlink"/>
          </w:rPr>
          <w:t xml:space="preserve">[44]</w:t>
        </w:r>
      </w:hyperlink>
      <w:r>
        <w:t xml:space="preserve"> </w:t>
      </w:r>
      <w:r>
        <w:t xml:space="preserve">Texas</w:t>
      </w:r>
      <w:hyperlink r:id="rId42">
        <w:r>
          <w:rPr>
            <w:rStyle w:val="Hyperlink"/>
          </w:rPr>
          <w:t xml:space="preserve">[45]</w:t>
        </w:r>
      </w:hyperlink>
      <w:r>
        <w:t xml:space="preserve"> </w:t>
      </w:r>
      <w:r>
        <w:t xml:space="preserve">maintained a “boycott energy” list and later removed BlackRock, tying removal to changes in participation in climate initiatives—evidence of state-level retaliation shaping corporate behavior.</w:t>
      </w:r>
      <w:r>
        <w:t xml:space="preserve"> </w:t>
      </w:r>
      <w:hyperlink r:id="rId53">
        <w:r>
          <w:rPr>
            <w:rStyle w:val="Hyperlink"/>
          </w:rPr>
          <w:t xml:space="preserve">[46]</w:t>
        </w:r>
      </w:hyperlink>
    </w:p>
    <w:p>
      <w:pPr>
        <w:pStyle w:val="BodyText"/>
      </w:pPr>
      <w:r>
        <w:rPr>
          <w:b/>
          <w:bCs/>
        </w:rPr>
        <w:t xml:space="preserve">Higher education: immigration/talent openness as institutional market logic.</w:t>
      </w:r>
      <w:r>
        <w:br/>
      </w:r>
      <w:r>
        <w:t xml:space="preserve">Higher education institutions—large employers embedded in “human-capital pipelines”—often align with immigration openness, both for mission reasons and for economic/competitiveness reasons. Massachusetts Institute of Technology</w:t>
      </w:r>
      <w:hyperlink r:id="rId42">
        <w:r>
          <w:rPr>
            <w:rStyle w:val="Hyperlink"/>
          </w:rPr>
          <w:t xml:space="preserve">[47]</w:t>
        </w:r>
      </w:hyperlink>
      <w:r>
        <w:t xml:space="preserve"> </w:t>
      </w:r>
      <w:r>
        <w:t xml:space="preserve">reported filing an amicus brief (with other institutions) against the travel ban, emphasizing the importance of welcoming students and scholars.</w:t>
      </w:r>
      <w:r>
        <w:t xml:space="preserve"> </w:t>
      </w:r>
      <w:hyperlink r:id="rId54">
        <w:r>
          <w:rPr>
            <w:rStyle w:val="Hyperlink"/>
          </w:rPr>
          <w:t xml:space="preserve">[48]</w:t>
        </w:r>
      </w:hyperlink>
      <w:r>
        <w:t xml:space="preserve"> </w:t>
      </w:r>
      <w:r>
        <w:t xml:space="preserve">A coalition of 165 institutions filed a DACA-related amicus brief, publicly framing DACA’s protection as significant for institutions of higher education.</w:t>
      </w:r>
      <w:r>
        <w:t xml:space="preserve"> </w:t>
      </w:r>
      <w:hyperlink r:id="rId31">
        <w:r>
          <w:rPr>
            <w:rStyle w:val="Hyperlink"/>
          </w:rPr>
          <w:t xml:space="preserve">[49]</w:t>
        </w:r>
      </w:hyperlink>
      <w:r>
        <w:br/>
      </w:r>
      <w:r>
        <w:t xml:space="preserve">Importantly, the sector’s economic dependence on global mobility is quantifiable: NAFSA</w:t>
      </w:r>
      <w:hyperlink r:id="rId55">
        <w:r>
          <w:rPr>
            <w:rStyle w:val="Hyperlink"/>
          </w:rPr>
          <w:t xml:space="preserve">[50]</w:t>
        </w:r>
      </w:hyperlink>
      <w:r>
        <w:t xml:space="preserve"> </w:t>
      </w:r>
      <w:r>
        <w:t xml:space="preserve">estimates that international students contributed $43.8 billion and supported more than 378,000 U.S. jobs in 2023–2024; and $42.9 billion and more than 355,000 jobs in 2024–2025.</w:t>
      </w:r>
      <w:r>
        <w:t xml:space="preserve"> </w:t>
      </w:r>
      <w:hyperlink r:id="rId22">
        <w:r>
          <w:rPr>
            <w:rStyle w:val="Hyperlink"/>
          </w:rPr>
          <w:t xml:space="preserve">[51]</w:t>
        </w:r>
      </w:hyperlink>
      <w:r>
        <w:t xml:space="preserve"> </w:t>
      </w:r>
      <w:r>
        <w:t xml:space="preserve">These are market facts that create incentives for “welcoming policy” positions, reinforcing the thesis that post-traditional openness can be instrumentally valuable.</w:t>
      </w:r>
      <w:r>
        <w:t xml:space="preserve"> </w:t>
      </w:r>
      <w:hyperlink r:id="rId22">
        <w:r>
          <w:rPr>
            <w:rStyle w:val="Hyperlink"/>
          </w:rPr>
          <w:t xml:space="preserve">[51]</w:t>
        </w:r>
      </w:hyperlink>
    </w:p>
    <w:p>
      <w:pPr>
        <w:pStyle w:val="BodyText"/>
      </w:pPr>
      <w:r>
        <w:rPr>
          <w:b/>
          <w:bCs/>
        </w:rPr>
        <w:t xml:space="preserve">NGOs as coordination infrastructure: benchmarking and professionalized inclusion.</w:t>
      </w:r>
      <w:r>
        <w:br/>
      </w:r>
      <w:r>
        <w:t xml:space="preserve">Human Rights Campaign Foundation</w:t>
      </w:r>
      <w:hyperlink r:id="rId23">
        <w:r>
          <w:rPr>
            <w:rStyle w:val="Hyperlink"/>
          </w:rPr>
          <w:t xml:space="preserve">[52]</w:t>
        </w:r>
      </w:hyperlink>
      <w:r>
        <w:t xml:space="preserve"> </w:t>
      </w:r>
      <w:r>
        <w:t xml:space="preserve">provides a paradigmatic governance mechanism via the Corporate Equality Index (CEI). In its CEI 2025 materials, HRCF reports 1,449 rated companies (including hundreds of Fortune 500 firms) and documents large-scale coverage of protections/benefits, including metrics tied to transgender-inclusive benefits for millions of workers.</w:t>
      </w:r>
      <w:r>
        <w:t xml:space="preserve"> </w:t>
      </w:r>
      <w:hyperlink r:id="rId29">
        <w:r>
          <w:rPr>
            <w:rStyle w:val="Hyperlink"/>
          </w:rPr>
          <w:t xml:space="preserve">[53]</w:t>
        </w:r>
      </w:hyperlink>
      <w:r>
        <w:t xml:space="preserve"> </w:t>
      </w:r>
      <w:r>
        <w:t xml:space="preserve">External benchmarking converts moral language into managerial checklists (“policies, benefits, practices”), enabling scaling across firms.</w:t>
      </w:r>
      <w:r>
        <w:t xml:space="preserve"> </w:t>
      </w:r>
      <w:hyperlink r:id="rId29">
        <w:r>
          <w:rPr>
            <w:rStyle w:val="Hyperlink"/>
          </w:rPr>
          <w:t xml:space="preserve">[54]</w:t>
        </w:r>
      </w:hyperlink>
    </w:p>
    <w:bookmarkEnd w:id="56"/>
    <w:bookmarkStart w:id="61" w:name="cross-case-comparisons-and-timelines"/>
    <w:p>
      <w:pPr>
        <w:pStyle w:val="Heading2"/>
      </w:pPr>
      <w:r>
        <w:t xml:space="preserve">Cross-case comparisons and timelines</w:t>
      </w:r>
    </w:p>
    <w:bookmarkStart w:id="58" w:name="case-comparison-table"/>
    <w:p>
      <w:pPr>
        <w:pStyle w:val="Heading3"/>
      </w:pPr>
      <w:r>
        <w:t xml:space="preserve">Case comparison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Sector</w:t>
            </w:r>
          </w:p>
        </w:tc>
        <w:tc>
          <w:tcPr/>
          <w:p>
            <w:pPr>
              <w:pStyle w:val="Compact"/>
            </w:pPr>
            <w:r>
              <w:t xml:space="preserve">Case (selected)</w:t>
            </w:r>
          </w:p>
        </w:tc>
        <w:tc>
          <w:tcPr/>
          <w:p>
            <w:pPr>
              <w:pStyle w:val="Compact"/>
            </w:pPr>
            <w:r>
              <w:t xml:space="preserve">Primary motive(s)</w:t>
            </w:r>
          </w:p>
        </w:tc>
        <w:tc>
          <w:tcPr/>
          <w:p>
            <w:pPr>
              <w:pStyle w:val="Compact"/>
            </w:pPr>
            <w:r>
              <w:t xml:space="preserve">Observable actions</w:t>
            </w:r>
          </w:p>
        </w:tc>
        <w:tc>
          <w:tcPr/>
          <w:p>
            <w:pPr>
              <w:pStyle w:val="Compact"/>
            </w:pPr>
            <w:r>
              <w:t xml:space="preserve">Observable outcomes / feedback</w:t>
            </w:r>
          </w:p>
        </w:tc>
      </w:tr>
      <w:tr>
        <w:tc>
          <w:tcPr/>
          <w:p>
            <w:pPr>
              <w:pStyle w:val="Compact"/>
            </w:pPr>
            <w:r>
              <w:t xml:space="preserve">Tech</w:t>
            </w:r>
          </w:p>
        </w:tc>
        <w:tc>
          <w:tcPr/>
          <w:p>
            <w:pPr>
              <w:pStyle w:val="Compact"/>
            </w:pPr>
            <w:r>
              <w:t xml:space="preserve">Apple + DACA</w:t>
            </w:r>
          </w:p>
        </w:tc>
        <w:tc>
          <w:tcPr/>
          <w:p>
            <w:pPr>
              <w:pStyle w:val="Compact"/>
            </w:pPr>
            <w:r>
              <w:t xml:space="preserve">Talent acquisition; innovation strategy</w:t>
            </w:r>
          </w:p>
        </w:tc>
        <w:tc>
          <w:tcPr/>
          <w:p>
            <w:pPr>
              <w:pStyle w:val="Compact"/>
            </w:pPr>
            <w:r>
              <w:t xml:space="preserve">Supreme Court amicus: “not charity,” “innovation strategy,” competitiveness framing</w:t>
            </w:r>
            <w:r>
              <w:t xml:space="preserve"> </w:t>
            </w:r>
            <w:hyperlink r:id="rId25">
              <w:r>
                <w:rPr>
                  <w:rStyle w:val="Hyperlink"/>
                </w:rPr>
                <w:t xml:space="preserve">[24]</w:t>
              </w:r>
            </w:hyperlink>
          </w:p>
        </w:tc>
        <w:tc>
          <w:tcPr/>
          <w:p>
            <w:pPr>
              <w:pStyle w:val="Compact"/>
            </w:pPr>
            <w:r>
              <w:t xml:space="preserve">Public alignment with immigration openness; reinforces talent pipeline logic</w:t>
            </w:r>
            <w:r>
              <w:t xml:space="preserve"> </w:t>
            </w:r>
            <w:hyperlink r:id="rId25">
              <w:r>
                <w:rPr>
                  <w:rStyle w:val="Hyperlink"/>
                </w:rPr>
                <w:t xml:space="preserve">[25]</w:t>
              </w:r>
            </w:hyperlink>
          </w:p>
        </w:tc>
      </w:tr>
      <w:tr>
        <w:tc>
          <w:tcPr/>
          <w:p>
            <w:pPr>
              <w:pStyle w:val="Compact"/>
            </w:pPr>
            <w:r>
              <w:t xml:space="preserve">Tech</w:t>
            </w:r>
          </w:p>
        </w:tc>
        <w:tc>
          <w:tcPr/>
          <w:p>
            <w:pPr>
              <w:pStyle w:val="Compact"/>
            </w:pPr>
            <w:r>
              <w:t xml:space="preserve">Tech companies + travel ban litigation</w:t>
            </w:r>
          </w:p>
        </w:tc>
        <w:tc>
          <w:tcPr/>
          <w:p>
            <w:pPr>
              <w:pStyle w:val="Compact"/>
            </w:pPr>
            <w:r>
              <w:t xml:space="preserve">Talent mobility; market competitiveness; cost minimization</w:t>
            </w:r>
          </w:p>
        </w:tc>
        <w:tc>
          <w:tcPr/>
          <w:p>
            <w:pPr>
              <w:pStyle w:val="Compact"/>
            </w:pPr>
            <w:r>
              <w:t xml:space="preserve">Amicus: harms ability to attract talent; raises costs; reduces global competitiveness</w:t>
            </w:r>
            <w:r>
              <w:t xml:space="preserve"> </w:t>
            </w:r>
            <w:hyperlink r:id="rId23">
              <w:r>
                <w:rPr>
                  <w:rStyle w:val="Hyperlink"/>
                </w:rPr>
                <w:t xml:space="preserve">[22]</w:t>
              </w:r>
            </w:hyperlink>
          </w:p>
        </w:tc>
        <w:tc>
          <w:tcPr/>
          <w:p>
            <w:pPr>
              <w:pStyle w:val="Compact"/>
            </w:pPr>
            <w:r>
              <w:t xml:space="preserve">Public coalition against restrictionist policy framed as pro-competitiveness</w:t>
            </w:r>
            <w:r>
              <w:t xml:space="preserve"> </w:t>
            </w:r>
            <w:hyperlink r:id="rId23">
              <w:r>
                <w:rPr>
                  <w:rStyle w:val="Hyperlink"/>
                </w:rPr>
                <w:t xml:space="preserve">[22]</w:t>
              </w:r>
            </w:hyperlink>
          </w:p>
        </w:tc>
      </w:tr>
      <w:tr>
        <w:tc>
          <w:tcPr/>
          <w:p>
            <w:pPr>
              <w:pStyle w:val="Compact"/>
            </w:pPr>
            <w:r>
              <w:t xml:space="preserve">Retail</w:t>
            </w:r>
          </w:p>
        </w:tc>
        <w:tc>
          <w:tcPr/>
          <w:p>
            <w:pPr>
              <w:pStyle w:val="Compact"/>
            </w:pPr>
            <w:r>
              <w:t xml:space="preserve">Target + Pride 2023</w:t>
            </w:r>
          </w:p>
        </w:tc>
        <w:tc>
          <w:tcPr/>
          <w:p>
            <w:pPr>
              <w:pStyle w:val="Compact"/>
            </w:pPr>
            <w:r>
              <w:t xml:space="preserve">Reputation/safety risk management; brand positioning</w:t>
            </w:r>
          </w:p>
        </w:tc>
        <w:tc>
          <w:tcPr/>
          <w:p>
            <w:pPr>
              <w:pStyle w:val="Compact"/>
            </w:pPr>
            <w:r>
              <w:t xml:space="preserve">Public statement: adjusted Pride offerings citing threats</w:t>
            </w:r>
            <w:r>
              <w:t xml:space="preserve"> </w:t>
            </w:r>
            <w:hyperlink r:id="rId41">
              <w:r>
                <w:rPr>
                  <w:rStyle w:val="Hyperlink"/>
                </w:rPr>
                <w:t xml:space="preserve">[55]</w:t>
              </w:r>
            </w:hyperlink>
          </w:p>
        </w:tc>
        <w:tc>
          <w:tcPr/>
          <w:p>
            <w:pPr>
              <w:pStyle w:val="Compact"/>
            </w:pPr>
            <w:r>
              <w:t xml:space="preserve">Reported backlash-linked sales pressure; later “heritage month” recalibration</w:t>
            </w:r>
            <w:r>
              <w:t xml:space="preserve"> </w:t>
            </w:r>
            <w:hyperlink r:id="rId42">
              <w:r>
                <w:rPr>
                  <w:rStyle w:val="Hyperlink"/>
                </w:rPr>
                <w:t xml:space="preserve">[28]</w:t>
              </w:r>
            </w:hyperlink>
          </w:p>
        </w:tc>
      </w:tr>
      <w:tr>
        <w:tc>
          <w:tcPr/>
          <w:p>
            <w:pPr>
              <w:pStyle w:val="Compact"/>
            </w:pPr>
            <w:r>
              <w:t xml:space="preserve">Retail</w:t>
            </w:r>
          </w:p>
        </w:tc>
        <w:tc>
          <w:tcPr/>
          <w:p>
            <w:pPr>
              <w:pStyle w:val="Compact"/>
            </w:pPr>
            <w:r>
              <w:t xml:space="preserve">Nike + Kaepernick 2018</w:t>
            </w:r>
          </w:p>
        </w:tc>
        <w:tc>
          <w:tcPr/>
          <w:p>
            <w:pPr>
              <w:pStyle w:val="Compact"/>
            </w:pPr>
            <w:r>
              <w:t xml:space="preserve">Market segmentation; brand meaning; loyalty</w:t>
            </w:r>
          </w:p>
        </w:tc>
        <w:tc>
          <w:tcPr/>
          <w:p>
            <w:pPr>
              <w:pStyle w:val="Compact"/>
            </w:pPr>
            <w:r>
              <w:t xml:space="preserve">Campaign; endured backlash</w:t>
            </w:r>
          </w:p>
        </w:tc>
        <w:tc>
          <w:tcPr/>
          <w:p>
            <w:pPr>
              <w:pStyle w:val="Compact"/>
            </w:pPr>
            <w:r>
              <w:t xml:space="preserve">Favorability drop but measurable sales spikes/sold-out merchandise; short-term stock dip described</w:t>
            </w:r>
            <w:r>
              <w:t xml:space="preserve"> </w:t>
            </w:r>
            <w:hyperlink r:id="rId43">
              <w:r>
                <w:rPr>
                  <w:rStyle w:val="Hyperlink"/>
                </w:rPr>
                <w:t xml:space="preserve">[30]</w:t>
              </w:r>
            </w:hyperlink>
          </w:p>
        </w:tc>
      </w:tr>
      <w:tr>
        <w:tc>
          <w:tcPr/>
          <w:p>
            <w:pPr>
              <w:pStyle w:val="Compact"/>
            </w:pPr>
            <w:r>
              <w:t xml:space="preserve">Entertainment</w:t>
            </w:r>
          </w:p>
        </w:tc>
        <w:tc>
          <w:tcPr/>
          <w:p>
            <w:pPr>
              <w:pStyle w:val="Compact"/>
            </w:pPr>
            <w:r>
              <w:t xml:space="preserve">Disney DEI initiatives</w:t>
            </w:r>
          </w:p>
        </w:tc>
        <w:tc>
          <w:tcPr/>
          <w:p>
            <w:pPr>
              <w:pStyle w:val="Compact"/>
            </w:pPr>
            <w:r>
              <w:t xml:space="preserve">Talent pipeline; platform legitimacy; audience coalition</w:t>
            </w:r>
          </w:p>
        </w:tc>
        <w:tc>
          <w:tcPr/>
          <w:p>
            <w:pPr>
              <w:pStyle w:val="Compact"/>
            </w:pPr>
            <w:r>
              <w:t xml:space="preserve">Public DEI/representation initiative (Reimagine Tomorrow)</w:t>
            </w:r>
            <w:r>
              <w:t xml:space="preserve"> </w:t>
            </w:r>
            <w:hyperlink r:id="rId45">
              <w:r>
                <w:rPr>
                  <w:rStyle w:val="Hyperlink"/>
                </w:rPr>
                <w:t xml:space="preserve">[33]</w:t>
              </w:r>
            </w:hyperlink>
          </w:p>
        </w:tc>
        <w:tc>
          <w:tcPr/>
          <w:p>
            <w:pPr>
              <w:pStyle w:val="Compact"/>
            </w:pPr>
            <w:r>
              <w:t xml:space="preserve">Later memo: adjust DEI to “business outcomes” framing under pressure</w:t>
            </w:r>
            <w:r>
              <w:t xml:space="preserve"> </w:t>
            </w:r>
            <w:hyperlink r:id="rId46">
              <w:r>
                <w:rPr>
                  <w:rStyle w:val="Hyperlink"/>
                </w:rPr>
                <w:t xml:space="preserve">[34]</w:t>
              </w:r>
            </w:hyperlink>
          </w:p>
        </w:tc>
      </w:tr>
      <w:tr>
        <w:tc>
          <w:tcPr/>
          <w:p>
            <w:pPr>
              <w:pStyle w:val="Compact"/>
            </w:pPr>
            <w:r>
              <w:t xml:space="preserve">Finance</w:t>
            </w:r>
          </w:p>
        </w:tc>
        <w:tc>
          <w:tcPr/>
          <w:p>
            <w:pPr>
              <w:pStyle w:val="Compact"/>
            </w:pPr>
            <w:r>
              <w:t xml:space="preserve">SEC approval of Nasdaq diversity disclosure</w:t>
            </w:r>
          </w:p>
        </w:tc>
        <w:tc>
          <w:tcPr/>
          <w:p>
            <w:pPr>
              <w:pStyle w:val="Compact"/>
            </w:pPr>
            <w:r>
              <w:t xml:space="preserve">Regulatory strategy; investor demand; governance standardization</w:t>
            </w:r>
          </w:p>
        </w:tc>
        <w:tc>
          <w:tcPr/>
          <w:p>
            <w:pPr>
              <w:pStyle w:val="Compact"/>
            </w:pPr>
            <w:r>
              <w:t xml:space="preserve">SEC order specifies gender identity/race/LGBTQ disclosure categories</w:t>
            </w:r>
            <w:r>
              <w:t xml:space="preserve"> </w:t>
            </w:r>
            <w:hyperlink r:id="rId57">
              <w:r>
                <w:rPr>
                  <w:rStyle w:val="Hyperlink"/>
                </w:rPr>
                <w:t xml:space="preserve">[56]</w:t>
              </w:r>
            </w:hyperlink>
          </w:p>
        </w:tc>
        <w:tc>
          <w:tcPr/>
          <w:p>
            <w:pPr>
              <w:pStyle w:val="Compact"/>
            </w:pPr>
            <w:r>
              <w:t xml:space="preserve">Legal backlash: rule later struck down by court (reported)</w:t>
            </w:r>
            <w:r>
              <w:t xml:space="preserve"> </w:t>
            </w:r>
            <w:hyperlink r:id="rId50">
              <w:r>
                <w:rPr>
                  <w:rStyle w:val="Hyperlink"/>
                </w:rPr>
                <w:t xml:space="preserve">[57]</w:t>
              </w:r>
            </w:hyperlink>
          </w:p>
        </w:tc>
      </w:tr>
      <w:tr>
        <w:tc>
          <w:tcPr/>
          <w:p>
            <w:pPr>
              <w:pStyle w:val="Compact"/>
            </w:pPr>
            <w:r>
              <w:t xml:space="preserve">Finance</w:t>
            </w:r>
          </w:p>
        </w:tc>
        <w:tc>
          <w:tcPr/>
          <w:p>
            <w:pPr>
              <w:pStyle w:val="Compact"/>
            </w:pPr>
            <w:r>
              <w:t xml:space="preserve">BlackRock ESG/stakeholder letters</w:t>
            </w:r>
          </w:p>
        </w:tc>
        <w:tc>
          <w:tcPr/>
          <w:p>
            <w:pPr>
              <w:pStyle w:val="Compact"/>
            </w:pPr>
            <w:r>
              <w:t xml:space="preserve">Risk management; capital allocation; stakeholder legitimacy</w:t>
            </w:r>
          </w:p>
        </w:tc>
        <w:tc>
          <w:tcPr/>
          <w:p>
            <w:pPr>
              <w:pStyle w:val="Compact"/>
            </w:pPr>
            <w:r>
              <w:t xml:space="preserve">CEO letter links stakeholder issues incl. workforce diversity to long-term value and disclosure</w:t>
            </w:r>
            <w:r>
              <w:t xml:space="preserve"> </w:t>
            </w:r>
            <w:hyperlink r:id="rId48">
              <w:r>
                <w:rPr>
                  <w:rStyle w:val="Hyperlink"/>
                </w:rPr>
                <w:t xml:space="preserve">[41]</w:t>
              </w:r>
            </w:hyperlink>
          </w:p>
        </w:tc>
        <w:tc>
          <w:tcPr/>
          <w:p>
            <w:pPr>
              <w:pStyle w:val="Compact"/>
            </w:pPr>
            <w:r>
              <w:t xml:space="preserve">Political backlash: Florida divestment; Texas “boycott energy” retaliation dynamics</w:t>
            </w:r>
            <w:r>
              <w:t xml:space="preserve"> </w:t>
            </w:r>
            <w:hyperlink r:id="rId52">
              <w:r>
                <w:rPr>
                  <w:rStyle w:val="Hyperlink"/>
                </w:rPr>
                <w:t xml:space="preserve">[58]</w:t>
              </w:r>
            </w:hyperlink>
          </w:p>
        </w:tc>
      </w:tr>
      <w:tr>
        <w:tc>
          <w:tcPr/>
          <w:p>
            <w:pPr>
              <w:pStyle w:val="Compact"/>
            </w:pPr>
            <w:r>
              <w:t xml:space="preserve">Higher ed</w:t>
            </w:r>
          </w:p>
        </w:tc>
        <w:tc>
          <w:tcPr/>
          <w:p>
            <w:pPr>
              <w:pStyle w:val="Compact"/>
            </w:pPr>
            <w:r>
              <w:t xml:space="preserve">Universities + DACA</w:t>
            </w:r>
          </w:p>
        </w:tc>
        <w:tc>
          <w:tcPr/>
          <w:p>
            <w:pPr>
              <w:pStyle w:val="Compact"/>
            </w:pPr>
            <w:r>
              <w:t xml:space="preserve">Enrollment/talent pipeline; institutional mission; community legitimacy</w:t>
            </w:r>
          </w:p>
        </w:tc>
        <w:tc>
          <w:tcPr/>
          <w:p>
            <w:pPr>
              <w:pStyle w:val="Compact"/>
            </w:pPr>
            <w:r>
              <w:t xml:space="preserve">Amicus and institutional claims of benefit from DACA students</w:t>
            </w:r>
            <w:r>
              <w:t xml:space="preserve"> </w:t>
            </w:r>
            <w:hyperlink r:id="rId31">
              <w:r>
                <w:rPr>
                  <w:rStyle w:val="Hyperlink"/>
                </w:rPr>
                <w:t xml:space="preserve">[59]</w:t>
              </w:r>
            </w:hyperlink>
          </w:p>
        </w:tc>
        <w:tc>
          <w:tcPr/>
          <w:p>
            <w:pPr>
              <w:pStyle w:val="Compact"/>
            </w:pPr>
            <w:r>
              <w:t xml:space="preserve">Public alignment with immigration openness consistent with sector revenue/talent incentives</w:t>
            </w:r>
            <w:r>
              <w:t xml:space="preserve"> </w:t>
            </w:r>
            <w:hyperlink r:id="rId22">
              <w:r>
                <w:rPr>
                  <w:rStyle w:val="Hyperlink"/>
                </w:rPr>
                <w:t xml:space="preserve">[51]</w:t>
              </w:r>
            </w:hyperlink>
          </w:p>
        </w:tc>
      </w:tr>
      <w:tr>
        <w:tc>
          <w:tcPr/>
          <w:p>
            <w:pPr>
              <w:pStyle w:val="Compact"/>
            </w:pPr>
            <w:r>
              <w:t xml:space="preserve">NGO mediation</w:t>
            </w:r>
          </w:p>
        </w:tc>
        <w:tc>
          <w:tcPr/>
          <w:p>
            <w:pPr>
              <w:pStyle w:val="Compact"/>
            </w:pPr>
            <w:r>
              <w:t xml:space="preserve">HRC CEI</w:t>
            </w:r>
          </w:p>
        </w:tc>
        <w:tc>
          <w:tcPr/>
          <w:p>
            <w:pPr>
              <w:pStyle w:val="Compact"/>
            </w:pPr>
            <w:r>
              <w:t xml:space="preserve">Benchmarking; reputational reward; managerial standardization</w:t>
            </w:r>
          </w:p>
        </w:tc>
        <w:tc>
          <w:tcPr/>
          <w:p>
            <w:pPr>
              <w:pStyle w:val="Compact"/>
            </w:pPr>
            <w:r>
              <w:t xml:space="preserve">CEI: 1,449 rated companies; metrics on protections/benefits</w:t>
            </w:r>
            <w:r>
              <w:t xml:space="preserve"> </w:t>
            </w:r>
            <w:hyperlink r:id="rId29">
              <w:r>
                <w:rPr>
                  <w:rStyle w:val="Hyperlink"/>
                </w:rPr>
                <w:t xml:space="preserve">[53]</w:t>
              </w:r>
            </w:hyperlink>
          </w:p>
        </w:tc>
        <w:tc>
          <w:tcPr/>
          <w:p>
            <w:pPr>
              <w:pStyle w:val="Compact"/>
            </w:pPr>
            <w:r>
              <w:t xml:space="preserve">Also becomes backlash target; some firms exit under pressure</w:t>
            </w:r>
            <w:r>
              <w:t xml:space="preserve"> </w:t>
            </w:r>
            <w:hyperlink r:id="rId38">
              <w:r>
                <w:rPr>
                  <w:rStyle w:val="Hyperlink"/>
                </w:rPr>
                <w:t xml:space="preserve">[60]</w:t>
              </w:r>
            </w:hyperlink>
          </w:p>
        </w:tc>
      </w:tr>
    </w:tbl>
    <w:bookmarkEnd w:id="58"/>
    <w:bookmarkStart w:id="59" w:name="timeline-of-major-u.s.-episodes"/>
    <w:p>
      <w:pPr>
        <w:pStyle w:val="Heading3"/>
      </w:pPr>
      <w:r>
        <w:t xml:space="preserve">Timeline of major U.S. episodes</w:t>
      </w:r>
    </w:p>
    <w:p>
      <w:pPr>
        <w:pStyle w:val="SourceCode"/>
      </w:pPr>
      <w:r>
        <w:rPr>
          <w:rStyle w:val="VerbatimChar"/>
        </w:rPr>
        <w:t xml:space="preserve">timeline</w:t>
      </w:r>
      <w:r>
        <w:br/>
      </w:r>
      <w:r>
        <w:rPr>
          <w:rStyle w:val="VerbatimChar"/>
        </w:rPr>
        <w:t xml:space="preserve">    title Corporate alignment in major U.S. culture-war episodes</w:t>
      </w:r>
      <w:r>
        <w:br/>
      </w:r>
      <w:r>
        <w:rPr>
          <w:rStyle w:val="VerbatimChar"/>
        </w:rPr>
        <w:t xml:space="preserve">    2015 : 379 employers support marriage equality in Supreme Court amicus</w:t>
      </w:r>
      <w:r>
        <w:br/>
      </w:r>
      <w:r>
        <w:rPr>
          <w:rStyle w:val="VerbatimChar"/>
        </w:rPr>
        <w:t xml:space="preserve">    2016 : PayPal cancels North Carolina expansion after HB2</w:t>
      </w:r>
      <w:r>
        <w:br/>
      </w:r>
      <w:r>
        <w:rPr>
          <w:rStyle w:val="VerbatimChar"/>
        </w:rPr>
        <w:t xml:space="preserve">    2017 : Tech-company amicus argues travel restrictions harm competitiveness</w:t>
      </w:r>
      <w:r>
        <w:br/>
      </w:r>
      <w:r>
        <w:rPr>
          <w:rStyle w:val="VerbatimChar"/>
        </w:rPr>
        <w:t xml:space="preserve">    2019 : 206 businesses support LGBTQ employment protections in Bostock briefing</w:t>
      </w:r>
      <w:r>
        <w:br/>
      </w:r>
      <w:r>
        <w:rPr>
          <w:rStyle w:val="VerbatimChar"/>
        </w:rPr>
        <w:t xml:space="preserve">    2020 : Major firms announce racial equity commitments after George Floyd protests</w:t>
      </w:r>
      <w:r>
        <w:br/>
      </w:r>
      <w:r>
        <w:rPr>
          <w:rStyle w:val="VerbatimChar"/>
        </w:rPr>
        <w:t xml:space="preserve">    2021 : SEC approves Nasdaq board diversity disclosure requirements</w:t>
      </w:r>
      <w:r>
        <w:br/>
      </w:r>
      <w:r>
        <w:rPr>
          <w:rStyle w:val="VerbatimChar"/>
        </w:rPr>
        <w:t xml:space="preserve">    2022 : Florida pulls $2B from BlackRock over ESG; state anti-ESG retaliation escalates</w:t>
      </w:r>
      <w:r>
        <w:br/>
      </w:r>
      <w:r>
        <w:rPr>
          <w:rStyle w:val="VerbatimChar"/>
        </w:rPr>
        <w:t xml:space="preserve">    2023 : Target adjusts Pride program amid threats and faces backlash-linked sales impacts</w:t>
      </w:r>
      <w:r>
        <w:br/>
      </w:r>
      <w:r>
        <w:rPr>
          <w:rStyle w:val="VerbatimChar"/>
        </w:rPr>
        <w:t xml:space="preserve">    2024 : Court strikes down Nasdaq board diversity rule; firms reduce DEI visibility and/or exit indices</w:t>
      </w:r>
    </w:p>
    <w:p>
      <w:pPr>
        <w:pStyle w:val="FirstParagraph"/>
      </w:pPr>
      <w:hyperlink r:id="rId34">
        <w:r>
          <w:rPr>
            <w:rStyle w:val="Hyperlink"/>
          </w:rPr>
          <w:t xml:space="preserve">[61]</w:t>
        </w:r>
      </w:hyperlink>
    </w:p>
    <w:bookmarkEnd w:id="59"/>
    <w:bookmarkStart w:id="60" w:name="mechanism-flowchart"/>
    <w:p>
      <w:pPr>
        <w:pStyle w:val="Heading3"/>
      </w:pPr>
      <w:r>
        <w:t xml:space="preserve">Mechanism flowchart</w:t>
      </w:r>
    </w:p>
    <w:p>
      <w:pPr>
        <w:pStyle w:val="SourceCode"/>
      </w:pPr>
      <w:r>
        <w:rPr>
          <w:rStyle w:val="VerbatimChar"/>
        </w:rPr>
        <w:t xml:space="preserve">flowchart LR</w:t>
      </w:r>
      <w:r>
        <w:br/>
      </w:r>
      <w:r>
        <w:rPr>
          <w:rStyle w:val="VerbatimChar"/>
        </w:rPr>
        <w:t xml:space="preserve">    A[Market expansion incentives] --&gt; D[Progressive cultural positioning]</w:t>
      </w:r>
      <w:r>
        <w:br/>
      </w:r>
      <w:r>
        <w:rPr>
          <w:rStyle w:val="VerbatimChar"/>
        </w:rPr>
        <w:t xml:space="preserve">    B[Reputational &amp; stakeholder risk] --&gt; D</w:t>
      </w:r>
      <w:r>
        <w:br/>
      </w:r>
      <w:r>
        <w:rPr>
          <w:rStyle w:val="VerbatimChar"/>
        </w:rPr>
        <w:t xml:space="preserve">    C[Managerial professionalization] --&gt; D</w:t>
      </w:r>
      <w:r>
        <w:br/>
      </w:r>
      <w:r>
        <w:rPr>
          <w:rStyle w:val="VerbatimChar"/>
        </w:rPr>
        <w:t xml:space="preserve">    D --&gt; E[Observable actions: statements, briefs, benefits, product shifts, disclosures]</w:t>
      </w:r>
      <w:r>
        <w:br/>
      </w:r>
      <w:r>
        <w:rPr>
          <w:rStyle w:val="VerbatimChar"/>
        </w:rPr>
        <w:t xml:space="preserve">    E --&gt; F[Outcomes: talent attraction, market access, legal uniformity, backlash/retreat]</w:t>
      </w:r>
    </w:p>
    <w:bookmarkEnd w:id="60"/>
    <w:bookmarkEnd w:id="61"/>
    <w:bookmarkStart w:id="66" w:name="X19458fe79b85495f4aeb80ef538f8d7223652ea"/>
    <w:p>
      <w:pPr>
        <w:pStyle w:val="Heading2"/>
      </w:pPr>
      <w:r>
        <w:t xml:space="preserve">Quantitative indicators and visualizations</w:t>
      </w:r>
    </w:p>
    <w:bookmarkStart w:id="63" w:name="X2f130b060551ac9148c3dcfd810b546537a8278"/>
    <w:p>
      <w:pPr>
        <w:pStyle w:val="Heading3"/>
      </w:pPr>
      <w:r>
        <w:t xml:space="preserve">Stakeholder and labor-market demand signals</w:t>
      </w:r>
    </w:p>
    <w:p>
      <w:pPr>
        <w:pStyle w:val="FirstParagraph"/>
      </w:pPr>
      <w:r>
        <w:t xml:space="preserve">Two cross-cutting quantitative signals illustrate why “progressive” public positioning can be instrumentally valuable:</w:t>
      </w:r>
    </w:p>
    <w:p>
      <w:pPr>
        <w:pStyle w:val="BodyText"/>
      </w:pPr>
      <w:r>
        <w:t xml:space="preserve">1) In the 2020 Edelman Trust Barometer executive summary,</w:t>
      </w:r>
      <w:r>
        <w:t xml:space="preserve"> </w:t>
      </w:r>
      <w:r>
        <w:rPr>
          <w:b/>
          <w:bCs/>
        </w:rPr>
        <w:t xml:space="preserve">92% of employees</w:t>
      </w:r>
      <w:r>
        <w:t xml:space="preserve"> </w:t>
      </w:r>
      <w:r>
        <w:t xml:space="preserve">said it is important that their employer’s CEO speak out on one or more societal issues.</w:t>
      </w:r>
      <w:r>
        <w:t xml:space="preserve"> </w:t>
      </w:r>
      <w:hyperlink r:id="rId36">
        <w:r>
          <w:rPr>
            <w:rStyle w:val="Hyperlink"/>
          </w:rPr>
          <w:t xml:space="preserve">[62]</w:t>
        </w:r>
      </w:hyperlink>
      <w:r>
        <w:br/>
      </w:r>
      <w:r>
        <w:t xml:space="preserve">2) In Glassdoor’s U.S. D&amp;I survey,</w:t>
      </w:r>
      <w:r>
        <w:t xml:space="preserve"> </w:t>
      </w:r>
      <w:r>
        <w:rPr>
          <w:b/>
          <w:bCs/>
        </w:rPr>
        <w:t xml:space="preserve">76% of employees and job seekers</w:t>
      </w:r>
      <w:r>
        <w:t xml:space="preserve"> </w:t>
      </w:r>
      <w:r>
        <w:t xml:space="preserve">reported that a diverse workforce is an important factor when evaluating companies and job offers (with higher percentages among underrepresented groups).</w:t>
      </w:r>
      <w:r>
        <w:t xml:space="preserve"> </w:t>
      </w:r>
      <w:hyperlink r:id="rId62">
        <w:r>
          <w:rPr>
            <w:rStyle w:val="Hyperlink"/>
          </w:rPr>
          <w:t xml:space="preserve">[63]</w:t>
        </w:r>
      </w:hyperlink>
    </w:p>
    <w:p>
      <w:pPr>
        <w:pStyle w:val="SourceCode"/>
      </w:pPr>
      <w:r>
        <w:rPr>
          <w:rStyle w:val="VerbatimChar"/>
        </w:rPr>
        <w:t xml:space="preserve">xychart-beta</w:t>
      </w:r>
      <w:r>
        <w:br/>
      </w:r>
      <w:r>
        <w:rPr>
          <w:rStyle w:val="VerbatimChar"/>
        </w:rPr>
        <w:t xml:space="preserve">    title "Stakeholder/talent expectations (selected survey measures)"</w:t>
      </w:r>
      <w:r>
        <w:br/>
      </w:r>
      <w:r>
        <w:rPr>
          <w:rStyle w:val="VerbatimChar"/>
        </w:rPr>
        <w:t xml:space="preserve">    x-axis ["Employees: CEO should speak out (Edelman 2020)", "Job seekers: diversity matters (Glassdoor 2020)"]</w:t>
      </w:r>
      <w:r>
        <w:br/>
      </w:r>
      <w:r>
        <w:rPr>
          <w:rStyle w:val="VerbatimChar"/>
        </w:rPr>
        <w:t xml:space="preserve">    y-axis "percent" 0 --&gt; 100</w:t>
      </w:r>
      <w:r>
        <w:br/>
      </w:r>
      <w:r>
        <w:rPr>
          <w:rStyle w:val="VerbatimChar"/>
        </w:rPr>
        <w:t xml:space="preserve">    bar [92, 76]</w:t>
      </w:r>
    </w:p>
    <w:p>
      <w:pPr>
        <w:pStyle w:val="FirstParagraph"/>
      </w:pPr>
      <w:hyperlink r:id="rId36">
        <w:r>
          <w:rPr>
            <w:rStyle w:val="Hyperlink"/>
          </w:rPr>
          <w:t xml:space="preserve">[64]</w:t>
        </w:r>
      </w:hyperlink>
    </w:p>
    <w:p>
      <w:pPr>
        <w:pStyle w:val="BodyText"/>
      </w:pPr>
      <w:r>
        <w:t xml:space="preserve">These measures are consistent with the “reputational risk + talent acquisition” portion of the thesis: firms face incentives to display moral alignment with the values of employee and applicant pools, especially in high-skill labor markets where switching costs are low and employer branding is central.</w:t>
      </w:r>
      <w:r>
        <w:t xml:space="preserve"> </w:t>
      </w:r>
      <w:hyperlink r:id="rId36">
        <w:r>
          <w:rPr>
            <w:rStyle w:val="Hyperlink"/>
          </w:rPr>
          <w:t xml:space="preserve">[65]</w:t>
        </w:r>
      </w:hyperlink>
    </w:p>
    <w:bookmarkEnd w:id="63"/>
    <w:bookmarkStart w:id="64" w:name="Xea06d221415de5f745cb00fb3f88fcd355fc901"/>
    <w:p>
      <w:pPr>
        <w:pStyle w:val="Heading3"/>
      </w:pPr>
      <w:r>
        <w:t xml:space="preserve">Immigration openness as a measurable economic stake</w:t>
      </w:r>
    </w:p>
    <w:p>
      <w:pPr>
        <w:pStyle w:val="FirstParagraph"/>
      </w:pPr>
      <w:r>
        <w:t xml:space="preserve">NAFSA’s estimates quantify the economic stake of openness in a sector that functions as a talent pipeline for corporate capitalism:</w:t>
      </w:r>
    </w:p>
    <w:p>
      <w:pPr>
        <w:pStyle w:val="SourceCode"/>
      </w:pPr>
      <w:r>
        <w:rPr>
          <w:rStyle w:val="VerbatimChar"/>
        </w:rPr>
        <w:t xml:space="preserve">xychart-beta</w:t>
      </w:r>
      <w:r>
        <w:br/>
      </w:r>
      <w:r>
        <w:rPr>
          <w:rStyle w:val="VerbatimChar"/>
        </w:rPr>
        <w:t xml:space="preserve">    title "International students' estimated U.S. economic contribution"</w:t>
      </w:r>
      <w:r>
        <w:br/>
      </w:r>
      <w:r>
        <w:rPr>
          <w:rStyle w:val="VerbatimChar"/>
        </w:rPr>
        <w:t xml:space="preserve">    x-axis ["2023–24", "2024–25"]</w:t>
      </w:r>
      <w:r>
        <w:br/>
      </w:r>
      <w:r>
        <w:rPr>
          <w:rStyle w:val="VerbatimChar"/>
        </w:rPr>
        <w:t xml:space="preserve">    y-axis "US$ (billions)" 40 --&gt; 45</w:t>
      </w:r>
      <w:r>
        <w:br/>
      </w:r>
      <w:r>
        <w:rPr>
          <w:rStyle w:val="VerbatimChar"/>
        </w:rPr>
        <w:t xml:space="preserve">    bar [43.8, 42.9]</w:t>
      </w:r>
    </w:p>
    <w:p>
      <w:pPr>
        <w:pStyle w:val="FirstParagraph"/>
      </w:pPr>
      <w:hyperlink r:id="rId22">
        <w:r>
          <w:rPr>
            <w:rStyle w:val="Hyperlink"/>
          </w:rPr>
          <w:t xml:space="preserve">[51]</w:t>
        </w:r>
      </w:hyperlink>
    </w:p>
    <w:p>
      <w:pPr>
        <w:pStyle w:val="SourceCode"/>
      </w:pPr>
      <w:r>
        <w:rPr>
          <w:rStyle w:val="VerbatimChar"/>
        </w:rPr>
        <w:t xml:space="preserve">xychart-beta</w:t>
      </w:r>
      <w:r>
        <w:br/>
      </w:r>
      <w:r>
        <w:rPr>
          <w:rStyle w:val="VerbatimChar"/>
        </w:rPr>
        <w:t xml:space="preserve">    title "International students' estimated U.S. jobs supported"</w:t>
      </w:r>
      <w:r>
        <w:br/>
      </w:r>
      <w:r>
        <w:rPr>
          <w:rStyle w:val="VerbatimChar"/>
        </w:rPr>
        <w:t xml:space="preserve">    x-axis ["2023–24", "2024–25"]</w:t>
      </w:r>
      <w:r>
        <w:br/>
      </w:r>
      <w:r>
        <w:rPr>
          <w:rStyle w:val="VerbatimChar"/>
        </w:rPr>
        <w:t xml:space="preserve">    y-axis "jobs (thousands)" 330 --&gt; 390</w:t>
      </w:r>
      <w:r>
        <w:br/>
      </w:r>
      <w:r>
        <w:rPr>
          <w:rStyle w:val="VerbatimChar"/>
        </w:rPr>
        <w:t xml:space="preserve">    bar [378, 355]</w:t>
      </w:r>
    </w:p>
    <w:p>
      <w:pPr>
        <w:pStyle w:val="FirstParagraph"/>
      </w:pPr>
      <w:hyperlink r:id="rId22">
        <w:r>
          <w:rPr>
            <w:rStyle w:val="Hyperlink"/>
          </w:rPr>
          <w:t xml:space="preserve">[51]</w:t>
        </w:r>
      </w:hyperlink>
    </w:p>
    <w:p>
      <w:pPr>
        <w:pStyle w:val="BodyText"/>
      </w:pPr>
      <w:r>
        <w:t xml:space="preserve">In parallel, business and university coalitions have repeatedly argued that immigration restrictions reduce competitiveness and weaken institutional missions—linking cultural openness to measurable economic and organizational performance.</w:t>
      </w:r>
      <w:r>
        <w:t xml:space="preserve"> </w:t>
      </w:r>
      <w:hyperlink r:id="rId23">
        <w:r>
          <w:rPr>
            <w:rStyle w:val="Hyperlink"/>
          </w:rPr>
          <w:t xml:space="preserve">[66]</w:t>
        </w:r>
      </w:hyperlink>
    </w:p>
    <w:bookmarkEnd w:id="64"/>
    <w:bookmarkStart w:id="65" w:name="a-note-on-donation-records-as-indicators"/>
    <w:p>
      <w:pPr>
        <w:pStyle w:val="Heading3"/>
      </w:pPr>
      <w:r>
        <w:t xml:space="preserve">A note on “donation records” as indicators</w:t>
      </w:r>
    </w:p>
    <w:p>
      <w:pPr>
        <w:pStyle w:val="FirstParagraph"/>
      </w:pPr>
      <w:r>
        <w:t xml:space="preserve">Corporate political spending often diverges from cultural signaling. As an illustrative official dataset, the Federal Election Commission</w:t>
      </w:r>
      <w:hyperlink r:id="rId48">
        <w:r>
          <w:rPr>
            <w:rStyle w:val="Hyperlink"/>
          </w:rPr>
          <w:t xml:space="preserve">[67]</w:t>
        </w:r>
      </w:hyperlink>
      <w:r>
        <w:t xml:space="preserve"> </w:t>
      </w:r>
      <w:r>
        <w:t xml:space="preserve">committee profile for JPMorgan’s corporate PAC shows total receipts and disbursements in a given cycle, demonstrating that firms simultaneously operate in conventional partisan influence systems even while they maintain stakeholder-cultural messaging.</w:t>
      </w:r>
      <w:r>
        <w:t xml:space="preserve"> </w:t>
      </w:r>
      <w:hyperlink r:id="rId55">
        <w:r>
          <w:rPr>
            <w:rStyle w:val="Hyperlink"/>
          </w:rPr>
          <w:t xml:space="preserve">[68]</w:t>
        </w:r>
      </w:hyperlink>
      <w:r>
        <w:t xml:space="preserve"> </w:t>
      </w:r>
      <w:r>
        <w:t xml:space="preserve">(A full Democrat/Republican recipient split requires transaction-level aggregation and is not computed here.)</w:t>
      </w:r>
    </w:p>
    <w:bookmarkEnd w:id="65"/>
    <w:bookmarkEnd w:id="66"/>
    <w:bookmarkStart w:id="71" w:name="X0ca44d869b6a598f38c3aebe8a05c51c07137ef"/>
    <w:p>
      <w:pPr>
        <w:pStyle w:val="Heading2"/>
      </w:pPr>
      <w:r>
        <w:t xml:space="preserve">Counterexamples, scope conditions, and objections</w:t>
      </w:r>
    </w:p>
    <w:bookmarkStart w:id="68" w:name="counterexamples-and-scope-conditions"/>
    <w:p>
      <w:pPr>
        <w:pStyle w:val="Heading3"/>
      </w:pPr>
      <w:r>
        <w:t xml:space="preserve">Counterexamples and scope conditions</w:t>
      </w:r>
    </w:p>
    <w:p>
      <w:pPr>
        <w:pStyle w:val="FirstParagraph"/>
      </w:pPr>
      <w:r>
        <w:rPr>
          <w:b/>
          <w:bCs/>
        </w:rPr>
        <w:t xml:space="preserve">Backlash retreats and de-politicization strategies.</w:t>
      </w:r>
      <w:r>
        <w:br/>
      </w:r>
      <w:r>
        <w:t xml:space="preserve">Recent patterns show corporate</w:t>
      </w:r>
      <w:r>
        <w:t xml:space="preserve"> </w:t>
      </w:r>
      <w:r>
        <w:rPr>
          <w:i/>
          <w:iCs/>
        </w:rPr>
        <w:t xml:space="preserve">retrenchment</w:t>
      </w:r>
      <w:r>
        <w:t xml:space="preserve"> </w:t>
      </w:r>
      <w:r>
        <w:t xml:space="preserve">under political/legal pressure. Reporting documents firms reducing DEI language, rebranding DEI functions, and scaling back public-facing initiatives, especially when government contracting or litigation exposure becomes salient.</w:t>
      </w:r>
      <w:r>
        <w:t xml:space="preserve"> </w:t>
      </w:r>
      <w:hyperlink r:id="rId27">
        <w:r>
          <w:rPr>
            <w:rStyle w:val="Hyperlink"/>
          </w:rPr>
          <w:t xml:space="preserve">[69]</w:t>
        </w:r>
      </w:hyperlink>
      <w:r>
        <w:t xml:space="preserve"> </w:t>
      </w:r>
      <w:r>
        <w:t xml:space="preserve">A Reuters account of retailer behavior describes firms publicly scrapping some DEI initiatives while “quietly supporting others,” consistent with reputational risk management rather than pure ideology.</w:t>
      </w:r>
      <w:r>
        <w:t xml:space="preserve"> </w:t>
      </w:r>
      <w:hyperlink r:id="rId67">
        <w:r>
          <w:rPr>
            <w:rStyle w:val="Hyperlink"/>
          </w:rPr>
          <w:t xml:space="preserve">[70]</w:t>
        </w:r>
      </w:hyperlink>
    </w:p>
    <w:p>
      <w:pPr>
        <w:pStyle w:val="BodyText"/>
      </w:pPr>
      <w:r>
        <w:rPr>
          <w:b/>
          <w:bCs/>
        </w:rPr>
        <w:t xml:space="preserve">Revenue-base conservatism and “customer alignment” constraints.</w:t>
      </w:r>
      <w:r>
        <w:br/>
      </w:r>
      <w:r>
        <w:t xml:space="preserve">In sectors with more culturally conservative customer bases, firms may explicitly reject “perceived political and social agendas,” indicating that market expansion can also run through</w:t>
      </w:r>
      <w:r>
        <w:t xml:space="preserve"> </w:t>
      </w:r>
      <w:r>
        <w:rPr>
          <w:i/>
          <w:iCs/>
        </w:rPr>
        <w:t xml:space="preserve">traditionalist</w:t>
      </w:r>
      <w:r>
        <w:t xml:space="preserve"> </w:t>
      </w:r>
      <w:r>
        <w:t xml:space="preserve">or depoliticized branding depending on the customer coalition.</w:t>
      </w:r>
      <w:r>
        <w:t xml:space="preserve"> </w:t>
      </w:r>
      <w:hyperlink r:id="rId67">
        <w:r>
          <w:rPr>
            <w:rStyle w:val="Hyperlink"/>
          </w:rPr>
          <w:t xml:space="preserve">[71]</w:t>
        </w:r>
      </w:hyperlink>
    </w:p>
    <w:p>
      <w:pPr>
        <w:pStyle w:val="BodyText"/>
      </w:pPr>
      <w:r>
        <w:rPr>
          <w:b/>
          <w:bCs/>
        </w:rPr>
        <w:t xml:space="preserve">Religious-market conservatism as a genuine corporate posture.</w:t>
      </w:r>
      <w:r>
        <w:br/>
      </w:r>
      <w:r>
        <w:t xml:space="preserve">Not all firms align culturally with progressivism. In some contexts, corporate actors seek exemptions to progressive policy norms. The Supreme Court case regarding Hobby Lobby</w:t>
      </w:r>
      <w:hyperlink r:id="rId34">
        <w:r>
          <w:rPr>
            <w:rStyle w:val="Hyperlink"/>
          </w:rPr>
          <w:t xml:space="preserve">[72]</w:t>
        </w:r>
      </w:hyperlink>
      <w:r>
        <w:t xml:space="preserve"> </w:t>
      </w:r>
      <w:r>
        <w:t xml:space="preserve">illustrates how closely held corporations can claim religious objections in ways aligned with conservative cultural politics, producing legal accommodation rather than progressive alignment.</w:t>
      </w:r>
      <w:r>
        <w:t xml:space="preserve"> </w:t>
      </w:r>
      <w:hyperlink r:id="rId51">
        <w:r>
          <w:rPr>
            <w:rStyle w:val="Hyperlink"/>
          </w:rPr>
          <w:t xml:space="preserve">[73]</w:t>
        </w:r>
      </w:hyperlink>
      <w:r>
        <w:t xml:space="preserve"> </w:t>
      </w:r>
      <w:r>
        <w:t xml:space="preserve">This is a scope condition: ownership structure and customer identity can direct alignment away from progressive norms.</w:t>
      </w:r>
    </w:p>
    <w:bookmarkEnd w:id="68"/>
    <w:bookmarkStart w:id="70" w:name="preempting-common-objections"/>
    <w:p>
      <w:pPr>
        <w:pStyle w:val="Heading3"/>
      </w:pPr>
      <w:r>
        <w:t xml:space="preserve">Preempting common objections</w:t>
      </w:r>
    </w:p>
    <w:p>
      <w:pPr>
        <w:pStyle w:val="FirstParagraph"/>
      </w:pPr>
      <w:r>
        <w:rPr>
          <w:b/>
          <w:bCs/>
        </w:rPr>
        <w:t xml:space="preserve">Objection: “It’s just PR / woke-washing.”</w:t>
      </w:r>
      <w:r>
        <w:br/>
      </w:r>
      <w:r>
        <w:t xml:space="preserve">Some corporate signaling is indeed low-cost. But multiple cases in this report involve costly or legally consequential actions: amicus briefs (which create reputational commitments and legal exposure), cancellation of expansions (lost investment and jobs), and mandated disclosure regimes. These go beyond mere advertising copy.</w:t>
      </w:r>
      <w:r>
        <w:t xml:space="preserve"> </w:t>
      </w:r>
      <w:hyperlink r:id="rId23">
        <w:r>
          <w:rPr>
            <w:rStyle w:val="Hyperlink"/>
          </w:rPr>
          <w:t xml:space="preserve">[74]</w:t>
        </w:r>
      </w:hyperlink>
    </w:p>
    <w:p>
      <w:pPr>
        <w:pStyle w:val="BodyText"/>
      </w:pPr>
      <w:r>
        <w:rPr>
          <w:b/>
          <w:bCs/>
        </w:rPr>
        <w:t xml:space="preserve">Objection: “Shareholder primacy prevents culture-war activism.”</w:t>
      </w:r>
      <w:r>
        <w:br/>
      </w:r>
      <w:r>
        <w:t xml:space="preserve">Modern corporate rhetoric frequently reframes “stakeholders” as the route to long-term value, not its opposite. The Business Roundtable’s 2019 statement explicitly moved away from shareholder primacy and included “diversity and inclusion” as part of employee investment and long-term success.</w:t>
      </w:r>
      <w:r>
        <w:t xml:space="preserve"> </w:t>
      </w:r>
      <w:hyperlink r:id="rId69">
        <w:r>
          <w:rPr>
            <w:rStyle w:val="Hyperlink"/>
          </w:rPr>
          <w:t xml:space="preserve">[75]</w:t>
        </w:r>
      </w:hyperlink>
      <w:r>
        <w:t xml:space="preserve"> </w:t>
      </w:r>
      <w:r>
        <w:t xml:space="preserve">BlackRock explicitly rooted stakeholder and sustainability disclosures in fiduciary responsibility and cost-of-capital logic.</w:t>
      </w:r>
      <w:r>
        <w:t xml:space="preserve"> </w:t>
      </w:r>
      <w:hyperlink r:id="rId48">
        <w:r>
          <w:rPr>
            <w:rStyle w:val="Hyperlink"/>
          </w:rPr>
          <w:t xml:space="preserve">[41]</w:t>
        </w:r>
      </w:hyperlink>
      <w:r>
        <w:t xml:space="preserve"> </w:t>
      </w:r>
      <w:r>
        <w:t xml:space="preserve">These are not proofs of sincerity, but they are evidence of an internal justificatory framework that makes progressive cultural positioning compatible with profit-seeking narratives.</w:t>
      </w:r>
      <w:r>
        <w:t xml:space="preserve"> </w:t>
      </w:r>
      <w:hyperlink r:id="rId48">
        <w:r>
          <w:rPr>
            <w:rStyle w:val="Hyperlink"/>
          </w:rPr>
          <w:t xml:space="preserve">[76]</w:t>
        </w:r>
      </w:hyperlink>
    </w:p>
    <w:p>
      <w:pPr>
        <w:pStyle w:val="BodyText"/>
      </w:pPr>
      <w:r>
        <w:rPr>
          <w:b/>
          <w:bCs/>
        </w:rPr>
        <w:t xml:space="preserve">Objection: “Corporations also fund conservatives.”</w:t>
      </w:r>
      <w:r>
        <w:br/>
      </w:r>
      <w:r>
        <w:t xml:space="preserve">This objection is largely compatible with the thesis. Fraser’s definition of “progressive neoliberalism” is precisely a coalition in which progressive recognition politics coexists with, and can legitimize, neoliberal distributional outcomes.</w:t>
      </w:r>
      <w:r>
        <w:t xml:space="preserve"> </w:t>
      </w:r>
      <w:hyperlink r:id="rId30">
        <w:r>
          <w:rPr>
            <w:rStyle w:val="Hyperlink"/>
          </w:rPr>
          <w:t xml:space="preserve">[10]</w:t>
        </w:r>
      </w:hyperlink>
      <w:r>
        <w:t xml:space="preserve"> </w:t>
      </w:r>
      <w:r>
        <w:t xml:space="preserve">Corporate PAC activity and conventional lobbying remain part of the same system, so cultural alignment does not imply distributive alignment.</w:t>
      </w:r>
      <w:r>
        <w:t xml:space="preserve"> </w:t>
      </w:r>
      <w:hyperlink r:id="rId55">
        <w:r>
          <w:rPr>
            <w:rStyle w:val="Hyperlink"/>
          </w:rPr>
          <w:t xml:space="preserve">[77]</w:t>
        </w:r>
      </w:hyperlink>
    </w:p>
    <w:p>
      <w:pPr>
        <w:pStyle w:val="BodyText"/>
      </w:pPr>
      <w:r>
        <w:rPr>
          <w:b/>
          <w:bCs/>
        </w:rPr>
        <w:t xml:space="preserve">Objection: “The left is anti-capitalist, so corporate-progressive alignment is impossible.”</w:t>
      </w:r>
      <w:r>
        <w:br/>
      </w:r>
      <w:r>
        <w:t xml:space="preserve">The empirical record shows repeated issue-by-issue alignment even amid rhetorical hostility: businesses have supported LGBTQ employment protections and marriage equality in court, and have adopted DEI and inclusion programs at scale—often justified as good for competitiveness and markets.</w:t>
      </w:r>
      <w:r>
        <w:t xml:space="preserve"> </w:t>
      </w:r>
      <w:hyperlink r:id="rId35">
        <w:r>
          <w:rPr>
            <w:rStyle w:val="Hyperlink"/>
          </w:rPr>
          <w:t xml:space="preserve">[78]</w:t>
        </w:r>
      </w:hyperlink>
      <w:r>
        <w:t xml:space="preserve"> </w:t>
      </w:r>
      <w:r>
        <w:t xml:space="preserve">This is consistent with an</w:t>
      </w:r>
      <w:r>
        <w:t xml:space="preserve"> </w:t>
      </w:r>
      <w:r>
        <w:rPr>
          <w:i/>
          <w:iCs/>
        </w:rPr>
        <w:t xml:space="preserve">instrumental coalition</w:t>
      </w:r>
      <w:r>
        <w:t xml:space="preserve"> </w:t>
      </w:r>
      <w:r>
        <w:t xml:space="preserve">rather than an ideological merger.</w:t>
      </w:r>
    </w:p>
    <w:bookmarkEnd w:id="70"/>
    <w:bookmarkEnd w:id="71"/>
    <w:bookmarkStart w:id="72" w:name="conclusion-and-follow-up-questions"/>
    <w:p>
      <w:pPr>
        <w:pStyle w:val="Heading2"/>
      </w:pPr>
      <w:r>
        <w:t xml:space="preserve">Conclusion and follow-up questions</w:t>
      </w:r>
    </w:p>
    <w:p>
      <w:pPr>
        <w:pStyle w:val="FirstParagraph"/>
      </w:pPr>
      <w:r>
        <w:t xml:space="preserve">The evidence reviewed supports the thesis that corporate capitalism often aligns with progressive cultural politics against traditionalist conservatism because post-traditional norms can be strategically useful for market expansion, reputational risk management, and managerial professionalization—especially in high-skill, brand-sensitive, and globally scaled sectors.</w:t>
      </w:r>
    </w:p>
    <w:p>
      <w:pPr>
        <w:pStyle w:val="BodyText"/>
      </w:pPr>
      <w:r>
        <w:t xml:space="preserve">Empirical findings that</w:t>
      </w:r>
      <w:r>
        <w:t xml:space="preserve"> </w:t>
      </w:r>
      <w:r>
        <w:rPr>
          <w:b/>
          <w:bCs/>
        </w:rPr>
        <w:t xml:space="preserve">support</w:t>
      </w:r>
      <w:r>
        <w:t xml:space="preserve"> </w:t>
      </w:r>
      <w:r>
        <w:t xml:space="preserve">the thesis include: (1) explicit corporate claims that inclusion and non-discrimination improve recruitment/retention and reduce compliance complexity (e.g., marriage equality and LGBTQ employment briefs),</w:t>
      </w:r>
      <w:r>
        <w:t xml:space="preserve"> </w:t>
      </w:r>
      <w:hyperlink r:id="rId34">
        <w:r>
          <w:rPr>
            <w:rStyle w:val="Hyperlink"/>
          </w:rPr>
          <w:t xml:space="preserve">[79]</w:t>
        </w:r>
      </w:hyperlink>
      <w:r>
        <w:t xml:space="preserve"> </w:t>
      </w:r>
      <w:r>
        <w:t xml:space="preserve">(2) explicit statements that immigrant protections (DACA) are central to innovation strategies rather than charity,</w:t>
      </w:r>
      <w:r>
        <w:t xml:space="preserve"> </w:t>
      </w:r>
      <w:hyperlink r:id="rId25">
        <w:r>
          <w:rPr>
            <w:rStyle w:val="Hyperlink"/>
          </w:rPr>
          <w:t xml:space="preserve">[24]</w:t>
        </w:r>
      </w:hyperlink>
      <w:r>
        <w:t xml:space="preserve"> </w:t>
      </w:r>
      <w:r>
        <w:t xml:space="preserve">(3) observable market segmentation outcomes where progressive stances are polarizing yet commercially rewarding in key metrics,</w:t>
      </w:r>
      <w:r>
        <w:t xml:space="preserve"> </w:t>
      </w:r>
      <w:hyperlink r:id="rId44">
        <w:r>
          <w:rPr>
            <w:rStyle w:val="Hyperlink"/>
          </w:rPr>
          <w:t xml:space="preserve">[80]</w:t>
        </w:r>
      </w:hyperlink>
      <w:r>
        <w:t xml:space="preserve"> </w:t>
      </w:r>
      <w:r>
        <w:t xml:space="preserve">(4) institutionalization through investor/regulatory channels (Nasdaq/SEC diversity disclosure frameworks),</w:t>
      </w:r>
      <w:r>
        <w:t xml:space="preserve"> </w:t>
      </w:r>
      <w:hyperlink r:id="rId57">
        <w:r>
          <w:rPr>
            <w:rStyle w:val="Hyperlink"/>
          </w:rPr>
          <w:t xml:space="preserve">[81]</w:t>
        </w:r>
      </w:hyperlink>
      <w:r>
        <w:t xml:space="preserve"> </w:t>
      </w:r>
      <w:r>
        <w:t xml:space="preserve">(5) large-scale NGO-driven benchmarking that routinizes progressive norms into corporate policy checklists,</w:t>
      </w:r>
      <w:r>
        <w:t xml:space="preserve"> </w:t>
      </w:r>
      <w:hyperlink r:id="rId29">
        <w:r>
          <w:rPr>
            <w:rStyle w:val="Hyperlink"/>
          </w:rPr>
          <w:t xml:space="preserve">[53]</w:t>
        </w:r>
      </w:hyperlink>
      <w:r>
        <w:t xml:space="preserve"> </w:t>
      </w:r>
      <w:r>
        <w:t xml:space="preserve">and (6) quantitative stakeholder/talent expectations that raise the cost of perceived ethical silence.</w:t>
      </w:r>
      <w:r>
        <w:t xml:space="preserve"> </w:t>
      </w:r>
      <w:hyperlink r:id="rId36">
        <w:r>
          <w:rPr>
            <w:rStyle w:val="Hyperlink"/>
          </w:rPr>
          <w:t xml:space="preserve">[64]</w:t>
        </w:r>
      </w:hyperlink>
    </w:p>
    <w:p>
      <w:pPr>
        <w:pStyle w:val="BodyText"/>
      </w:pPr>
      <w:r>
        <w:t xml:space="preserve">Empirical findings that</w:t>
      </w:r>
      <w:r>
        <w:t xml:space="preserve"> </w:t>
      </w:r>
      <w:r>
        <w:rPr>
          <w:b/>
          <w:bCs/>
        </w:rPr>
        <w:t xml:space="preserve">qualify</w:t>
      </w:r>
      <w:r>
        <w:t xml:space="preserve"> </w:t>
      </w:r>
      <w:r>
        <w:t xml:space="preserve">(or partially contradict) a strong, unconditional version of the thesis include: (1) backlash-induced withdrawal, rebranding, and reduced public emphasis on DEI (indicating the alignment is contingent and strategically managed),</w:t>
      </w:r>
      <w:r>
        <w:t xml:space="preserve"> </w:t>
      </w:r>
      <w:hyperlink r:id="rId27">
        <w:r>
          <w:rPr>
            <w:rStyle w:val="Hyperlink"/>
          </w:rPr>
          <w:t xml:space="preserve">[82]</w:t>
        </w:r>
      </w:hyperlink>
      <w:r>
        <w:t xml:space="preserve"> </w:t>
      </w:r>
      <w:r>
        <w:t xml:space="preserve">(2) state-level retaliation against ESG that can change corporate behavior,</w:t>
      </w:r>
      <w:r>
        <w:t xml:space="preserve"> </w:t>
      </w:r>
      <w:hyperlink r:id="rId52">
        <w:r>
          <w:rPr>
            <w:rStyle w:val="Hyperlink"/>
          </w:rPr>
          <w:t xml:space="preserve">[58]</w:t>
        </w:r>
      </w:hyperlink>
      <w:r>
        <w:t xml:space="preserve"> </w:t>
      </w:r>
      <w:r>
        <w:t xml:space="preserve">and (3) countervailing conservative-cultural corporate behavior in specific ownership/customer configurations (e.g., religious exemption cases).</w:t>
      </w:r>
      <w:r>
        <w:t xml:space="preserve"> </w:t>
      </w:r>
      <w:hyperlink r:id="rId51">
        <w:r>
          <w:rPr>
            <w:rStyle w:val="Hyperlink"/>
          </w:rPr>
          <w:t xml:space="preserve">[73]</w:t>
        </w:r>
      </w:hyperlink>
    </w:p>
    <w:p>
      <w:pPr>
        <w:pStyle w:val="BodyText"/>
      </w:pPr>
      <w:r>
        <w:rPr>
          <w:b/>
          <w:bCs/>
        </w:rPr>
        <w:t xml:space="preserve">Concise thesis restatement:</w:t>
      </w:r>
      <w:r>
        <w:t xml:space="preserve"> </w:t>
      </w:r>
      <w:r>
        <w:t xml:space="preserve">Large corporations frequently adopt progressive cultural positions not because they have become economically leftist, but because post-traditional norms often reduce frictions to growth (labor mobility, market size, global scaling), protect reputational and regulatory “license to operate,” and fit the incentives and worldview of an increasingly professional-managerial corporate apparatus—yielding repeated issue-by-issue coalitions with cultural progressivism against traditionalist conservatism.</w:t>
      </w:r>
    </w:p>
    <w:p>
      <w:pPr>
        <w:pStyle w:val="BodyText"/>
      </w:pPr>
      <w:r>
        <w:t xml:space="preserve">Follow-up questions to refine any next iteration of this research:</w:t>
      </w:r>
      <w:r>
        <w:t xml:space="preserve"> </w:t>
      </w:r>
      <w:r>
        <w:t xml:space="preserve">1) Do you want the report to treat “progressive cultural alignment” primarily as</w:t>
      </w:r>
      <w:r>
        <w:t xml:space="preserve"> </w:t>
      </w:r>
      <w:r>
        <w:rPr>
          <w:b/>
          <w:bCs/>
        </w:rPr>
        <w:t xml:space="preserve">elite coalition politics</w:t>
      </w:r>
      <w:r>
        <w:t xml:space="preserve"> </w:t>
      </w:r>
      <w:r>
        <w:t xml:space="preserve">(Fraser-style) or as</w:t>
      </w:r>
      <w:r>
        <w:t xml:space="preserve"> </w:t>
      </w:r>
      <w:r>
        <w:rPr>
          <w:b/>
          <w:bCs/>
        </w:rPr>
        <w:t xml:space="preserve">firm-level profit-maximization under constraint</w:t>
      </w:r>
      <w:r>
        <w:t xml:space="preserve"> </w:t>
      </w:r>
      <w:r>
        <w:t xml:space="preserve">(industrial organization / strategic management framing)?</w:t>
      </w:r>
      <w:r>
        <w:br/>
      </w:r>
      <w:r>
        <w:t xml:space="preserve">2) Should the next version include a</w:t>
      </w:r>
      <w:r>
        <w:t xml:space="preserve"> </w:t>
      </w:r>
      <w:r>
        <w:rPr>
          <w:b/>
          <w:bCs/>
        </w:rPr>
        <w:t xml:space="preserve">systematic dataset build</w:t>
      </w:r>
      <w:r>
        <w:t xml:space="preserve"> </w:t>
      </w:r>
      <w:r>
        <w:t xml:space="preserve">(e.g., a coded sample of S&amp;P 100 statements and policy changes from 2014–2025), or remain case-based but deeper within fewer industries?</w:t>
      </w:r>
      <w:r>
        <w:br/>
      </w:r>
      <w:r>
        <w:t xml:space="preserve">3) Do you want an explicit section distinguishing</w:t>
      </w:r>
      <w:r>
        <w:t xml:space="preserve"> </w:t>
      </w:r>
      <w:r>
        <w:rPr>
          <w:b/>
          <w:bCs/>
        </w:rPr>
        <w:t xml:space="preserve">symbolic actions</w:t>
      </w:r>
      <w:r>
        <w:t xml:space="preserve"> </w:t>
      </w:r>
      <w:r>
        <w:t xml:space="preserve">(statements, branding) from</w:t>
      </w:r>
      <w:r>
        <w:t xml:space="preserve"> </w:t>
      </w:r>
      <w:r>
        <w:rPr>
          <w:b/>
          <w:bCs/>
        </w:rPr>
        <w:t xml:space="preserve">high-cost commitments</w:t>
      </w:r>
      <w:r>
        <w:t xml:space="preserve"> </w:t>
      </w:r>
      <w:r>
        <w:t xml:space="preserve">(policy changes, capex decisions, litigation, governance rules), with a scoring rubric?</w:t>
      </w:r>
    </w:p>
    <w:bookmarkEnd w:id="72"/>
    <w:bookmarkEnd w:id="73"/>
    <w:bookmarkEnd w:id="74"/>
    <w:p>
      <w:r>
        <w:pict>
          <v:rect style="width:0;height:1.5pt" o:hralign="center" o:hrstd="t" o:hr="t"/>
        </w:pict>
      </w:r>
    </w:p>
    <w:bookmarkStart w:id="75"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[51]</w:t>
        </w:r>
      </w:hyperlink>
      <w:r>
        <w:t xml:space="preserve"> </w:t>
      </w:r>
      <w:r>
        <w:t xml:space="preserve">https://www.nafsa.org/about/about-nafsa/international-students-contribute-record-breaking-level-spending-and-378000-jobs</w:t>
      </w:r>
    </w:p>
    <w:p>
      <w:pPr>
        <w:pStyle w:val="BodyText"/>
      </w:pPr>
      <w:hyperlink r:id="rId22">
        <w:r>
          <w:rPr>
            <w:rStyle w:val="Hyperlink"/>
          </w:rPr>
          <w:t xml:space="preserve">https://www.nafsa.org/about/about-nafsa/international-students-contribute-record-breaking-level-spending-and-378000-jobs</w:t>
        </w:r>
      </w:hyperlink>
    </w:p>
    <w:p>
      <w:pPr>
        <w:pStyle w:val="BodyText"/>
      </w:pPr>
      <w:hyperlink r:id="rId23">
        <w:r>
          <w:rPr>
            <w:rStyle w:val="Hyperlink"/>
          </w:rPr>
          <w:t xml:space="preserve">[3]</w:t>
        </w:r>
      </w:hyperlink>
      <w:r>
        <w:t xml:space="preserve"> </w:t>
      </w:r>
      <w:hyperlink r:id="rId23">
        <w:r>
          <w:rPr>
            <w:rStyle w:val="Hyperlink"/>
          </w:rPr>
          <w:t xml:space="preserve">[22]</w:t>
        </w:r>
      </w:hyperlink>
      <w:r>
        <w:t xml:space="preserve"> </w:t>
      </w:r>
      <w:hyperlink r:id="rId23">
        <w:r>
          <w:rPr>
            <w:rStyle w:val="Hyperlink"/>
          </w:rPr>
          <w:t xml:space="preserve">[52]</w:t>
        </w:r>
      </w:hyperlink>
      <w:r>
        <w:t xml:space="preserve"> </w:t>
      </w:r>
      <w:hyperlink r:id="rId23">
        <w:r>
          <w:rPr>
            <w:rStyle w:val="Hyperlink"/>
          </w:rPr>
          <w:t xml:space="preserve">[66]</w:t>
        </w:r>
      </w:hyperlink>
      <w:r>
        <w:t xml:space="preserve"> </w:t>
      </w:r>
      <w:hyperlink r:id="rId23">
        <w:r>
          <w:rPr>
            <w:rStyle w:val="Hyperlink"/>
          </w:rPr>
          <w:t xml:space="preserve">[74]</w:t>
        </w:r>
      </w:hyperlink>
      <w:r>
        <w:t xml:space="preserve"> </w:t>
      </w:r>
      <w:r>
        <w:t xml:space="preserve">https://cdn.ca9.uscourts.gov/datastore/general/2017/04/21/17-15589%20Tech%20Companies%20Amicus.pdf</w:t>
      </w:r>
    </w:p>
    <w:p>
      <w:pPr>
        <w:pStyle w:val="BodyText"/>
      </w:pPr>
      <w:hyperlink r:id="rId23">
        <w:r>
          <w:rPr>
            <w:rStyle w:val="Hyperlink"/>
          </w:rPr>
          <w:t xml:space="preserve">https://cdn.ca9.uscourts.gov/datastore/general/2017/04/21/17-15589%20Tech%20Companies%20Amicus.pdf</w:t>
        </w:r>
      </w:hyperlink>
    </w:p>
    <w:p>
      <w:pPr>
        <w:pStyle w:val="BodyText"/>
      </w:pPr>
      <w:hyperlink r:id="rId24">
        <w:r>
          <w:rPr>
            <w:rStyle w:val="Hyperlink"/>
          </w:rPr>
          <w:t xml:space="preserve">[4]</w:t>
        </w:r>
      </w:hyperlink>
      <w:r>
        <w:t xml:space="preserve"> </w:t>
      </w:r>
      <w:r>
        <w:t xml:space="preserve">https://www.marxists.org/archive/marx/works/1848/communist-manifesto/ch01.htm</w:t>
      </w:r>
    </w:p>
    <w:p>
      <w:pPr>
        <w:pStyle w:val="BodyText"/>
      </w:pPr>
      <w:hyperlink r:id="rId24">
        <w:r>
          <w:rPr>
            <w:rStyle w:val="Hyperlink"/>
          </w:rPr>
          <w:t xml:space="preserve">https://www.marxists.org/archive/marx/works/1848/communist-manifesto/ch01.htm</w:t>
        </w:r>
      </w:hyperlink>
    </w:p>
    <w:p>
      <w:pPr>
        <w:pStyle w:val="BodyText"/>
      </w:pPr>
      <w:hyperlink r:id="rId25">
        <w:r>
          <w:rPr>
            <w:rStyle w:val="Hyperlink"/>
          </w:rPr>
          <w:t xml:space="preserve">[5]</w:t>
        </w:r>
      </w:hyperlink>
      <w:r>
        <w:t xml:space="preserve"> </w:t>
      </w:r>
      <w:hyperlink r:id="rId25">
        <w:r>
          <w:rPr>
            <w:rStyle w:val="Hyperlink"/>
          </w:rPr>
          <w:t xml:space="preserve">[24]</w:t>
        </w:r>
      </w:hyperlink>
      <w:r>
        <w:t xml:space="preserve"> </w:t>
      </w:r>
      <w:hyperlink r:id="rId25">
        <w:r>
          <w:rPr>
            <w:rStyle w:val="Hyperlink"/>
          </w:rPr>
          <w:t xml:space="preserve">[25]</w:t>
        </w:r>
      </w:hyperlink>
      <w:r>
        <w:t xml:space="preserve"> </w:t>
      </w:r>
      <w:r>
        <w:t xml:space="preserve">https://www.supremecourt.gov/DocketPDF/18/18-587/117794/20191002154056089_Apple%20Amicus%20Brief.pdf</w:t>
      </w:r>
    </w:p>
    <w:p>
      <w:pPr>
        <w:pStyle w:val="BodyText"/>
      </w:pPr>
      <w:hyperlink r:id="rId25">
        <w:r>
          <w:rPr>
            <w:rStyle w:val="Hyperlink"/>
          </w:rPr>
          <w:t xml:space="preserve">https://www.supremecourt.gov/DocketPDF/18/18-587/117794/20191002154056089_Apple%20Amicus%20Brief.pdf</w:t>
        </w:r>
      </w:hyperlink>
    </w:p>
    <w:p>
      <w:pPr>
        <w:pStyle w:val="BodyText"/>
      </w:pPr>
      <w:hyperlink r:id="rId26">
        <w:r>
          <w:rPr>
            <w:rStyle w:val="Hyperlink"/>
          </w:rPr>
          <w:t xml:space="preserve">[6]</w:t>
        </w:r>
      </w:hyperlink>
      <w:r>
        <w:t xml:space="preserve"> </w:t>
      </w:r>
      <w:r>
        <w:t xml:space="preserve">https://www.essentialscholars.org/sites/default/files/2022-12/essential-joseph-schumpeter-ch3.pdf</w:t>
      </w:r>
    </w:p>
    <w:p>
      <w:pPr>
        <w:pStyle w:val="BodyText"/>
      </w:pPr>
      <w:hyperlink r:id="rId26">
        <w:r>
          <w:rPr>
            <w:rStyle w:val="Hyperlink"/>
          </w:rPr>
          <w:t xml:space="preserve">https://www.essentialscholars.org/sites/default/files/2022-12/essential-joseph-schumpeter-ch3.pdf</w:t>
        </w:r>
      </w:hyperlink>
    </w:p>
    <w:p>
      <w:pPr>
        <w:pStyle w:val="BodyText"/>
      </w:pPr>
      <w:hyperlink r:id="rId27">
        <w:r>
          <w:rPr>
            <w:rStyle w:val="Hyperlink"/>
          </w:rPr>
          <w:t xml:space="preserve">[7]</w:t>
        </w:r>
      </w:hyperlink>
      <w:r>
        <w:t xml:space="preserve"> </w:t>
      </w:r>
      <w:hyperlink r:id="rId27">
        <w:r>
          <w:rPr>
            <w:rStyle w:val="Hyperlink"/>
          </w:rPr>
          <w:t xml:space="preserve">[69]</w:t>
        </w:r>
      </w:hyperlink>
      <w:r>
        <w:t xml:space="preserve"> </w:t>
      </w:r>
      <w:hyperlink r:id="rId27">
        <w:r>
          <w:rPr>
            <w:rStyle w:val="Hyperlink"/>
          </w:rPr>
          <w:t xml:space="preserve">[82]</w:t>
        </w:r>
      </w:hyperlink>
      <w:r>
        <w:t xml:space="preserve"> </w:t>
      </w:r>
      <w:r>
        <w:t xml:space="preserve">https://www.ft.com/content/c2320415-dcf6-4b69-acd4-3187507d762c</w:t>
      </w:r>
    </w:p>
    <w:p>
      <w:pPr>
        <w:pStyle w:val="BodyText"/>
      </w:pPr>
      <w:hyperlink r:id="rId27">
        <w:r>
          <w:rPr>
            <w:rStyle w:val="Hyperlink"/>
          </w:rPr>
          <w:t xml:space="preserve">https://www.ft.com/content/c2320415-dcf6-4b69-acd4-3187507d762c</w:t>
        </w:r>
      </w:hyperlink>
    </w:p>
    <w:p>
      <w:pPr>
        <w:pStyle w:val="BodyText"/>
      </w:pPr>
      <w:hyperlink r:id="rId28">
        <w:r>
          <w:rPr>
            <w:rStyle w:val="Hyperlink"/>
          </w:rPr>
          <w:t xml:space="preserve">[8]</w:t>
        </w:r>
      </w:hyperlink>
      <w:r>
        <w:t xml:space="preserve"> </w:t>
      </w:r>
      <w:r>
        <w:t xml:space="preserve">https://cooperative-individualism.org/bell-daniel_the-cultural-contradictions-of-capitalism-1972-jan-apr.pdf</w:t>
      </w:r>
    </w:p>
    <w:p>
      <w:pPr>
        <w:pStyle w:val="BodyText"/>
      </w:pPr>
      <w:hyperlink r:id="rId28">
        <w:r>
          <w:rPr>
            <w:rStyle w:val="Hyperlink"/>
          </w:rPr>
          <w:t xml:space="preserve">https://cooperative-individualism.org/bell-daniel_the-cultural-contradictions-of-capitalism-1972-jan-apr.pdf</w:t>
        </w:r>
      </w:hyperlink>
    </w:p>
    <w:p>
      <w:pPr>
        <w:pStyle w:val="BodyText"/>
      </w:pPr>
      <w:hyperlink r:id="rId29">
        <w:r>
          <w:rPr>
            <w:rStyle w:val="Hyperlink"/>
          </w:rPr>
          <w:t xml:space="preserve">[9]</w:t>
        </w:r>
      </w:hyperlink>
      <w:r>
        <w:t xml:space="preserve"> </w:t>
      </w:r>
      <w:hyperlink r:id="rId29">
        <w:r>
          <w:rPr>
            <w:rStyle w:val="Hyperlink"/>
          </w:rPr>
          <w:t xml:space="preserve">[19]</w:t>
        </w:r>
      </w:hyperlink>
      <w:r>
        <w:t xml:space="preserve"> </w:t>
      </w:r>
      <w:hyperlink r:id="rId29">
        <w:r>
          <w:rPr>
            <w:rStyle w:val="Hyperlink"/>
          </w:rPr>
          <w:t xml:space="preserve">[38]</w:t>
        </w:r>
      </w:hyperlink>
      <w:r>
        <w:t xml:space="preserve"> </w:t>
      </w:r>
      <w:hyperlink r:id="rId29">
        <w:r>
          <w:rPr>
            <w:rStyle w:val="Hyperlink"/>
          </w:rPr>
          <w:t xml:space="preserve">[53]</w:t>
        </w:r>
      </w:hyperlink>
      <w:r>
        <w:t xml:space="preserve"> </w:t>
      </w:r>
      <w:hyperlink r:id="rId29">
        <w:r>
          <w:rPr>
            <w:rStyle w:val="Hyperlink"/>
          </w:rPr>
          <w:t xml:space="preserve">[54]</w:t>
        </w:r>
      </w:hyperlink>
      <w:r>
        <w:t xml:space="preserve"> </w:t>
      </w:r>
      <w:r>
        <w:t xml:space="preserve">https://hrc-prod-requests.s3-us-west-2.amazonaws.com/resources/2025-01-TLF-January-2025-CEI-Update-The-Look-Forward.pdf</w:t>
      </w:r>
    </w:p>
    <w:p>
      <w:pPr>
        <w:pStyle w:val="BodyText"/>
      </w:pPr>
      <w:hyperlink r:id="rId29">
        <w:r>
          <w:rPr>
            <w:rStyle w:val="Hyperlink"/>
          </w:rPr>
          <w:t xml:space="preserve">https://hrc-prod-requests.s3-us-west-2.amazonaws.com/resources/2025-01-TLF-January-2025-CEI-Update-The-Look-Forward.pdf</w:t>
        </w:r>
      </w:hyperlink>
    </w:p>
    <w:p>
      <w:pPr>
        <w:pStyle w:val="BodyText"/>
      </w:pPr>
      <w:hyperlink r:id="rId30">
        <w:r>
          <w:rPr>
            <w:rStyle w:val="Hyperlink"/>
          </w:rPr>
          <w:t xml:space="preserve">[10]</w:t>
        </w:r>
      </w:hyperlink>
      <w:r>
        <w:t xml:space="preserve"> </w:t>
      </w:r>
      <w:hyperlink r:id="rId30">
        <w:r>
          <w:rPr>
            <w:rStyle w:val="Hyperlink"/>
          </w:rPr>
          <w:t xml:space="preserve">[21]</w:t>
        </w:r>
      </w:hyperlink>
      <w:r>
        <w:t xml:space="preserve"> </w:t>
      </w:r>
      <w:r>
        <w:t xml:space="preserve">From Progressive Neoliberalism to Trump—and Beyond - American Affairs Journal</w:t>
      </w:r>
    </w:p>
    <w:p>
      <w:pPr>
        <w:pStyle w:val="BodyText"/>
      </w:pPr>
      <w:hyperlink r:id="rId30">
        <w:r>
          <w:rPr>
            <w:rStyle w:val="Hyperlink"/>
          </w:rPr>
          <w:t xml:space="preserve">https://americanaffairsjournal.org/2017/11/progressive-neoliberalism-trump-beyond/</w:t>
        </w:r>
      </w:hyperlink>
    </w:p>
    <w:p>
      <w:pPr>
        <w:pStyle w:val="BodyText"/>
      </w:pPr>
      <w:hyperlink r:id="rId31">
        <w:r>
          <w:rPr>
            <w:rStyle w:val="Hyperlink"/>
          </w:rPr>
          <w:t xml:space="preserve">[11]</w:t>
        </w:r>
      </w:hyperlink>
      <w:r>
        <w:t xml:space="preserve"> </w:t>
      </w:r>
      <w:hyperlink r:id="rId31">
        <w:r>
          <w:rPr>
            <w:rStyle w:val="Hyperlink"/>
          </w:rPr>
          <w:t xml:space="preserve">[49]</w:t>
        </w:r>
      </w:hyperlink>
      <w:r>
        <w:t xml:space="preserve"> </w:t>
      </w:r>
      <w:hyperlink r:id="rId31">
        <w:r>
          <w:rPr>
            <w:rStyle w:val="Hyperlink"/>
          </w:rPr>
          <w:t xml:space="preserve">[59]</w:t>
        </w:r>
      </w:hyperlink>
      <w:r>
        <w:t xml:space="preserve"> </w:t>
      </w:r>
      <w:r>
        <w:t xml:space="preserve">https://www.presidentsalliance.org/press/165-universities-and-colleges-file-amicus-brief-urging-supreme-court-to-protect-daca/</w:t>
      </w:r>
    </w:p>
    <w:p>
      <w:pPr>
        <w:pStyle w:val="BodyText"/>
      </w:pPr>
      <w:hyperlink r:id="rId31">
        <w:r>
          <w:rPr>
            <w:rStyle w:val="Hyperlink"/>
          </w:rPr>
          <w:t xml:space="preserve">https://www.presidentsalliance.org/press/165-universities-and-colleges-file-amicus-brief-urging-supreme-court-to-protect-daca/</w:t>
        </w:r>
      </w:hyperlink>
    </w:p>
    <w:p>
      <w:pPr>
        <w:pStyle w:val="BodyText"/>
      </w:pPr>
      <w:hyperlink r:id="rId32">
        <w:r>
          <w:rPr>
            <w:rStyle w:val="Hyperlink"/>
          </w:rPr>
          <w:t xml:space="preserve">[12]</w:t>
        </w:r>
      </w:hyperlink>
      <w:r>
        <w:t xml:space="preserve"> </w:t>
      </w:r>
      <w:hyperlink r:id="rId32">
        <w:r>
          <w:rPr>
            <w:rStyle w:val="Hyperlink"/>
          </w:rPr>
          <w:t xml:space="preserve">[32]</w:t>
        </w:r>
      </w:hyperlink>
      <w:r>
        <w:t xml:space="preserve"> </w:t>
      </w:r>
      <w:hyperlink r:id="rId32">
        <w:r>
          <w:rPr>
            <w:rStyle w:val="Hyperlink"/>
          </w:rPr>
          <w:t xml:space="preserve">[35]</w:t>
        </w:r>
      </w:hyperlink>
      <w:r>
        <w:t xml:space="preserve"> </w:t>
      </w:r>
      <w:r>
        <w:t xml:space="preserve">Reaffirming Our Commitment to Combating Inequity</w:t>
      </w:r>
    </w:p>
    <w:p>
      <w:pPr>
        <w:pStyle w:val="BodyText"/>
      </w:pPr>
      <w:hyperlink r:id="rId32">
        <w:r>
          <w:rPr>
            <w:rStyle w:val="Hyperlink"/>
          </w:rPr>
          <w:t xml:space="preserve">https://www.pr-newsroom-wp.appspot.com/2021-04-27/reaffirming-our-commitment-to-combating-inequity/?utm_source=chatgpt.com</w:t>
        </w:r>
      </w:hyperlink>
    </w:p>
    <w:p>
      <w:pPr>
        <w:pStyle w:val="BodyText"/>
      </w:pPr>
      <w:hyperlink r:id="rId33">
        <w:r>
          <w:rPr>
            <w:rStyle w:val="Hyperlink"/>
          </w:rPr>
          <w:t xml:space="preserve">[13]</w:t>
        </w:r>
      </w:hyperlink>
      <w:r>
        <w:t xml:space="preserve"> </w:t>
      </w:r>
      <w:r>
        <w:t xml:space="preserve">biblioweb.sindominio.net</w:t>
      </w:r>
    </w:p>
    <w:p>
      <w:pPr>
        <w:pStyle w:val="BodyText"/>
      </w:pPr>
      <w:hyperlink r:id="rId33">
        <w:r>
          <w:rPr>
            <w:rStyle w:val="Hyperlink"/>
          </w:rPr>
          <w:t xml:space="preserve">https://biblioweb.sindominio.net/pensamiento/boltanski/boltanski.pdf</w:t>
        </w:r>
      </w:hyperlink>
    </w:p>
    <w:p>
      <w:pPr>
        <w:pStyle w:val="BodyText"/>
      </w:pPr>
      <w:hyperlink r:id="rId34">
        <w:r>
          <w:rPr>
            <w:rStyle w:val="Hyperlink"/>
          </w:rPr>
          <w:t xml:space="preserve">[14]</w:t>
        </w:r>
      </w:hyperlink>
      <w:r>
        <w:t xml:space="preserve"> </w:t>
      </w:r>
      <w:hyperlink r:id="rId34">
        <w:r>
          <w:rPr>
            <w:rStyle w:val="Hyperlink"/>
          </w:rPr>
          <w:t xml:space="preserve">[15]</w:t>
        </w:r>
      </w:hyperlink>
      <w:r>
        <w:t xml:space="preserve"> </w:t>
      </w:r>
      <w:hyperlink r:id="rId34">
        <w:r>
          <w:rPr>
            <w:rStyle w:val="Hyperlink"/>
          </w:rPr>
          <w:t xml:space="preserve">[61]</w:t>
        </w:r>
      </w:hyperlink>
      <w:r>
        <w:t xml:space="preserve"> </w:t>
      </w:r>
      <w:hyperlink r:id="rId34">
        <w:r>
          <w:rPr>
            <w:rStyle w:val="Hyperlink"/>
          </w:rPr>
          <w:t xml:space="preserve">[72]</w:t>
        </w:r>
      </w:hyperlink>
      <w:r>
        <w:t xml:space="preserve"> </w:t>
      </w:r>
      <w:hyperlink r:id="rId34">
        <w:r>
          <w:rPr>
            <w:rStyle w:val="Hyperlink"/>
          </w:rPr>
          <w:t xml:space="preserve">[79]</w:t>
        </w:r>
      </w:hyperlink>
      <w:r>
        <w:t xml:space="preserve"> </w:t>
      </w:r>
      <w:r>
        <w:t xml:space="preserve">https://sblog.s3.amazonaws.com/wp-content/uploads/2015/03/14-556tsac379EmployersandOrganizations.pdf</w:t>
      </w:r>
    </w:p>
    <w:p>
      <w:pPr>
        <w:pStyle w:val="BodyText"/>
      </w:pPr>
      <w:hyperlink r:id="rId34">
        <w:r>
          <w:rPr>
            <w:rStyle w:val="Hyperlink"/>
          </w:rPr>
          <w:t xml:space="preserve">https://sblog.s3.amazonaws.com/wp-content/uploads/2015/03/14-556tsac379EmployersandOrganizations.pdf</w:t>
        </w:r>
      </w:hyperlink>
    </w:p>
    <w:p>
      <w:pPr>
        <w:pStyle w:val="BodyText"/>
      </w:pPr>
      <w:hyperlink r:id="rId35">
        <w:r>
          <w:rPr>
            <w:rStyle w:val="Hyperlink"/>
          </w:rPr>
          <w:t xml:space="preserve">[16]</w:t>
        </w:r>
      </w:hyperlink>
      <w:r>
        <w:t xml:space="preserve"> </w:t>
      </w:r>
      <w:hyperlink r:id="rId35">
        <w:r>
          <w:rPr>
            <w:rStyle w:val="Hyperlink"/>
          </w:rPr>
          <w:t xml:space="preserve">[29]</w:t>
        </w:r>
      </w:hyperlink>
      <w:r>
        <w:t xml:space="preserve"> </w:t>
      </w:r>
      <w:hyperlink r:id="rId35">
        <w:r>
          <w:rPr>
            <w:rStyle w:val="Hyperlink"/>
          </w:rPr>
          <w:t xml:space="preserve">[78]</w:t>
        </w:r>
      </w:hyperlink>
      <w:r>
        <w:t xml:space="preserve"> </w:t>
      </w:r>
      <w:r>
        <w:t xml:space="preserve">https://www.supremecourt.gov/DocketPDF/17/17-1618/106953/20190703115551379_2019.07.03%20-%20Amicus%20Brief%20of%20206%20Businesses%20in%20Support%20of%20Employees.pdf</w:t>
      </w:r>
    </w:p>
    <w:p>
      <w:pPr>
        <w:pStyle w:val="BodyText"/>
      </w:pPr>
      <w:hyperlink r:id="rId35">
        <w:r>
          <w:rPr>
            <w:rStyle w:val="Hyperlink"/>
          </w:rPr>
          <w:t xml:space="preserve">https://www.supremecourt.gov/DocketPDF/17/17-1618/106953/20190703115551379_2019.07.03%20-%20Amicus%20Brief%20of%20206%20Businesses%20in%20Support%20of%20Employees.pdf</w:t>
        </w:r>
      </w:hyperlink>
    </w:p>
    <w:p>
      <w:pPr>
        <w:pStyle w:val="BodyText"/>
      </w:pPr>
      <w:hyperlink r:id="rId36">
        <w:r>
          <w:rPr>
            <w:rStyle w:val="Hyperlink"/>
          </w:rPr>
          <w:t xml:space="preserve">[17]</w:t>
        </w:r>
      </w:hyperlink>
      <w:r>
        <w:t xml:space="preserve"> </w:t>
      </w:r>
      <w:hyperlink r:id="rId36">
        <w:r>
          <w:rPr>
            <w:rStyle w:val="Hyperlink"/>
          </w:rPr>
          <w:t xml:space="preserve">[23]</w:t>
        </w:r>
      </w:hyperlink>
      <w:r>
        <w:t xml:space="preserve"> </w:t>
      </w:r>
      <w:hyperlink r:id="rId36">
        <w:r>
          <w:rPr>
            <w:rStyle w:val="Hyperlink"/>
          </w:rPr>
          <w:t xml:space="preserve">[26]</w:t>
        </w:r>
      </w:hyperlink>
      <w:r>
        <w:t xml:space="preserve"> </w:t>
      </w:r>
      <w:hyperlink r:id="rId36">
        <w:r>
          <w:rPr>
            <w:rStyle w:val="Hyperlink"/>
          </w:rPr>
          <w:t xml:space="preserve">[62]</w:t>
        </w:r>
      </w:hyperlink>
      <w:r>
        <w:t xml:space="preserve"> </w:t>
      </w:r>
      <w:hyperlink r:id="rId36">
        <w:r>
          <w:rPr>
            <w:rStyle w:val="Hyperlink"/>
          </w:rPr>
          <w:t xml:space="preserve">[64]</w:t>
        </w:r>
      </w:hyperlink>
      <w:r>
        <w:t xml:space="preserve"> </w:t>
      </w:r>
      <w:hyperlink r:id="rId36">
        <w:r>
          <w:rPr>
            <w:rStyle w:val="Hyperlink"/>
          </w:rPr>
          <w:t xml:space="preserve">[65]</w:t>
        </w:r>
      </w:hyperlink>
      <w:r>
        <w:t xml:space="preserve"> </w:t>
      </w:r>
      <w:r>
        <w:t xml:space="preserve">https://www.edelman.com/sites/g/files/aatuss191/files/2020-01/2020%20Edelman%20Trust%20Barometer%20Executive%20Summary_Single%20Spread%20without%20Crops.pdf</w:t>
      </w:r>
    </w:p>
    <w:p>
      <w:pPr>
        <w:pStyle w:val="BodyText"/>
      </w:pPr>
      <w:hyperlink r:id="rId36">
        <w:r>
          <w:rPr>
            <w:rStyle w:val="Hyperlink"/>
          </w:rPr>
          <w:t xml:space="preserve">https://www.edelman.com/sites/g/files/aatuss191/files/2020-01/2020%20Edelman%20Trust%20Barometer%20Executive%20Summary_Single%20Spread%20without%20Crops.pdf</w:t>
        </w:r>
      </w:hyperlink>
    </w:p>
    <w:p>
      <w:pPr>
        <w:pStyle w:val="BodyText"/>
      </w:pPr>
      <w:hyperlink r:id="rId37">
        <w:r>
          <w:rPr>
            <w:rStyle w:val="Hyperlink"/>
          </w:rPr>
          <w:t xml:space="preserve">[18]</w:t>
        </w:r>
      </w:hyperlink>
      <w:r>
        <w:t xml:space="preserve"> </w:t>
      </w:r>
      <w:r>
        <w:t xml:space="preserve">JPMorgan makes changes to its diversity programs, memo says</w:t>
      </w:r>
    </w:p>
    <w:p>
      <w:pPr>
        <w:pStyle w:val="BodyText"/>
      </w:pPr>
      <w:hyperlink r:id="rId37">
        <w:r>
          <w:rPr>
            <w:rStyle w:val="Hyperlink"/>
          </w:rPr>
          <w:t xml:space="preserve">https://www.reuters.com/business/finance/jpmorgan-makes-changes-its-diversity-programs-memo-says-2025-03-21/?utm_source=chatgpt.com</w:t>
        </w:r>
      </w:hyperlink>
    </w:p>
    <w:p>
      <w:pPr>
        <w:pStyle w:val="BodyText"/>
      </w:pPr>
      <w:hyperlink r:id="rId38">
        <w:r>
          <w:rPr>
            <w:rStyle w:val="Hyperlink"/>
          </w:rPr>
          <w:t xml:space="preserve">[20]</w:t>
        </w:r>
      </w:hyperlink>
      <w:r>
        <w:t xml:space="preserve"> </w:t>
      </w:r>
      <w:hyperlink r:id="rId38">
        <w:r>
          <w:rPr>
            <w:rStyle w:val="Hyperlink"/>
          </w:rPr>
          <w:t xml:space="preserve">[60]</w:t>
        </w:r>
      </w:hyperlink>
      <w:r>
        <w:t xml:space="preserve"> </w:t>
      </w:r>
      <w:r>
        <w:t xml:space="preserve">https://fortune.com/2024/09/17/ford-harley-lowes-human-rights-campaign-lgbtq-rights-diversity-backlash/</w:t>
      </w:r>
    </w:p>
    <w:p>
      <w:pPr>
        <w:pStyle w:val="BodyText"/>
      </w:pPr>
      <w:hyperlink r:id="rId38">
        <w:r>
          <w:rPr>
            <w:rStyle w:val="Hyperlink"/>
          </w:rPr>
          <w:t xml:space="preserve">https://fortune.com/2024/09/17/ford-harley-lowes-human-rights-campaign-lgbtq-rights-diversity-backlash/</w:t>
        </w:r>
      </w:hyperlink>
    </w:p>
    <w:p>
      <w:pPr>
        <w:pStyle w:val="BodyText"/>
      </w:pPr>
      <w:hyperlink r:id="rId41">
        <w:r>
          <w:rPr>
            <w:rStyle w:val="Hyperlink"/>
          </w:rPr>
          <w:t xml:space="preserve">[27]</w:t>
        </w:r>
      </w:hyperlink>
      <w:r>
        <w:t xml:space="preserve"> </w:t>
      </w:r>
      <w:hyperlink r:id="rId41">
        <w:r>
          <w:rPr>
            <w:rStyle w:val="Hyperlink"/>
          </w:rPr>
          <w:t xml:space="preserve">[55]</w:t>
        </w:r>
      </w:hyperlink>
      <w:r>
        <w:t xml:space="preserve"> </w:t>
      </w:r>
      <w:r>
        <w:t xml:space="preserve">https://corporate.target.com/press/statement/2023/05/target-statement-on-2023-pride-collection</w:t>
      </w:r>
    </w:p>
    <w:p>
      <w:pPr>
        <w:pStyle w:val="BodyText"/>
      </w:pPr>
      <w:hyperlink r:id="rId41">
        <w:r>
          <w:rPr>
            <w:rStyle w:val="Hyperlink"/>
          </w:rPr>
          <w:t xml:space="preserve">https://corporate.target.com/press/statement/2023/05/target-statement-on-2023-pride-collection</w:t>
        </w:r>
      </w:hyperlink>
    </w:p>
    <w:p>
      <w:pPr>
        <w:pStyle w:val="BodyText"/>
      </w:pPr>
      <w:hyperlink r:id="rId42">
        <w:r>
          <w:rPr>
            <w:rStyle w:val="Hyperlink"/>
          </w:rPr>
          <w:t xml:space="preserve">[28]</w:t>
        </w:r>
      </w:hyperlink>
      <w:r>
        <w:t xml:space="preserve"> </w:t>
      </w:r>
      <w:hyperlink r:id="rId42">
        <w:r>
          <w:rPr>
            <w:rStyle w:val="Hyperlink"/>
          </w:rPr>
          <w:t xml:space="preserve">[45]</w:t>
        </w:r>
      </w:hyperlink>
      <w:r>
        <w:t xml:space="preserve"> </w:t>
      </w:r>
      <w:hyperlink r:id="rId42">
        <w:r>
          <w:rPr>
            <w:rStyle w:val="Hyperlink"/>
          </w:rPr>
          <w:t xml:space="preserve">[47]</w:t>
        </w:r>
      </w:hyperlink>
      <w:r>
        <w:t xml:space="preserve"> </w:t>
      </w:r>
      <w:r>
        <w:t xml:space="preserve">Target sees profit boost on fewer discounts, Pride backlash ...</w:t>
      </w:r>
    </w:p>
    <w:p>
      <w:pPr>
        <w:pStyle w:val="BodyText"/>
      </w:pPr>
      <w:hyperlink r:id="rId42">
        <w:r>
          <w:rPr>
            <w:rStyle w:val="Hyperlink"/>
          </w:rPr>
          <w:t xml:space="preserve">https://www.reuters.com/business/retail-consumer/target-cuts-annual-forecasts-americans-hold-back-non-essential-spending-2023-08-16/?utm_source=chatgpt.com</w:t>
        </w:r>
      </w:hyperlink>
    </w:p>
    <w:p>
      <w:pPr>
        <w:pStyle w:val="BodyText"/>
      </w:pPr>
      <w:hyperlink r:id="rId43">
        <w:r>
          <w:rPr>
            <w:rStyle w:val="Hyperlink"/>
          </w:rPr>
          <w:t xml:space="preserve">[30]</w:t>
        </w:r>
      </w:hyperlink>
      <w:r>
        <w:t xml:space="preserve"> </w:t>
      </w:r>
      <w:r>
        <w:t xml:space="preserve">Poll: Nike favorability plummets with Kaepernick campaign</w:t>
      </w:r>
    </w:p>
    <w:p>
      <w:pPr>
        <w:pStyle w:val="BodyText"/>
      </w:pPr>
      <w:hyperlink r:id="rId43">
        <w:r>
          <w:rPr>
            <w:rStyle w:val="Hyperlink"/>
          </w:rPr>
          <w:t xml:space="preserve">https://www.axios.com/2018/09/06/nike-favorability-consumers-colin-kaepernick-campaign?utm_source=chatgpt.com</w:t>
        </w:r>
      </w:hyperlink>
    </w:p>
    <w:p>
      <w:pPr>
        <w:pStyle w:val="BodyText"/>
      </w:pPr>
      <w:hyperlink r:id="rId44">
        <w:r>
          <w:rPr>
            <w:rStyle w:val="Hyperlink"/>
          </w:rPr>
          <w:t xml:space="preserve">[31]</w:t>
        </w:r>
      </w:hyperlink>
      <w:r>
        <w:t xml:space="preserve"> </w:t>
      </w:r>
      <w:hyperlink r:id="rId44">
        <w:r>
          <w:rPr>
            <w:rStyle w:val="Hyperlink"/>
          </w:rPr>
          <w:t xml:space="preserve">[80]</w:t>
        </w:r>
      </w:hyperlink>
      <w:r>
        <w:t xml:space="preserve"> </w:t>
      </w:r>
      <w:r>
        <w:t xml:space="preserve">Nike's Kaepernick ad spurs spike in sold-out items</w:t>
      </w:r>
    </w:p>
    <w:p>
      <w:pPr>
        <w:pStyle w:val="BodyText"/>
      </w:pPr>
      <w:hyperlink r:id="rId44">
        <w:r>
          <w:rPr>
            <w:rStyle w:val="Hyperlink"/>
          </w:rPr>
          <w:t xml:space="preserve">https://www.reuters.com/article/sports/nikes-kaepernick-ad-spurs-spike-in-sold-out-items-idUSKCN1LZ2G5/?utm_source=chatgpt.com</w:t>
        </w:r>
      </w:hyperlink>
    </w:p>
    <w:p>
      <w:pPr>
        <w:pStyle w:val="BodyText"/>
      </w:pPr>
      <w:hyperlink r:id="rId45">
        <w:r>
          <w:rPr>
            <w:rStyle w:val="Hyperlink"/>
          </w:rPr>
          <w:t xml:space="preserve">[33]</w:t>
        </w:r>
      </w:hyperlink>
      <w:r>
        <w:t xml:space="preserve"> </w:t>
      </w:r>
      <w:r>
        <w:t xml:space="preserve">https://thewaltdisneycompany.eu/the-walt-disney-company-reinforces-its-commitment-to-use-its-broad-global-reach-and-unique-platforms-to-promote-social-responsibility/</w:t>
      </w:r>
    </w:p>
    <w:p>
      <w:pPr>
        <w:pStyle w:val="BodyText"/>
      </w:pPr>
      <w:hyperlink r:id="rId45">
        <w:r>
          <w:rPr>
            <w:rStyle w:val="Hyperlink"/>
          </w:rPr>
          <w:t xml:space="preserve">https://thewaltdisneycompany.eu/the-walt-disney-company-reinforces-its-commitment-to-use-its-broad-global-reach-and-unique-platforms-to-promote-social-responsibility/</w:t>
        </w:r>
      </w:hyperlink>
    </w:p>
    <w:p>
      <w:pPr>
        <w:pStyle w:val="BodyText"/>
      </w:pPr>
      <w:hyperlink r:id="rId46">
        <w:r>
          <w:rPr>
            <w:rStyle w:val="Hyperlink"/>
          </w:rPr>
          <w:t xml:space="preserve">[34]</w:t>
        </w:r>
      </w:hyperlink>
      <w:r>
        <w:t xml:space="preserve"> </w:t>
      </w:r>
      <w:r>
        <w:t xml:space="preserve">https://www.reuters.com/business/media-telecom/disney-is-making-changes-its-diversity-inclusion-programs-axios-reports-2025-02-11/</w:t>
      </w:r>
    </w:p>
    <w:p>
      <w:pPr>
        <w:pStyle w:val="BodyText"/>
      </w:pPr>
      <w:hyperlink r:id="rId46">
        <w:r>
          <w:rPr>
            <w:rStyle w:val="Hyperlink"/>
          </w:rPr>
          <w:t xml:space="preserve">https://www.reuters.com/business/media-telecom/disney-is-making-changes-its-diversity-inclusion-programs-axios-reports-2025-02-11/</w:t>
        </w:r>
      </w:hyperlink>
    </w:p>
    <w:p>
      <w:pPr>
        <w:pStyle w:val="BodyText"/>
      </w:pPr>
      <w:hyperlink r:id="rId47">
        <w:r>
          <w:rPr>
            <w:rStyle w:val="Hyperlink"/>
          </w:rPr>
          <w:t xml:space="preserve">[36]</w:t>
        </w:r>
      </w:hyperlink>
      <w:r>
        <w:t xml:space="preserve"> </w:t>
      </w:r>
      <w:r>
        <w:t xml:space="preserve">https://www.forbes.com/sites/rebeccabellan/2020/06/17/netflix-ceo-reed-hastings-donates-120-million-to-historically-black-universities/</w:t>
      </w:r>
    </w:p>
    <w:p>
      <w:pPr>
        <w:pStyle w:val="BodyText"/>
      </w:pPr>
      <w:hyperlink r:id="rId47">
        <w:r>
          <w:rPr>
            <w:rStyle w:val="Hyperlink"/>
          </w:rPr>
          <w:t xml:space="preserve">https://www.forbes.com/sites/rebeccabellan/2020/06/17/netflix-ceo-reed-hastings-donates-120-million-to-historically-black-universities/</w:t>
        </w:r>
      </w:hyperlink>
    </w:p>
    <w:p>
      <w:pPr>
        <w:pStyle w:val="BodyText"/>
      </w:pPr>
      <w:hyperlink r:id="rId48">
        <w:r>
          <w:rPr>
            <w:rStyle w:val="Hyperlink"/>
          </w:rPr>
          <w:t xml:space="preserve">[37]</w:t>
        </w:r>
      </w:hyperlink>
      <w:r>
        <w:t xml:space="preserve"> </w:t>
      </w:r>
      <w:hyperlink r:id="rId48">
        <w:r>
          <w:rPr>
            <w:rStyle w:val="Hyperlink"/>
          </w:rPr>
          <w:t xml:space="preserve">[41]</w:t>
        </w:r>
      </w:hyperlink>
      <w:r>
        <w:t xml:space="preserve"> </w:t>
      </w:r>
      <w:hyperlink r:id="rId48">
        <w:r>
          <w:rPr>
            <w:rStyle w:val="Hyperlink"/>
          </w:rPr>
          <w:t xml:space="preserve">[42]</w:t>
        </w:r>
      </w:hyperlink>
      <w:r>
        <w:t xml:space="preserve"> </w:t>
      </w:r>
      <w:hyperlink r:id="rId48">
        <w:r>
          <w:rPr>
            <w:rStyle w:val="Hyperlink"/>
          </w:rPr>
          <w:t xml:space="preserve">[67]</w:t>
        </w:r>
      </w:hyperlink>
      <w:r>
        <w:t xml:space="preserve"> </w:t>
      </w:r>
      <w:hyperlink r:id="rId48">
        <w:r>
          <w:rPr>
            <w:rStyle w:val="Hyperlink"/>
          </w:rPr>
          <w:t xml:space="preserve">[76]</w:t>
        </w:r>
      </w:hyperlink>
      <w:r>
        <w:t xml:space="preserve"> </w:t>
      </w:r>
      <w:r>
        <w:t xml:space="preserve">Larry Fink's Letter to CEOs | BlackRock</w:t>
      </w:r>
    </w:p>
    <w:p>
      <w:pPr>
        <w:pStyle w:val="BodyText"/>
      </w:pPr>
      <w:hyperlink r:id="rId48">
        <w:r>
          <w:rPr>
            <w:rStyle w:val="Hyperlink"/>
          </w:rPr>
          <w:t xml:space="preserve">https://www.blackrock.com/corporate/investor-relations/2020-larry-fink-ceo-letter</w:t>
        </w:r>
      </w:hyperlink>
    </w:p>
    <w:p>
      <w:pPr>
        <w:pStyle w:val="BodyText"/>
      </w:pPr>
      <w:hyperlink r:id="rId49">
        <w:r>
          <w:rPr>
            <w:rStyle w:val="Hyperlink"/>
          </w:rPr>
          <w:t xml:space="preserve">[39]</w:t>
        </w:r>
      </w:hyperlink>
      <w:r>
        <w:t xml:space="preserve"> </w:t>
      </w:r>
      <w:r>
        <w:t xml:space="preserve">https://www.nasdaq.com/press-release/nasdaq-to-advance-diversity-through-new-proposed-listing-requirements-2020-12-01</w:t>
      </w:r>
    </w:p>
    <w:p>
      <w:pPr>
        <w:pStyle w:val="BodyText"/>
      </w:pPr>
      <w:hyperlink r:id="rId49">
        <w:r>
          <w:rPr>
            <w:rStyle w:val="Hyperlink"/>
          </w:rPr>
          <w:t xml:space="preserve">https://www.nasdaq.com/press-release/nasdaq-to-advance-diversity-through-new-proposed-listing-requirements-2020-12-01</w:t>
        </w:r>
      </w:hyperlink>
    </w:p>
    <w:p>
      <w:pPr>
        <w:pStyle w:val="BodyText"/>
      </w:pPr>
      <w:hyperlink r:id="rId50">
        <w:r>
          <w:rPr>
            <w:rStyle w:val="Hyperlink"/>
          </w:rPr>
          <w:t xml:space="preserve">[40]</w:t>
        </w:r>
      </w:hyperlink>
      <w:r>
        <w:t xml:space="preserve"> </w:t>
      </w:r>
      <w:hyperlink r:id="rId50">
        <w:r>
          <w:rPr>
            <w:rStyle w:val="Hyperlink"/>
          </w:rPr>
          <w:t xml:space="preserve">[57]</w:t>
        </w:r>
      </w:hyperlink>
      <w:r>
        <w:t xml:space="preserve"> </w:t>
      </w:r>
      <w:r>
        <w:t xml:space="preserve">https://apnews.com/article/a3b8803a646a62aeb2733bbd4603e670</w:t>
      </w:r>
    </w:p>
    <w:p>
      <w:pPr>
        <w:pStyle w:val="BodyText"/>
      </w:pPr>
      <w:hyperlink r:id="rId50">
        <w:r>
          <w:rPr>
            <w:rStyle w:val="Hyperlink"/>
          </w:rPr>
          <w:t xml:space="preserve">https://apnews.com/article/a3b8803a646a62aeb2733bbd4603e670</w:t>
        </w:r>
      </w:hyperlink>
    </w:p>
    <w:p>
      <w:pPr>
        <w:pStyle w:val="BodyText"/>
      </w:pPr>
      <w:hyperlink r:id="rId51">
        <w:r>
          <w:rPr>
            <w:rStyle w:val="Hyperlink"/>
          </w:rPr>
          <w:t xml:space="preserve">[43]</w:t>
        </w:r>
      </w:hyperlink>
      <w:r>
        <w:t xml:space="preserve"> </w:t>
      </w:r>
      <w:hyperlink r:id="rId51">
        <w:r>
          <w:rPr>
            <w:rStyle w:val="Hyperlink"/>
          </w:rPr>
          <w:t xml:space="preserve">[73]</w:t>
        </w:r>
      </w:hyperlink>
      <w:r>
        <w:t xml:space="preserve"> </w:t>
      </w:r>
      <w:r>
        <w:t xml:space="preserve">Burwell v. Hobby Lobby Stores, Inc. | 573 U.S. 682 (2014)</w:t>
      </w:r>
    </w:p>
    <w:p>
      <w:pPr>
        <w:pStyle w:val="BodyText"/>
      </w:pPr>
      <w:hyperlink r:id="rId51">
        <w:r>
          <w:rPr>
            <w:rStyle w:val="Hyperlink"/>
          </w:rPr>
          <w:t xml:space="preserve">https://supreme.justia.com/cases/federal/us/573/682/?utm_source=chatgpt.com</w:t>
        </w:r>
      </w:hyperlink>
    </w:p>
    <w:p>
      <w:pPr>
        <w:pStyle w:val="BodyText"/>
      </w:pPr>
      <w:hyperlink r:id="rId52">
        <w:r>
          <w:rPr>
            <w:rStyle w:val="Hyperlink"/>
          </w:rPr>
          <w:t xml:space="preserve">[44]</w:t>
        </w:r>
      </w:hyperlink>
      <w:r>
        <w:t xml:space="preserve"> </w:t>
      </w:r>
      <w:hyperlink r:id="rId52">
        <w:r>
          <w:rPr>
            <w:rStyle w:val="Hyperlink"/>
          </w:rPr>
          <w:t xml:space="preserve">[58]</w:t>
        </w:r>
      </w:hyperlink>
      <w:r>
        <w:t xml:space="preserve"> </w:t>
      </w:r>
      <w:r>
        <w:t xml:space="preserve">https://www.reuters.com/business/finance/florida-pulls-2-bln-blackrock-largest-anti-esg-divestment-2022-12-01/</w:t>
      </w:r>
    </w:p>
    <w:p>
      <w:pPr>
        <w:pStyle w:val="BodyText"/>
      </w:pPr>
      <w:hyperlink r:id="rId52">
        <w:r>
          <w:rPr>
            <w:rStyle w:val="Hyperlink"/>
          </w:rPr>
          <w:t xml:space="preserve">https://www.reuters.com/business/finance/florida-pulls-2-bln-blackrock-largest-anti-esg-divestment-2022-12-01/</w:t>
        </w:r>
      </w:hyperlink>
    </w:p>
    <w:p>
      <w:pPr>
        <w:pStyle w:val="BodyText"/>
      </w:pPr>
      <w:hyperlink r:id="rId53">
        <w:r>
          <w:rPr>
            <w:rStyle w:val="Hyperlink"/>
          </w:rPr>
          <w:t xml:space="preserve">[46]</w:t>
        </w:r>
      </w:hyperlink>
      <w:r>
        <w:t xml:space="preserve"> </w:t>
      </w:r>
      <w:r>
        <w:t xml:space="preserve">https://comptroller.texas.gov/about/media-center/news/20250603-texas-comptroller-glenn-hegar-announces-update-to-list-of-financial-companies-that-boycott-energy-companies-1746731924320</w:t>
      </w:r>
    </w:p>
    <w:p>
      <w:pPr>
        <w:pStyle w:val="BodyText"/>
      </w:pPr>
      <w:hyperlink r:id="rId53">
        <w:r>
          <w:rPr>
            <w:rStyle w:val="Hyperlink"/>
          </w:rPr>
          <w:t xml:space="preserve">https://comptroller.texas.gov/about/media-center/news/20250603-texas-comptroller-glenn-hegar-announces-update-to-list-of-financial-companies-that-boycott-energy-companies-1746731924320</w:t>
        </w:r>
      </w:hyperlink>
    </w:p>
    <w:p>
      <w:pPr>
        <w:pStyle w:val="BodyText"/>
      </w:pPr>
      <w:hyperlink r:id="rId54">
        <w:r>
          <w:rPr>
            <w:rStyle w:val="Hyperlink"/>
          </w:rPr>
          <w:t xml:space="preserve">[48]</w:t>
        </w:r>
      </w:hyperlink>
      <w:r>
        <w:t xml:space="preserve"> </w:t>
      </w:r>
      <w:r>
        <w:t xml:space="preserve">https://news.mit.edu/2017/amicus-brief-executive-order-restricting-travel-us-0215</w:t>
      </w:r>
    </w:p>
    <w:p>
      <w:pPr>
        <w:pStyle w:val="BodyText"/>
      </w:pPr>
      <w:hyperlink r:id="rId54">
        <w:r>
          <w:rPr>
            <w:rStyle w:val="Hyperlink"/>
          </w:rPr>
          <w:t xml:space="preserve">https://news.mit.edu/2017/amicus-brief-executive-order-restricting-travel-us-0215</w:t>
        </w:r>
      </w:hyperlink>
    </w:p>
    <w:p>
      <w:pPr>
        <w:pStyle w:val="BodyText"/>
      </w:pPr>
      <w:hyperlink r:id="rId55">
        <w:r>
          <w:rPr>
            <w:rStyle w:val="Hyperlink"/>
          </w:rPr>
          <w:t xml:space="preserve">[50]</w:t>
        </w:r>
      </w:hyperlink>
      <w:r>
        <w:t xml:space="preserve"> </w:t>
      </w:r>
      <w:hyperlink r:id="rId55">
        <w:r>
          <w:rPr>
            <w:rStyle w:val="Hyperlink"/>
          </w:rPr>
          <w:t xml:space="preserve">[68]</w:t>
        </w:r>
      </w:hyperlink>
      <w:r>
        <w:t xml:space="preserve"> </w:t>
      </w:r>
      <w:hyperlink r:id="rId55">
        <w:r>
          <w:rPr>
            <w:rStyle w:val="Hyperlink"/>
          </w:rPr>
          <w:t xml:space="preserve">[77]</w:t>
        </w:r>
      </w:hyperlink>
      <w:r>
        <w:t xml:space="preserve"> </w:t>
      </w:r>
      <w:r>
        <w:t xml:space="preserve">JPMORGAN CHASE &amp; CO. FEDERAL POLITICAL ACTION COMMITTEE - committee overview | FEC</w:t>
      </w:r>
    </w:p>
    <w:p>
      <w:pPr>
        <w:pStyle w:val="BodyText"/>
      </w:pPr>
      <w:hyperlink r:id="rId55">
        <w:r>
          <w:rPr>
            <w:rStyle w:val="Hyperlink"/>
          </w:rPr>
          <w:t xml:space="preserve">https://www.fec.gov/data/committee/C00104299/</w:t>
        </w:r>
      </w:hyperlink>
    </w:p>
    <w:p>
      <w:pPr>
        <w:pStyle w:val="BodyText"/>
      </w:pPr>
      <w:hyperlink r:id="rId57">
        <w:r>
          <w:rPr>
            <w:rStyle w:val="Hyperlink"/>
          </w:rPr>
          <w:t xml:space="preserve">[56]</w:t>
        </w:r>
      </w:hyperlink>
      <w:r>
        <w:t xml:space="preserve"> </w:t>
      </w:r>
      <w:hyperlink r:id="rId57">
        <w:r>
          <w:rPr>
            <w:rStyle w:val="Hyperlink"/>
          </w:rPr>
          <w:t xml:space="preserve">[81]</w:t>
        </w:r>
      </w:hyperlink>
      <w:r>
        <w:t xml:space="preserve"> </w:t>
      </w:r>
      <w:r>
        <w:t xml:space="preserve">https://www.sec.gov/files/rules/sro/nasdaq/2021/34-92590.pdf</w:t>
      </w:r>
    </w:p>
    <w:p>
      <w:pPr>
        <w:pStyle w:val="BodyText"/>
      </w:pPr>
      <w:hyperlink r:id="rId57">
        <w:r>
          <w:rPr>
            <w:rStyle w:val="Hyperlink"/>
          </w:rPr>
          <w:t xml:space="preserve">https://www.sec.gov/files/rules/sro/nasdaq/2021/34-92590.pdf</w:t>
        </w:r>
      </w:hyperlink>
    </w:p>
    <w:p>
      <w:pPr>
        <w:pStyle w:val="BodyText"/>
      </w:pPr>
      <w:hyperlink r:id="rId62">
        <w:r>
          <w:rPr>
            <w:rStyle w:val="Hyperlink"/>
          </w:rPr>
          <w:t xml:space="preserve">[63]</w:t>
        </w:r>
      </w:hyperlink>
      <w:r>
        <w:t xml:space="preserve"> </w:t>
      </w:r>
      <w:r>
        <w:t xml:space="preserve">https://www.glassdoor.com/blog/diversity-inclusion-workplace-survey/</w:t>
      </w:r>
    </w:p>
    <w:p>
      <w:pPr>
        <w:pStyle w:val="BodyText"/>
      </w:pPr>
      <w:hyperlink r:id="rId62">
        <w:r>
          <w:rPr>
            <w:rStyle w:val="Hyperlink"/>
          </w:rPr>
          <w:t xml:space="preserve">https://www.glassdoor.com/blog/diversity-inclusion-workplace-survey/</w:t>
        </w:r>
      </w:hyperlink>
    </w:p>
    <w:p>
      <w:pPr>
        <w:pStyle w:val="BodyText"/>
      </w:pPr>
      <w:hyperlink r:id="rId67">
        <w:r>
          <w:rPr>
            <w:rStyle w:val="Hyperlink"/>
          </w:rPr>
          <w:t xml:space="preserve">[70]</w:t>
        </w:r>
      </w:hyperlink>
      <w:r>
        <w:t xml:space="preserve"> </w:t>
      </w:r>
      <w:hyperlink r:id="rId67">
        <w:r>
          <w:rPr>
            <w:rStyle w:val="Hyperlink"/>
          </w:rPr>
          <w:t xml:space="preserve">[71]</w:t>
        </w:r>
      </w:hyperlink>
      <w:r>
        <w:t xml:space="preserve"> </w:t>
      </w:r>
      <w:r>
        <w:t xml:space="preserve">US retailers publicly scrap some 'DEI' initiatives while ...</w:t>
      </w:r>
    </w:p>
    <w:p>
      <w:pPr>
        <w:pStyle w:val="BodyText"/>
      </w:pPr>
      <w:hyperlink r:id="rId67">
        <w:r>
          <w:rPr>
            <w:rStyle w:val="Hyperlink"/>
          </w:rPr>
          <w:t xml:space="preserve">https://www.reuters.com/world/us/us-retailers-publicly-scrap-some-dei-initiatives-while-quietly-supporting-others-2025-03-06/?utm_source=chatgpt.com</w:t>
        </w:r>
      </w:hyperlink>
    </w:p>
    <w:p>
      <w:pPr>
        <w:pStyle w:val="BodyText"/>
      </w:pPr>
      <w:hyperlink r:id="rId69">
        <w:r>
          <w:rPr>
            <w:rStyle w:val="Hyperlink"/>
          </w:rPr>
          <w:t xml:space="preserve">[75]</w:t>
        </w:r>
      </w:hyperlink>
      <w:r>
        <w:t xml:space="preserve"> </w:t>
      </w:r>
      <w:r>
        <w:t xml:space="preserve">Business Roundtable Redefines the Purpose of a Corporation to Promote ‘An Economy That Serves All Americans’ | Business Roundtable</w:t>
      </w:r>
    </w:p>
    <w:p>
      <w:pPr>
        <w:pStyle w:val="BodyText"/>
      </w:pPr>
      <w:hyperlink r:id="rId69">
        <w:r>
          <w:rPr>
            <w:rStyle w:val="Hyperlink"/>
          </w:rPr>
          <w:t xml:space="preserve">https://www.businessroundtable.org/business-roundtable-redefines-the-purpose-of-a-corporation-to-promote-an-economy-that-serves-all-americans</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americanaffairsjournal.org/2017/11/progressive-neoliberalism-trump-beyond/" TargetMode="External" /><Relationship Type="http://schemas.openxmlformats.org/officeDocument/2006/relationships/hyperlink" Id="rId50" Target="https://apnews.com/article/a3b8803a646a62aeb2733bbd4603e670" TargetMode="External" /><Relationship Type="http://schemas.openxmlformats.org/officeDocument/2006/relationships/hyperlink" Id="rId33" Target="https://biblioweb.sindominio.net/pensamiento/boltanski/boltanski.pdf" TargetMode="External" /><Relationship Type="http://schemas.openxmlformats.org/officeDocument/2006/relationships/hyperlink" Id="rId23" Target="https://cdn.ca9.uscourts.gov/datastore/general/2017/04/21/17-15589%20Tech%20Companies%20Amicus.pdf" TargetMode="External" /><Relationship Type="http://schemas.openxmlformats.org/officeDocument/2006/relationships/hyperlink" Id="rId53" Target="https://comptroller.texas.gov/about/media-center/news/20250603-texas-comptroller-glenn-hegar-announces-update-to-list-of-financial-companies-that-boycott-energy-companies-1746731924320" TargetMode="External" /><Relationship Type="http://schemas.openxmlformats.org/officeDocument/2006/relationships/hyperlink" Id="rId28" Target="https://cooperative-individualism.org/bell-daniel_the-cultural-contradictions-of-capitalism-1972-jan-apr.pdf" TargetMode="External" /><Relationship Type="http://schemas.openxmlformats.org/officeDocument/2006/relationships/hyperlink" Id="rId41" Target="https://corporate.target.com/press/statement/2023/05/target-statement-on-2023-pride-collection" TargetMode="External" /><Relationship Type="http://schemas.openxmlformats.org/officeDocument/2006/relationships/hyperlink" Id="rId38" Target="https://fortune.com/2024/09/17/ford-harley-lowes-human-rights-campaign-lgbtq-rights-diversity-backlash/" TargetMode="External" /><Relationship Type="http://schemas.openxmlformats.org/officeDocument/2006/relationships/hyperlink" Id="rId29" Target="https://hrc-prod-requests.s3-us-west-2.amazonaws.com/resources/2025-01-TLF-January-2025-CEI-Update-The-Look-Forward.pdf" TargetMode="External" /><Relationship Type="http://schemas.openxmlformats.org/officeDocument/2006/relationships/hyperlink" Id="rId54" Target="https://news.mit.edu/2017/amicus-brief-executive-order-restricting-travel-us-0215" TargetMode="External" /><Relationship Type="http://schemas.openxmlformats.org/officeDocument/2006/relationships/hyperlink" Id="rId34" Target="https://sblog.s3.amazonaws.com/wp-content/uploads/2015/03/14-556tsac379EmployersandOrganizations.pdf" TargetMode="External" /><Relationship Type="http://schemas.openxmlformats.org/officeDocument/2006/relationships/hyperlink" Id="rId51" Target="https://supreme.justia.com/cases/federal/us/573/682/?utm_source=chatgpt.com" TargetMode="External" /><Relationship Type="http://schemas.openxmlformats.org/officeDocument/2006/relationships/hyperlink" Id="rId45" Target="https://thewaltdisneycompany.eu/the-walt-disney-company-reinforces-its-commitment-to-use-its-broad-global-reach-and-unique-platforms-to-promote-social-responsibility/" TargetMode="External" /><Relationship Type="http://schemas.openxmlformats.org/officeDocument/2006/relationships/hyperlink" Id="rId43" Target="https://www.axios.com/2018/09/06/nike-favorability-consumers-colin-kaepernick-campaign?utm_source=chatgpt.com" TargetMode="External" /><Relationship Type="http://schemas.openxmlformats.org/officeDocument/2006/relationships/hyperlink" Id="rId48" Target="https://www.blackrock.com/corporate/investor-relations/2020-larry-fink-ceo-letter" TargetMode="External" /><Relationship Type="http://schemas.openxmlformats.org/officeDocument/2006/relationships/hyperlink" Id="rId69" Target="https://www.businessroundtable.org/business-roundtable-redefines-the-purpose-of-a-corporation-to-promote-an-economy-that-serves-all-americans" TargetMode="External" /><Relationship Type="http://schemas.openxmlformats.org/officeDocument/2006/relationships/hyperlink" Id="rId36" Target="https://www.edelman.com/sites/g/files/aatuss191/files/2020-01/2020%20Edelman%20Trust%20Barometer%20Executive%20Summary_Single%20Spread%20without%20Crops.pdf" TargetMode="External" /><Relationship Type="http://schemas.openxmlformats.org/officeDocument/2006/relationships/hyperlink" Id="rId26" Target="https://www.essentialscholars.org/sites/default/files/2022-12/essential-joseph-schumpeter-ch3.pdf" TargetMode="External" /><Relationship Type="http://schemas.openxmlformats.org/officeDocument/2006/relationships/hyperlink" Id="rId55" Target="https://www.fec.gov/data/committee/C00104299/" TargetMode="External" /><Relationship Type="http://schemas.openxmlformats.org/officeDocument/2006/relationships/hyperlink" Id="rId47" Target="https://www.forbes.com/sites/rebeccabellan/2020/06/17/netflix-ceo-reed-hastings-donates-120-million-to-historically-black-universities/" TargetMode="External" /><Relationship Type="http://schemas.openxmlformats.org/officeDocument/2006/relationships/hyperlink" Id="rId27" Target="https://www.ft.com/content/c2320415-dcf6-4b69-acd4-3187507d762c" TargetMode="External" /><Relationship Type="http://schemas.openxmlformats.org/officeDocument/2006/relationships/hyperlink" Id="rId62" Target="https://www.glassdoor.com/blog/diversity-inclusion-workplace-survey/" TargetMode="External" /><Relationship Type="http://schemas.openxmlformats.org/officeDocument/2006/relationships/hyperlink" Id="rId24" Target="https://www.marxists.org/archive/marx/works/1848/communist-manifesto/ch01.htm" TargetMode="External" /><Relationship Type="http://schemas.openxmlformats.org/officeDocument/2006/relationships/hyperlink" Id="rId22" Target="https://www.nafsa.org/about/about-nafsa/international-students-contribute-record-breaking-level-spending-and-378000-jobs" TargetMode="External" /><Relationship Type="http://schemas.openxmlformats.org/officeDocument/2006/relationships/hyperlink" Id="rId49" Target="https://www.nasdaq.com/press-release/nasdaq-to-advance-diversity-through-new-proposed-listing-requirements-2020-12-01" TargetMode="External" /><Relationship Type="http://schemas.openxmlformats.org/officeDocument/2006/relationships/hyperlink" Id="rId32" Target="https://www.pr-newsroom-wp.appspot.com/2021-04-27/reaffirming-our-commitment-to-combating-inequity/?utm_source=chatgpt.com" TargetMode="External" /><Relationship Type="http://schemas.openxmlformats.org/officeDocument/2006/relationships/hyperlink" Id="rId31" Target="https://www.presidentsalliance.org/press/165-universities-and-colleges-file-amicus-brief-urging-supreme-court-to-protect-daca/" TargetMode="External" /><Relationship Type="http://schemas.openxmlformats.org/officeDocument/2006/relationships/hyperlink" Id="rId44" Target="https://www.reuters.com/article/sports/nikes-kaepernick-ad-spurs-spike-in-sold-out-items-idUSKCN1LZ2G5/?utm_source=chatgpt.com" TargetMode="External" /><Relationship Type="http://schemas.openxmlformats.org/officeDocument/2006/relationships/hyperlink" Id="rId52" Target="https://www.reuters.com/business/finance/florida-pulls-2-bln-blackrock-largest-anti-esg-divestment-2022-12-01/" TargetMode="External" /><Relationship Type="http://schemas.openxmlformats.org/officeDocument/2006/relationships/hyperlink" Id="rId37" Target="https://www.reuters.com/business/finance/jpmorgan-makes-changes-its-diversity-programs-memo-says-2025-03-21/?utm_source=chatgpt.com" TargetMode="External" /><Relationship Type="http://schemas.openxmlformats.org/officeDocument/2006/relationships/hyperlink" Id="rId46" Target="https://www.reuters.com/business/media-telecom/disney-is-making-changes-its-diversity-inclusion-programs-axios-reports-2025-02-11/" TargetMode="External" /><Relationship Type="http://schemas.openxmlformats.org/officeDocument/2006/relationships/hyperlink" Id="rId42" Target="https://www.reuters.com/business/retail-consumer/target-cuts-annual-forecasts-americans-hold-back-non-essential-spending-2023-08-16/?utm_source=chatgpt.com" TargetMode="External" /><Relationship Type="http://schemas.openxmlformats.org/officeDocument/2006/relationships/hyperlink" Id="rId67" Target="https://www.reuters.com/world/us/us-retailers-publicly-scrap-some-dei-initiatives-while-quietly-supporting-others-2025-03-06/?utm_source=chatgpt.com" TargetMode="External" /><Relationship Type="http://schemas.openxmlformats.org/officeDocument/2006/relationships/hyperlink" Id="rId57" Target="https://www.sec.gov/files/rules/sro/nasdaq/2021/34-92590.pdf" TargetMode="External" /><Relationship Type="http://schemas.openxmlformats.org/officeDocument/2006/relationships/hyperlink" Id="rId35" Target="https://www.supremecourt.gov/DocketPDF/17/17-1618/106953/20190703115551379_2019.07.03%20-%20Amicus%20Brief%20of%20206%20Businesses%20in%20Support%20of%20Employees.pdf" TargetMode="External" /><Relationship Type="http://schemas.openxmlformats.org/officeDocument/2006/relationships/hyperlink" Id="rId25" Target="https://www.supremecourt.gov/DocketPDF/18/18-587/117794/20191002154056089_Apple%20Amicus%20Brief.pdf" TargetMode="External" /></Relationships>
</file>

<file path=word/_rels/footnotes.xml.rels><?xml version="1.0" encoding="UTF-8"?><Relationships xmlns="http://schemas.openxmlformats.org/package/2006/relationships"><Relationship Type="http://schemas.openxmlformats.org/officeDocument/2006/relationships/hyperlink" Id="rId30" Target="https://americanaffairsjournal.org/2017/11/progressive-neoliberalism-trump-beyond/" TargetMode="External" /><Relationship Type="http://schemas.openxmlformats.org/officeDocument/2006/relationships/hyperlink" Id="rId50" Target="https://apnews.com/article/a3b8803a646a62aeb2733bbd4603e670" TargetMode="External" /><Relationship Type="http://schemas.openxmlformats.org/officeDocument/2006/relationships/hyperlink" Id="rId33" Target="https://biblioweb.sindominio.net/pensamiento/boltanski/boltanski.pdf" TargetMode="External" /><Relationship Type="http://schemas.openxmlformats.org/officeDocument/2006/relationships/hyperlink" Id="rId23" Target="https://cdn.ca9.uscourts.gov/datastore/general/2017/04/21/17-15589%20Tech%20Companies%20Amicus.pdf" TargetMode="External" /><Relationship Type="http://schemas.openxmlformats.org/officeDocument/2006/relationships/hyperlink" Id="rId53" Target="https://comptroller.texas.gov/about/media-center/news/20250603-texas-comptroller-glenn-hegar-announces-update-to-list-of-financial-companies-that-boycott-energy-companies-1746731924320" TargetMode="External" /><Relationship Type="http://schemas.openxmlformats.org/officeDocument/2006/relationships/hyperlink" Id="rId28" Target="https://cooperative-individualism.org/bell-daniel_the-cultural-contradictions-of-capitalism-1972-jan-apr.pdf" TargetMode="External" /><Relationship Type="http://schemas.openxmlformats.org/officeDocument/2006/relationships/hyperlink" Id="rId41" Target="https://corporate.target.com/press/statement/2023/05/target-statement-on-2023-pride-collection" TargetMode="External" /><Relationship Type="http://schemas.openxmlformats.org/officeDocument/2006/relationships/hyperlink" Id="rId38" Target="https://fortune.com/2024/09/17/ford-harley-lowes-human-rights-campaign-lgbtq-rights-diversity-backlash/" TargetMode="External" /><Relationship Type="http://schemas.openxmlformats.org/officeDocument/2006/relationships/hyperlink" Id="rId29" Target="https://hrc-prod-requests.s3-us-west-2.amazonaws.com/resources/2025-01-TLF-January-2025-CEI-Update-The-Look-Forward.pdf" TargetMode="External" /><Relationship Type="http://schemas.openxmlformats.org/officeDocument/2006/relationships/hyperlink" Id="rId54" Target="https://news.mit.edu/2017/amicus-brief-executive-order-restricting-travel-us-0215" TargetMode="External" /><Relationship Type="http://schemas.openxmlformats.org/officeDocument/2006/relationships/hyperlink" Id="rId34" Target="https://sblog.s3.amazonaws.com/wp-content/uploads/2015/03/14-556tsac379EmployersandOrganizations.pdf" TargetMode="External" /><Relationship Type="http://schemas.openxmlformats.org/officeDocument/2006/relationships/hyperlink" Id="rId51" Target="https://supreme.justia.com/cases/federal/us/573/682/?utm_source=chatgpt.com" TargetMode="External" /><Relationship Type="http://schemas.openxmlformats.org/officeDocument/2006/relationships/hyperlink" Id="rId45" Target="https://thewaltdisneycompany.eu/the-walt-disney-company-reinforces-its-commitment-to-use-its-broad-global-reach-and-unique-platforms-to-promote-social-responsibility/" TargetMode="External" /><Relationship Type="http://schemas.openxmlformats.org/officeDocument/2006/relationships/hyperlink" Id="rId43" Target="https://www.axios.com/2018/09/06/nike-favorability-consumers-colin-kaepernick-campaign?utm_source=chatgpt.com" TargetMode="External" /><Relationship Type="http://schemas.openxmlformats.org/officeDocument/2006/relationships/hyperlink" Id="rId48" Target="https://www.blackrock.com/corporate/investor-relations/2020-larry-fink-ceo-letter" TargetMode="External" /><Relationship Type="http://schemas.openxmlformats.org/officeDocument/2006/relationships/hyperlink" Id="rId69" Target="https://www.businessroundtable.org/business-roundtable-redefines-the-purpose-of-a-corporation-to-promote-an-economy-that-serves-all-americans" TargetMode="External" /><Relationship Type="http://schemas.openxmlformats.org/officeDocument/2006/relationships/hyperlink" Id="rId36" Target="https://www.edelman.com/sites/g/files/aatuss191/files/2020-01/2020%20Edelman%20Trust%20Barometer%20Executive%20Summary_Single%20Spread%20without%20Crops.pdf" TargetMode="External" /><Relationship Type="http://schemas.openxmlformats.org/officeDocument/2006/relationships/hyperlink" Id="rId26" Target="https://www.essentialscholars.org/sites/default/files/2022-12/essential-joseph-schumpeter-ch3.pdf" TargetMode="External" /><Relationship Type="http://schemas.openxmlformats.org/officeDocument/2006/relationships/hyperlink" Id="rId55" Target="https://www.fec.gov/data/committee/C00104299/" TargetMode="External" /><Relationship Type="http://schemas.openxmlformats.org/officeDocument/2006/relationships/hyperlink" Id="rId47" Target="https://www.forbes.com/sites/rebeccabellan/2020/06/17/netflix-ceo-reed-hastings-donates-120-million-to-historically-black-universities/" TargetMode="External" /><Relationship Type="http://schemas.openxmlformats.org/officeDocument/2006/relationships/hyperlink" Id="rId27" Target="https://www.ft.com/content/c2320415-dcf6-4b69-acd4-3187507d762c" TargetMode="External" /><Relationship Type="http://schemas.openxmlformats.org/officeDocument/2006/relationships/hyperlink" Id="rId62" Target="https://www.glassdoor.com/blog/diversity-inclusion-workplace-survey/" TargetMode="External" /><Relationship Type="http://schemas.openxmlformats.org/officeDocument/2006/relationships/hyperlink" Id="rId24" Target="https://www.marxists.org/archive/marx/works/1848/communist-manifesto/ch01.htm" TargetMode="External" /><Relationship Type="http://schemas.openxmlformats.org/officeDocument/2006/relationships/hyperlink" Id="rId22" Target="https://www.nafsa.org/about/about-nafsa/international-students-contribute-record-breaking-level-spending-and-378000-jobs" TargetMode="External" /><Relationship Type="http://schemas.openxmlformats.org/officeDocument/2006/relationships/hyperlink" Id="rId49" Target="https://www.nasdaq.com/press-release/nasdaq-to-advance-diversity-through-new-proposed-listing-requirements-2020-12-01" TargetMode="External" /><Relationship Type="http://schemas.openxmlformats.org/officeDocument/2006/relationships/hyperlink" Id="rId32" Target="https://www.pr-newsroom-wp.appspot.com/2021-04-27/reaffirming-our-commitment-to-combating-inequity/?utm_source=chatgpt.com" TargetMode="External" /><Relationship Type="http://schemas.openxmlformats.org/officeDocument/2006/relationships/hyperlink" Id="rId31" Target="https://www.presidentsalliance.org/press/165-universities-and-colleges-file-amicus-brief-urging-supreme-court-to-protect-daca/" TargetMode="External" /><Relationship Type="http://schemas.openxmlformats.org/officeDocument/2006/relationships/hyperlink" Id="rId44" Target="https://www.reuters.com/article/sports/nikes-kaepernick-ad-spurs-spike-in-sold-out-items-idUSKCN1LZ2G5/?utm_source=chatgpt.com" TargetMode="External" /><Relationship Type="http://schemas.openxmlformats.org/officeDocument/2006/relationships/hyperlink" Id="rId52" Target="https://www.reuters.com/business/finance/florida-pulls-2-bln-blackrock-largest-anti-esg-divestment-2022-12-01/" TargetMode="External" /><Relationship Type="http://schemas.openxmlformats.org/officeDocument/2006/relationships/hyperlink" Id="rId37" Target="https://www.reuters.com/business/finance/jpmorgan-makes-changes-its-diversity-programs-memo-says-2025-03-21/?utm_source=chatgpt.com" TargetMode="External" /><Relationship Type="http://schemas.openxmlformats.org/officeDocument/2006/relationships/hyperlink" Id="rId46" Target="https://www.reuters.com/business/media-telecom/disney-is-making-changes-its-diversity-inclusion-programs-axios-reports-2025-02-11/" TargetMode="External" /><Relationship Type="http://schemas.openxmlformats.org/officeDocument/2006/relationships/hyperlink" Id="rId42" Target="https://www.reuters.com/business/retail-consumer/target-cuts-annual-forecasts-americans-hold-back-non-essential-spending-2023-08-16/?utm_source=chatgpt.com" TargetMode="External" /><Relationship Type="http://schemas.openxmlformats.org/officeDocument/2006/relationships/hyperlink" Id="rId67" Target="https://www.reuters.com/world/us/us-retailers-publicly-scrap-some-dei-initiatives-while-quietly-supporting-others-2025-03-06/?utm_source=chatgpt.com" TargetMode="External" /><Relationship Type="http://schemas.openxmlformats.org/officeDocument/2006/relationships/hyperlink" Id="rId57" Target="https://www.sec.gov/files/rules/sro/nasdaq/2021/34-92590.pdf" TargetMode="External" /><Relationship Type="http://schemas.openxmlformats.org/officeDocument/2006/relationships/hyperlink" Id="rId35" Target="https://www.supremecourt.gov/DocketPDF/17/17-1618/106953/20190703115551379_2019.07.03%20-%20Amicus%20Brief%20of%20206%20Businesses%20in%20Support%20of%20Employees.pdf" TargetMode="External" /><Relationship Type="http://schemas.openxmlformats.org/officeDocument/2006/relationships/hyperlink" Id="rId25" Target="https://www.supremecourt.gov/DocketPDF/18/18-587/117794/20191002154056089_Apple%20Amicus%20Brief.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2026-02-15T04:27:48Z</dcterms:created>
  <dcterms:modified xsi:type="dcterms:W3CDTF">2026-02-15T04:27:48Z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