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Xaff78914011908f695c58a18bdf630c22d05c9a"/>
    <w:p>
      <w:pPr>
        <w:pStyle w:val="Heading1"/>
      </w:pPr>
      <w:r>
        <w:t xml:space="preserve">Puritan Moral Psychology and the Genealogy of American Progressivism</w:t>
      </w:r>
    </w:p>
    <w:bookmarkStart w:id="26" w:name="executive-summary"/>
    <w:p>
      <w:pPr>
        <w:pStyle w:val="Heading2"/>
      </w:pPr>
      <w:r>
        <w:t xml:space="preserve">Executive summary</w:t>
      </w:r>
    </w:p>
    <w:p>
      <w:pPr>
        <w:pStyle w:val="FirstParagraph"/>
      </w:pPr>
      <w:r>
        <w:t xml:space="preserve">The thesis can be formalized in a serious, researchable way, but only if it is stated carefully. The strongest version is</w:t>
      </w:r>
      <w:r>
        <w:t xml:space="preserve"> </w:t>
      </w:r>
      <w:r>
        <w:rPr>
          <w:b/>
          <w:bCs/>
        </w:rPr>
        <w:t xml:space="preserve">not</w:t>
      </w:r>
      <w:r>
        <w:t xml:space="preserve"> </w:t>
      </w:r>
      <w:r>
        <w:t xml:space="preserve">that modern American progressivism is simply “Puritanism without God,” or that every progressive reform is a disguised return of seventeenth-century Calvinism. The strongest defensible version is that a durable</w:t>
      </w:r>
      <w:r>
        <w:t xml:space="preserve"> </w:t>
      </w:r>
      <w:r>
        <w:rPr>
          <w:b/>
          <w:bCs/>
        </w:rPr>
        <w:t xml:space="preserve">moral-political grammar</w:t>
      </w:r>
      <w:r>
        <w:t xml:space="preserve"> </w:t>
      </w:r>
      <w:r>
        <w:t xml:space="preserve">first institutionalized in New England Puritanism remained available in American public life and was repeatedly</w:t>
      </w:r>
      <w:r>
        <w:t xml:space="preserve"> </w:t>
      </w:r>
      <w:r>
        <w:rPr>
          <w:b/>
          <w:bCs/>
        </w:rPr>
        <w:t xml:space="preserve">translated</w:t>
      </w:r>
      <w:r>
        <w:t xml:space="preserve"> </w:t>
      </w:r>
      <w:r>
        <w:t xml:space="preserve">into new vocabularies, organizations, and policy projects. That grammar includes covenantal mission, collective guilt and declension, moralized authority, public scrutiny of conduct, disciplinary institutions, exemplary national identity, and recurrent hopes for social purification. In that sense, the continuity is best understood as</w:t>
      </w:r>
      <w:r>
        <w:t xml:space="preserve"> </w:t>
      </w:r>
      <w:r>
        <w:rPr>
          <w:b/>
          <w:bCs/>
        </w:rPr>
        <w:t xml:space="preserve">genealogical and morphological</w:t>
      </w:r>
      <w:r>
        <w:t xml:space="preserve">, not as a simple doctrinal survival.</w:t>
      </w:r>
      <w:r>
        <w:t xml:space="preserve"> </w:t>
      </w:r>
      <w:hyperlink r:id="rId21">
        <w:r>
          <w:rPr>
            <w:rStyle w:val="Hyperlink"/>
          </w:rPr>
          <w:t xml:space="preserve">[1]</w:t>
        </w:r>
      </w:hyperlink>
    </w:p>
    <w:p>
      <w:pPr>
        <w:pStyle w:val="BodyText"/>
      </w:pPr>
      <w:r>
        <w:t xml:space="preserve">The evidence for continuity is strongest in three places. First, in Puritan primary sources, New England’s founders explicitly fused religious covenant, public discipline, legal order, and collective moral obligation. John Winthrop’s “A Modell of Christian Charity,” the Massachusetts Body of Liberties, and Winthrop’s “On Liberty” all frame the community as a morally ordered body whose freedom exists through covenant and subjection to rightful authority; the Robert Keayne case shows the public censure of economic behavior in both church and civil settings.</w:t>
      </w:r>
      <w:r>
        <w:t xml:space="preserve"> </w:t>
      </w:r>
      <w:hyperlink r:id="rId22">
        <w:r>
          <w:rPr>
            <w:rStyle w:val="Hyperlink"/>
          </w:rPr>
          <w:t xml:space="preserve">[2]</w:t>
        </w:r>
      </w:hyperlink>
    </w:p>
    <w:p>
      <w:pPr>
        <w:pStyle w:val="BodyText"/>
      </w:pPr>
      <w:r>
        <w:t xml:space="preserve">Second, the key mediating chain runs through the eighteenth and nineteenth centuries: the Great Awakenings, evangelical reform, abolitionism, temperance, public schooling, the settlement movement, and the Social Gospel. These movements did not preserve Puritan theology unchanged. Rather, they</w:t>
      </w:r>
      <w:r>
        <w:t xml:space="preserve"> </w:t>
      </w:r>
      <w:r>
        <w:rPr>
          <w:b/>
          <w:bCs/>
        </w:rPr>
        <w:t xml:space="preserve">reworked</w:t>
      </w:r>
      <w:r>
        <w:t xml:space="preserve"> </w:t>
      </w:r>
      <w:r>
        <w:t xml:space="preserve">its habits of introspection, testimony, discipline, and redemptive collective action into the idioms of moral reform, social uplift, equality, and public administration. Charles Finney’s revivalism emphasized practical methods, moral action, and reform; abolition and temperance made “moral suasion” central; Walter Rauschenbusch explicitly argued for social salvation and the use of politics and administration to realize a more just order; Jane Addams and Florence Kelley carried moral concern into settlement work, regulation, and “child-saving.”</w:t>
      </w:r>
      <w:r>
        <w:t xml:space="preserve"> </w:t>
      </w:r>
      <w:hyperlink r:id="rId23">
        <w:r>
          <w:rPr>
            <w:rStyle w:val="Hyperlink"/>
          </w:rPr>
          <w:t xml:space="preserve">[3]</w:t>
        </w:r>
      </w:hyperlink>
    </w:p>
    <w:p>
      <w:pPr>
        <w:pStyle w:val="BodyText"/>
      </w:pPr>
      <w:r>
        <w:t xml:space="preserve">Third, by the Progressive Era and after, the older moral grammar was increasingly lodged in</w:t>
      </w:r>
      <w:r>
        <w:t xml:space="preserve"> </w:t>
      </w:r>
      <w:r>
        <w:rPr>
          <w:b/>
          <w:bCs/>
        </w:rPr>
        <w:t xml:space="preserve">bureaucratic and professional institutions</w:t>
      </w:r>
      <w:r>
        <w:t xml:space="preserve">. Herbert Croly, Theodore Roosevelt, and the Progressive Party justified enhanced state capacity in the name of the common good and “social and industrial justice”; the New Deal turned economic security into a quasi-right and built permanent administrative organs; the civil-rights and affirmative-action era deepened federal moral oversight over public and private institutions; and contemporary DEI programs, bias-response systems, and call-out or cancellation practices often operate through analogous patterns of injury-identification, ritualized acknowledgment, educational remediation, and sanctions over status or speech. This last link is real but the least stable: contemporary practices are intensely contested, and since 2025 federal policy has itself turned sharply against DEI, making the present moment one of conflict rather than settled institutional consolidation.</w:t>
      </w:r>
      <w:r>
        <w:t xml:space="preserve"> </w:t>
      </w:r>
      <w:hyperlink r:id="rId24">
        <w:r>
          <w:rPr>
            <w:rStyle w:val="Hyperlink"/>
          </w:rPr>
          <w:t xml:space="preserve">[4]</w:t>
        </w:r>
      </w:hyperlink>
    </w:p>
    <w:p>
      <w:pPr>
        <w:pStyle w:val="BodyText"/>
      </w:pPr>
      <w:r>
        <w:t xml:space="preserve">The thesis is therefore plausible in a</w:t>
      </w:r>
      <w:r>
        <w:t xml:space="preserve"> </w:t>
      </w:r>
      <w:r>
        <w:rPr>
          <w:b/>
          <w:bCs/>
        </w:rPr>
        <w:t xml:space="preserve">qualified</w:t>
      </w:r>
      <w:r>
        <w:t xml:space="preserve"> </w:t>
      </w:r>
      <w:r>
        <w:t xml:space="preserve">form. It explains recurring American tendencies toward redemptive politics, moralized administration, institutional supervision of conduct, and national mission. But it does</w:t>
      </w:r>
      <w:r>
        <w:t xml:space="preserve"> </w:t>
      </w:r>
      <w:r>
        <w:rPr>
          <w:b/>
          <w:bCs/>
        </w:rPr>
        <w:t xml:space="preserve">not</w:t>
      </w:r>
      <w:r>
        <w:t xml:space="preserve"> </w:t>
      </w:r>
      <w:r>
        <w:t xml:space="preserve">explain everything. Progressivism also arose from Enlightenment universalism, republicanism, industrialization, urban poverty, labor conflict, Black freedom struggles, women’s activism, social science, and rights-based constitutionalism. Moreover, moralized politics is not uniquely progressive; it is a recurrent feature of American political culture across left, center, and right. The best conclusion is that American progressivism is</w:t>
      </w:r>
      <w:r>
        <w:t xml:space="preserve"> </w:t>
      </w:r>
      <w:r>
        <w:rPr>
          <w:b/>
          <w:bCs/>
        </w:rPr>
        <w:t xml:space="preserve">partly</w:t>
      </w:r>
      <w:r>
        <w:t xml:space="preserve"> </w:t>
      </w:r>
      <w:r>
        <w:t xml:space="preserve">a secularized continuation of Puritan moral psychology, especially in its institutional forms of reform, discipline, and exemplary mission, but it is never reducible to that origin alone.</w:t>
      </w:r>
      <w:r>
        <w:t xml:space="preserve"> </w:t>
      </w:r>
      <w:hyperlink r:id="rId25">
        <w:r>
          <w:rPr>
            <w:rStyle w:val="Hyperlink"/>
          </w:rPr>
          <w:t xml:space="preserve">[5]</w:t>
        </w:r>
      </w:hyperlink>
    </w:p>
    <w:bookmarkEnd w:id="26"/>
    <w:bookmarkStart w:id="29" w:name="scope-method-and-core-thesis"/>
    <w:p>
      <w:pPr>
        <w:pStyle w:val="Heading2"/>
      </w:pPr>
      <w:r>
        <w:t xml:space="preserve">Scope, method, and core thesis</w:t>
      </w:r>
    </w:p>
    <w:p>
      <w:pPr>
        <w:pStyle w:val="FirstParagraph"/>
      </w:pPr>
      <w:r>
        <w:t xml:space="preserve">This report treats “Puritanism” primarily as the New England Calvinist tradition of covenant theology, congregational discipline, moral regulation, and providential mission, and “American progressivism” as a broad cluster of reform movements and administrative practices, from nineteenth-century evangelical reform through the Progressive Era, New Deal liberalism, civil-rights governance, and parts of contemporary social-justice politics. That leaves out many important traditions, including Catholic social thought, Jewish social ethics, socialist and labor traditions, and Black church and secular radical currents; those omissions matter and are addressed later as limits rather than ignored.</w:t>
      </w:r>
      <w:r>
        <w:t xml:space="preserve"> </w:t>
      </w:r>
      <w:hyperlink r:id="rId21">
        <w:r>
          <w:rPr>
            <w:rStyle w:val="Hyperlink"/>
          </w:rPr>
          <w:t xml:space="preserve">[6]</w:t>
        </w:r>
      </w:hyperlink>
    </w:p>
    <w:p>
      <w:pPr>
        <w:pStyle w:val="BodyText"/>
      </w:pPr>
      <w:r>
        <w:t xml:space="preserve">The core claim can be stated analytically as follows:</w:t>
      </w:r>
      <w:r>
        <w:t xml:space="preserve"> </w:t>
      </w:r>
      <w:r>
        <w:rPr>
          <w:b/>
          <w:bCs/>
        </w:rPr>
        <w:t xml:space="preserve">American progressivism recurrently reproduces a sequence first consolidated in Puritan New England</w:t>
      </w:r>
      <w:r>
        <w:t xml:space="preserve">—collective covenant, diagnosis of public sin or declension, testimony and confession, purification through discipline, institution-building to enforce norms, and an exemplary mission for the polity. Over time, this sequence was secularized by changing its lexicon: sin became vice, then social problem, then injustice, bias, inequity, or harm; sanctification became uplift, reform, citizenship, therapy, or inclusion; church discipline became school discipline, settlement supervision, regulatory inspection, personnel compliance, or bias response; providential mission became national destiny, democratic world-order, or human-rights diplomacy. The claim is an inference drawn from the primary sources and institutional transitions below, not a claim that later reformers consciously thought of themselves as Puritans.</w:t>
      </w:r>
      <w:r>
        <w:t xml:space="preserve"> </w:t>
      </w:r>
      <w:hyperlink r:id="rId22">
        <w:r>
          <w:rPr>
            <w:rStyle w:val="Hyperlink"/>
          </w:rPr>
          <w:t xml:space="preserve">[7]</w:t>
        </w:r>
      </w:hyperlink>
    </w:p>
    <w:p>
      <w:pPr>
        <w:pStyle w:val="BodyText"/>
      </w:pPr>
      <w:r>
        <w:t xml:space="preserve">This way of framing the topic fits, but also disciplines, a large historiography. Perry Miller emphasized the enduring importance of Puritan thought for American identity; Sacvan Bercovitch made the “American jeremiad” central to understanding how dissent can be absorbed into national mission; Robert Bellah argued that the United States developed an elaborate civil religion alongside denominational religion. At the same time, later scholars challenged overly totalizing or exceptionalist versions of these claims, disputing whether Puritanism can bear as much explanatory weight as Miller and Bercovitch once assigned it.</w:t>
      </w:r>
      <w:r>
        <w:t xml:space="preserve"> </w:t>
      </w:r>
      <w:hyperlink r:id="rId27">
        <w:r>
          <w:rPr>
            <w:rStyle w:val="Hyperlink"/>
          </w:rPr>
          <w:t xml:space="preserve">[8]</w:t>
        </w:r>
      </w:hyperlink>
    </w:p>
    <w:p>
      <w:pPr>
        <w:pStyle w:val="BodyText"/>
      </w:pPr>
      <w:r>
        <w:t xml:space="preserve">A final methodological caution is necessary. Some links in this genealogy are</w:t>
      </w:r>
      <w:r>
        <w:t xml:space="preserve"> </w:t>
      </w:r>
      <w:r>
        <w:rPr>
          <w:b/>
          <w:bCs/>
        </w:rPr>
        <w:t xml:space="preserve">direct</w:t>
      </w:r>
      <w:r>
        <w:t xml:space="preserve"> </w:t>
      </w:r>
      <w:r>
        <w:t xml:space="preserve">and organizational, as when evangelical reformers founded societies, settlement houses, regulatory bodies, and later administrative agencies. Others are</w:t>
      </w:r>
      <w:r>
        <w:t xml:space="preserve"> </w:t>
      </w:r>
      <w:r>
        <w:rPr>
          <w:b/>
          <w:bCs/>
        </w:rPr>
        <w:t xml:space="preserve">formal analogies</w:t>
      </w:r>
      <w:r>
        <w:t xml:space="preserve"> </w:t>
      </w:r>
      <w:r>
        <w:t xml:space="preserve">that require inference, as with contemporary call-out or DEI practices. Where the evidence is stronger, I treat it as historical continuity; where weaker, I say explicitly that the relationship is analogical, contested, or incomplete.</w:t>
      </w:r>
      <w:r>
        <w:t xml:space="preserve"> </w:t>
      </w:r>
      <w:hyperlink r:id="rId28">
        <w:r>
          <w:rPr>
            <w:rStyle w:val="Hyperlink"/>
          </w:rPr>
          <w:t xml:space="preserve">[9]</w:t>
        </w:r>
      </w:hyperlink>
    </w:p>
    <w:bookmarkEnd w:id="29"/>
    <w:bookmarkStart w:id="34" w:name="puritan-foundations"/>
    <w:p>
      <w:pPr>
        <w:pStyle w:val="Heading2"/>
      </w:pPr>
      <w:r>
        <w:t xml:space="preserve">Puritan foundations</w:t>
      </w:r>
    </w:p>
    <w:p>
      <w:pPr>
        <w:pStyle w:val="FirstParagraph"/>
      </w:pPr>
      <w:r>
        <w:t xml:space="preserve">New England Puritanism joined theology, social order, and political authority from the outset. In “A Modell of Christian Charity,” John Winthrop described an explicitly hierarchical but mutually obligated commonwealth: differences in wealth and status existed so that people might exercise mercy, patience, obedience, and stewardship for the “common good.” The same sermon cast the migration itself as a covenant with God whose breach would bring public shame and judgment. The Massachusetts Body of Liberties and the later Laws and Liberties similarly yoked civil law to scriptural authority; the legal code protected liberties, but in cases of legal defect appealed directly to “the word of God,” and it criminalized idolatry, witchcraft, and blasphemy as capital offenses.</w:t>
      </w:r>
      <w:r>
        <w:t xml:space="preserve"> </w:t>
      </w:r>
      <w:hyperlink r:id="rId22">
        <w:r>
          <w:rPr>
            <w:rStyle w:val="Hyperlink"/>
          </w:rPr>
          <w:t xml:space="preserve">[10]</w:t>
        </w:r>
      </w:hyperlink>
    </w:p>
    <w:p>
      <w:pPr>
        <w:pStyle w:val="BodyText"/>
      </w:pPr>
      <w:r>
        <w:t xml:space="preserve">Winthrop’s 1645 speech “On Liberty” makes the regime’s logic unusually explicit. He distinguished “natural” liberty—the liberty to do as one wishes—from “civil or federal” liberty, which he also called moral liberty. That liberty, he argued, exists only under authority and is “a liberty to that only which is good, just, and honest.” Here freedom is not the absence of rule; it is the moral fruit of covenant and disciplined subjection. That conception is central to the later American tendency to treat authority as emancipatory when directed toward moral improvement.</w:t>
      </w:r>
      <w:r>
        <w:t xml:space="preserve"> </w:t>
      </w:r>
      <w:hyperlink r:id="rId30">
        <w:r>
          <w:rPr>
            <w:rStyle w:val="Hyperlink"/>
          </w:rPr>
          <w:t xml:space="preserve">[11]</w:t>
        </w:r>
      </w:hyperlink>
    </w:p>
    <w:p>
      <w:pPr>
        <w:pStyle w:val="BodyText"/>
      </w:pPr>
      <w:r>
        <w:t xml:space="preserve">Puritan practice also depended on public discipline and moral scrutiny. The Robert Keayne case shows a merchant publicly investigated and admonished for pricing practices judged oppressive. Teaching American History’s introduction correctly emphasizes that church and civil authorities together defined acceptable economic behavior and enforced communal standards. Even acquittal, in Winthrop’s own understanding, still called for humiliation before God, a revealing sign that guilt and purification were not exhausted by legal innocence.</w:t>
      </w:r>
      <w:r>
        <w:t xml:space="preserve"> </w:t>
      </w:r>
      <w:hyperlink r:id="rId31">
        <w:r>
          <w:rPr>
            <w:rStyle w:val="Hyperlink"/>
          </w:rPr>
          <w:t xml:space="preserve">[12]</w:t>
        </w:r>
      </w:hyperlink>
    </w:p>
    <w:p>
      <w:pPr>
        <w:pStyle w:val="BodyText"/>
      </w:pPr>
      <w:r>
        <w:t xml:space="preserve">Puritan inwardness mattered no less than public discipline. The broader Puritan tradition stressed predestination, covenant, preaching, and the need for intense self-examination; Jonathan Edwards’s later resolutions and life-writing show the persistence of shame-conscious introspection, confession, and scrutiny of motive, even as eighteenth-century revivalism shifted the register toward conversion and awakening. This matters because later reform cultures repeatedly combined</w:t>
      </w:r>
      <w:r>
        <w:t xml:space="preserve"> </w:t>
      </w:r>
      <w:r>
        <w:rPr>
          <w:b/>
          <w:bCs/>
        </w:rPr>
        <w:t xml:space="preserve">internal moral inventory</w:t>
      </w:r>
      <w:r>
        <w:t xml:space="preserve"> </w:t>
      </w:r>
      <w:r>
        <w:t xml:space="preserve">with</w:t>
      </w:r>
      <w:r>
        <w:t xml:space="preserve"> </w:t>
      </w:r>
      <w:r>
        <w:rPr>
          <w:b/>
          <w:bCs/>
        </w:rPr>
        <w:t xml:space="preserve">external social action</w:t>
      </w:r>
      <w:r>
        <w:t xml:space="preserve">.</w:t>
      </w:r>
      <w:r>
        <w:t xml:space="preserve"> </w:t>
      </w:r>
      <w:hyperlink r:id="rId21">
        <w:r>
          <w:rPr>
            <w:rStyle w:val="Hyperlink"/>
          </w:rPr>
          <w:t xml:space="preserve">[13]</w:t>
        </w:r>
      </w:hyperlink>
    </w:p>
    <w:p>
      <w:pPr>
        <w:pStyle w:val="BodyText"/>
      </w:pPr>
      <w:r>
        <w:t xml:space="preserve">The Puritan foundations relevant to later progressivism can be summarized comparatively: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Puritan structure</w:t>
            </w:r>
          </w:p>
        </w:tc>
        <w:tc>
          <w:tcPr/>
          <w:p>
            <w:pPr>
              <w:pStyle w:val="Compact"/>
            </w:pPr>
            <w:r>
              <w:t xml:space="preserve">Early expression</w:t>
            </w:r>
          </w:p>
        </w:tc>
        <w:tc>
          <w:tcPr/>
          <w:p>
            <w:pPr>
              <w:pStyle w:val="Compact"/>
            </w:pPr>
            <w:r>
              <w:t xml:space="preserve">Later progressive or liberal analogue</w:t>
            </w:r>
          </w:p>
        </w:tc>
        <w:tc>
          <w:tcPr/>
          <w:p>
            <w:pPr>
              <w:pStyle w:val="Compact"/>
            </w:pPr>
            <w:r>
              <w:t xml:space="preserve">Evidence</w:t>
            </w:r>
          </w:p>
        </w:tc>
      </w:tr>
      <w:tr>
        <w:tc>
          <w:tcPr/>
          <w:p>
            <w:pPr>
              <w:pStyle w:val="Compact"/>
            </w:pPr>
            <w:r>
              <w:t xml:space="preserve">Covenantal community</w:t>
            </w:r>
          </w:p>
        </w:tc>
        <w:tc>
          <w:tcPr/>
          <w:p>
            <w:pPr>
              <w:pStyle w:val="Compact"/>
            </w:pPr>
            <w:r>
              <w:t xml:space="preserve">Collective covenant with God and public duty in Winthrop</w:t>
            </w:r>
          </w:p>
        </w:tc>
        <w:tc>
          <w:tcPr/>
          <w:p>
            <w:pPr>
              <w:pStyle w:val="Compact"/>
            </w:pPr>
            <w:r>
              <w:t xml:space="preserve">“Contract with the people,” social citizenship, rights plus obligation</w:t>
            </w:r>
          </w:p>
        </w:tc>
        <w:tc>
          <w:tcPr/>
          <w:p>
            <w:pPr>
              <w:pStyle w:val="Compact"/>
            </w:pPr>
            <w:hyperlink r:id="rId22">
              <w:r>
                <w:rPr>
                  <w:rStyle w:val="Hyperlink"/>
                </w:rPr>
                <w:t xml:space="preserve">[14]</w:t>
              </w:r>
            </w:hyperlink>
          </w:p>
        </w:tc>
      </w:tr>
      <w:tr>
        <w:tc>
          <w:tcPr/>
          <w:p>
            <w:pPr>
              <w:pStyle w:val="Compact"/>
            </w:pPr>
            <w:r>
              <w:t xml:space="preserve">Moralized authority</w:t>
            </w:r>
          </w:p>
        </w:tc>
        <w:tc>
          <w:tcPr/>
          <w:p>
            <w:pPr>
              <w:pStyle w:val="Compact"/>
            </w:pPr>
            <w:r>
              <w:t xml:space="preserve">Liberty exists through subjection to “good, just, and honest” rule</w:t>
            </w:r>
          </w:p>
        </w:tc>
        <w:tc>
          <w:tcPr/>
          <w:p>
            <w:pPr>
              <w:pStyle w:val="Compact"/>
            </w:pPr>
            <w:r>
              <w:t xml:space="preserve">Expert administration justified as protecting welfare, equality, or inclusion</w:t>
            </w:r>
          </w:p>
        </w:tc>
        <w:tc>
          <w:tcPr/>
          <w:p>
            <w:pPr>
              <w:pStyle w:val="Compact"/>
            </w:pPr>
            <w:hyperlink r:id="rId30">
              <w:r>
                <w:rPr>
                  <w:rStyle w:val="Hyperlink"/>
                </w:rPr>
                <w:t xml:space="preserve">[15]</w:t>
              </w:r>
            </w:hyperlink>
          </w:p>
        </w:tc>
      </w:tr>
      <w:tr>
        <w:tc>
          <w:tcPr/>
          <w:p>
            <w:pPr>
              <w:pStyle w:val="Compact"/>
            </w:pPr>
            <w:r>
              <w:t xml:space="preserve">Public discipline</w:t>
            </w:r>
          </w:p>
        </w:tc>
        <w:tc>
          <w:tcPr/>
          <w:p>
            <w:pPr>
              <w:pStyle w:val="Compact"/>
            </w:pPr>
            <w:r>
              <w:t xml:space="preserve">Church/civil censure in Keayne case; scriptural law in colony codes</w:t>
            </w:r>
          </w:p>
        </w:tc>
        <w:tc>
          <w:tcPr/>
          <w:p>
            <w:pPr>
              <w:pStyle w:val="Compact"/>
            </w:pPr>
            <w:r>
              <w:t xml:space="preserve">Inspection, compliance offices, bias reporting, regulatory enforcement</w:t>
            </w:r>
          </w:p>
        </w:tc>
        <w:tc>
          <w:tcPr/>
          <w:p>
            <w:pPr>
              <w:pStyle w:val="Compact"/>
            </w:pPr>
            <w:hyperlink r:id="rId31">
              <w:r>
                <w:rPr>
                  <w:rStyle w:val="Hyperlink"/>
                </w:rPr>
                <w:t xml:space="preserve">[16]</w:t>
              </w:r>
            </w:hyperlink>
          </w:p>
        </w:tc>
      </w:tr>
      <w:tr>
        <w:tc>
          <w:tcPr/>
          <w:p>
            <w:pPr>
              <w:pStyle w:val="Compact"/>
            </w:pPr>
            <w:r>
              <w:t xml:space="preserve">Declension and jeremiad</w:t>
            </w:r>
          </w:p>
        </w:tc>
        <w:tc>
          <w:tcPr/>
          <w:p>
            <w:pPr>
              <w:pStyle w:val="Compact"/>
            </w:pPr>
            <w:r>
              <w:t xml:space="preserve">Fear of covenant-breaking and collective shame</w:t>
            </w:r>
          </w:p>
        </w:tc>
        <w:tc>
          <w:tcPr/>
          <w:p>
            <w:pPr>
              <w:pStyle w:val="Compact"/>
            </w:pPr>
            <w:r>
              <w:t xml:space="preserve">Reform rhetoric centered on national sin, hypocrisy, or failure to live ideals</w:t>
            </w:r>
          </w:p>
        </w:tc>
        <w:tc>
          <w:tcPr/>
          <w:p>
            <w:pPr>
              <w:pStyle w:val="Compact"/>
            </w:pPr>
            <w:hyperlink r:id="rId22">
              <w:r>
                <w:rPr>
                  <w:rStyle w:val="Hyperlink"/>
                </w:rPr>
                <w:t xml:space="preserve">[17]</w:t>
              </w:r>
            </w:hyperlink>
          </w:p>
        </w:tc>
      </w:tr>
      <w:tr>
        <w:tc>
          <w:tcPr/>
          <w:p>
            <w:pPr>
              <w:pStyle w:val="Compact"/>
            </w:pPr>
            <w:r>
              <w:t xml:space="preserve">Confession and self-scrutiny</w:t>
            </w:r>
          </w:p>
        </w:tc>
        <w:tc>
          <w:tcPr/>
          <w:p>
            <w:pPr>
              <w:pStyle w:val="Compact"/>
            </w:pPr>
            <w:r>
              <w:t xml:space="preserve">Humiliation before God, Edwardsian self-examination</w:t>
            </w:r>
          </w:p>
        </w:tc>
        <w:tc>
          <w:tcPr/>
          <w:p>
            <w:pPr>
              <w:pStyle w:val="Compact"/>
            </w:pPr>
            <w:r>
              <w:t xml:space="preserve">Testimony, awareness-raising, apology, public acknowledgment of harm or bias</w:t>
            </w:r>
          </w:p>
        </w:tc>
        <w:tc>
          <w:tcPr/>
          <w:p>
            <w:pPr>
              <w:pStyle w:val="Compact"/>
            </w:pPr>
            <w:hyperlink r:id="rId22">
              <w:r>
                <w:rPr>
                  <w:rStyle w:val="Hyperlink"/>
                </w:rPr>
                <w:t xml:space="preserve">[18]</w:t>
              </w:r>
            </w:hyperlink>
          </w:p>
        </w:tc>
      </w:tr>
      <w:tr>
        <w:tc>
          <w:tcPr/>
          <w:p>
            <w:pPr>
              <w:pStyle w:val="Compact"/>
            </w:pPr>
            <w:r>
              <w:t xml:space="preserve">Exemplary mission</w:t>
            </w:r>
          </w:p>
        </w:tc>
        <w:tc>
          <w:tcPr/>
          <w:p>
            <w:pPr>
              <w:pStyle w:val="Compact"/>
            </w:pPr>
            <w:r>
              <w:t xml:space="preserve">“City upon a hill,” providential errand</w:t>
            </w:r>
          </w:p>
        </w:tc>
        <w:tc>
          <w:tcPr/>
          <w:p>
            <w:pPr>
              <w:pStyle w:val="Compact"/>
            </w:pPr>
            <w:r>
              <w:t xml:space="preserve">Manifest Destiny, democratic crusade, human-rights diplomacy</w:t>
            </w:r>
          </w:p>
        </w:tc>
        <w:tc>
          <w:tcPr/>
          <w:p>
            <w:pPr>
              <w:pStyle w:val="Compact"/>
            </w:pPr>
            <w:hyperlink r:id="rId32">
              <w:r>
                <w:rPr>
                  <w:rStyle w:val="Hyperlink"/>
                </w:rPr>
                <w:t xml:space="preserve">[19]</w:t>
              </w:r>
            </w:hyperlink>
          </w:p>
        </w:tc>
      </w:tr>
      <w:tr>
        <w:tc>
          <w:tcPr/>
          <w:p>
            <w:pPr>
              <w:pStyle w:val="Compact"/>
            </w:pPr>
            <w:r>
              <w:t xml:space="preserve">Purification</w:t>
            </w:r>
          </w:p>
        </w:tc>
        <w:tc>
          <w:tcPr/>
          <w:p>
            <w:pPr>
              <w:pStyle w:val="Compact"/>
            </w:pPr>
            <w:r>
              <w:t xml:space="preserve">Restraint of corruption, vice, false worship</w:t>
            </w:r>
          </w:p>
        </w:tc>
        <w:tc>
          <w:tcPr/>
          <w:p>
            <w:pPr>
              <w:pStyle w:val="Compact"/>
            </w:pPr>
            <w:r>
              <w:t xml:space="preserve">Campaigns against drink, labor exploitation, segregation, discriminatory institutions, and later exclusionary climates</w:t>
            </w:r>
          </w:p>
        </w:tc>
        <w:tc>
          <w:tcPr/>
          <w:p>
            <w:pPr>
              <w:pStyle w:val="Compact"/>
            </w:pPr>
            <w:hyperlink r:id="rId33">
              <w:r>
                <w:rPr>
                  <w:rStyle w:val="Hyperlink"/>
                </w:rPr>
                <w:t xml:space="preserve">[20]</w:t>
              </w:r>
            </w:hyperlink>
          </w:p>
        </w:tc>
      </w:tr>
    </w:tbl>
    <w:p>
      <w:pPr>
        <w:pStyle w:val="BodyText"/>
      </w:pPr>
      <w:r>
        <w:t xml:space="preserve">This table should not be read as proof of a single uninterrupted chain. It shows something narrower and firmer: Puritan New England established a repertoire of moral forms that later American reformers could inherit, revise, and secularize.</w:t>
      </w:r>
      <w:r>
        <w:t xml:space="preserve"> </w:t>
      </w:r>
      <w:hyperlink r:id="rId27">
        <w:r>
          <w:rPr>
            <w:rStyle w:val="Hyperlink"/>
          </w:rPr>
          <w:t xml:space="preserve">[21]</w:t>
        </w:r>
      </w:hyperlink>
    </w:p>
    <w:bookmarkEnd w:id="34"/>
    <w:bookmarkStart w:id="48" w:name="genealogical-trajectory"/>
    <w:p>
      <w:pPr>
        <w:pStyle w:val="Heading2"/>
      </w:pPr>
      <w:r>
        <w:t xml:space="preserve">Genealogical trajectory</w:t>
      </w:r>
    </w:p>
    <w:p>
      <w:pPr>
        <w:pStyle w:val="FirstParagraph"/>
      </w:pPr>
      <w:r>
        <w:t xml:space="preserve">A classic connecting concept is the</w:t>
      </w:r>
      <w:r>
        <w:t xml:space="preserve"> </w:t>
      </w:r>
      <w:r>
        <w:rPr>
          <w:b/>
          <w:bCs/>
        </w:rPr>
        <w:t xml:space="preserve">American jeremiad</w:t>
      </w:r>
      <w:r>
        <w:t xml:space="preserve">. Bercovitch’s influential formulation argued that a sermonic pattern of lament over declension paradoxically worked to renew national mission rather than to abandon it. Later readers praised the book as a landmark while also criticizing its exceptionalist or overintegrative tendencies. Whatever one makes of Bercovitch’s strongest claims, the jeremiad is a useful analytical bridge: it links Puritan covenant-breaking to later moral reform movements that accuse America of betraying its promise in order to demand stricter national fidelity.</w:t>
      </w:r>
      <w:r>
        <w:t xml:space="preserve"> </w:t>
      </w:r>
      <w:hyperlink r:id="rId35">
        <w:r>
          <w:rPr>
            <w:rStyle w:val="Hyperlink"/>
          </w:rPr>
          <w:t xml:space="preserve">[22]</w:t>
        </w:r>
      </w:hyperlink>
    </w:p>
    <w:p>
      <w:pPr>
        <w:pStyle w:val="BodyText"/>
      </w:pPr>
      <w:r>
        <w:t xml:space="preserve">The Enlightenment did not erase this grammar; it altered it. Tocqueville’s famous observation that Puritanism was “almost as much a political theory as a religious doctrine” captures the crucial point: in America, religious and republican idioms fused early. Robert Bellah later described the resulting public tradition as a distinct “civil religion.” This helps explain why moral language could survive even where confessional theology weakened: providence and covenant could be translated into national destiny, rights, republic, democracy, and public mission.</w:t>
      </w:r>
      <w:r>
        <w:t xml:space="preserve"> </w:t>
      </w:r>
      <w:hyperlink r:id="rId36">
        <w:r>
          <w:rPr>
            <w:rStyle w:val="Hyperlink"/>
          </w:rPr>
          <w:t xml:space="preserve">[23]</w:t>
        </w:r>
      </w:hyperlink>
    </w:p>
    <w:p>
      <w:pPr>
        <w:pStyle w:val="BodyText"/>
      </w:pPr>
      <w:r>
        <w:t xml:space="preserve">The Second Great Awakening then democratized and activistized the moral impulse. Britannica’s overview and the National Humanities Center’s synthesis both stress that the awakening stimulated temperance, women’s activism, abolition, missions, and other reforms. Finney’s revivalism is especially important because he treated revival not as miracle but as the effect of properly used means, and he pressed Christians to raise the standard of conduct if they wished to convert the world. This is a crucial mediator between Puritan inner discipline and Progressive-era confidence in organized moral techniques.</w:t>
      </w:r>
      <w:r>
        <w:t xml:space="preserve"> </w:t>
      </w:r>
      <w:hyperlink r:id="rId37">
        <w:r>
          <w:rPr>
            <w:rStyle w:val="Hyperlink"/>
          </w:rPr>
          <w:t xml:space="preserve">[24]</w:t>
        </w:r>
      </w:hyperlink>
    </w:p>
    <w:p>
      <w:pPr>
        <w:pStyle w:val="BodyText"/>
      </w:pPr>
      <w:r>
        <w:t xml:space="preserve">The Social Gospel and settlement work pushed the translation further. Rauschenbusch argued that the Kingdom of God required social as well as individual salvation, and Teaching American History’s introduction captures how this meant using politics and administration to ameliorate industrial society. Jane Addams’s moral language of public duty, sympathetic knowledge, and social ethics then moved reform into urban institutions such as Hull-House, whose services ranged from childcare and classes to labor and health campaigns. Here the old moral energy is no longer primarily ecclesiastical; it has become civic, social-scientific, and administrative.</w:t>
      </w:r>
      <w:r>
        <w:t xml:space="preserve"> </w:t>
      </w:r>
      <w:hyperlink r:id="rId38">
        <w:r>
          <w:rPr>
            <w:rStyle w:val="Hyperlink"/>
          </w:rPr>
          <w:t xml:space="preserve">[25]</w:t>
        </w:r>
      </w:hyperlink>
    </w:p>
    <w:p>
      <w:pPr>
        <w:pStyle w:val="BodyText"/>
      </w:pPr>
      <w:r>
        <w:t xml:space="preserve">The culmination of this trajectory in the Progressive Era is visible in Croly, Theodore Roosevelt, and the Progressive Party. Croly’s</w:t>
      </w:r>
      <w:r>
        <w:t xml:space="preserve"> </w:t>
      </w:r>
      <w:r>
        <w:rPr>
          <w:i/>
          <w:iCs/>
        </w:rPr>
        <w:t xml:space="preserve">Promise of American Life</w:t>
      </w:r>
      <w:r>
        <w:t xml:space="preserve"> </w:t>
      </w:r>
      <w:r>
        <w:t xml:space="preserve">and Roosevelt’s “New Nationalism” explicitly argued for stronger national organization in the service of the common good; the Progressive Party declared “social and industrial justice” the nation’s “supreme duty.” That is not Puritan language, but it is recognizably the same structure: a morally charged commonwealth, a righteous national purpose, and authority justified by the need to discipline private power and improve collective life.</w:t>
      </w:r>
      <w:r>
        <w:t xml:space="preserve"> </w:t>
      </w:r>
      <w:hyperlink r:id="rId24">
        <w:r>
          <w:rPr>
            <w:rStyle w:val="Hyperlink"/>
          </w:rPr>
          <w:t xml:space="preserve">[26]</w:t>
        </w:r>
      </w:hyperlink>
    </w:p>
    <w:p>
      <w:pPr>
        <w:pStyle w:val="BodyText"/>
      </w:pPr>
      <w:r>
        <w:t xml:space="preserve">The trajectory can be summarized in a timeline: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w:t>
            </w:r>
          </w:p>
        </w:tc>
        <w:tc>
          <w:tcPr/>
          <w:p>
            <w:pPr>
              <w:pStyle w:val="Compact"/>
            </w:pPr>
            <w:r>
              <w:t xml:space="preserve">Node</w:t>
            </w:r>
          </w:p>
        </w:tc>
        <w:tc>
          <w:tcPr/>
          <w:p>
            <w:pPr>
              <w:pStyle w:val="Compact"/>
            </w:pPr>
            <w:r>
              <w:t xml:space="preserve">Key actors</w:t>
            </w:r>
          </w:p>
        </w:tc>
        <w:tc>
          <w:tcPr/>
          <w:p>
            <w:pPr>
              <w:pStyle w:val="Compact"/>
            </w:pPr>
            <w:r>
              <w:t xml:space="preserve">Genealogical significance</w:t>
            </w:r>
          </w:p>
        </w:tc>
        <w:tc>
          <w:tcPr/>
          <w:p>
            <w:pPr>
              <w:pStyle w:val="Compact"/>
            </w:pPr>
            <w:r>
              <w:t xml:space="preserve">Sources</w:t>
            </w:r>
          </w:p>
        </w:tc>
      </w:tr>
      <w:tr>
        <w:tc>
          <w:tcPr/>
          <w:p>
            <w:pPr>
              <w:pStyle w:val="Compact"/>
            </w:pPr>
            <w:r>
              <w:t xml:space="preserve">1630</w:t>
            </w:r>
          </w:p>
        </w:tc>
        <w:tc>
          <w:tcPr/>
          <w:p>
            <w:pPr>
              <w:pStyle w:val="Compact"/>
            </w:pPr>
            <w:r>
              <w:t xml:space="preserve">Covenant commonwealth</w:t>
            </w:r>
          </w:p>
        </w:tc>
        <w:tc>
          <w:tcPr/>
          <w:p>
            <w:pPr>
              <w:pStyle w:val="Compact"/>
            </w:pPr>
            <w:r>
              <w:t xml:space="preserve">John Winthrop</w:t>
            </w:r>
          </w:p>
        </w:tc>
        <w:tc>
          <w:tcPr/>
          <w:p>
            <w:pPr>
              <w:pStyle w:val="Compact"/>
            </w:pPr>
            <w:r>
              <w:t xml:space="preserve">Community defined by covenant, mutual obligation, and exemplary mission</w:t>
            </w:r>
          </w:p>
        </w:tc>
        <w:tc>
          <w:tcPr/>
          <w:p>
            <w:pPr>
              <w:pStyle w:val="Compact"/>
            </w:pPr>
            <w:hyperlink r:id="rId22">
              <w:r>
                <w:rPr>
                  <w:rStyle w:val="Hyperlink"/>
                </w:rPr>
                <w:t xml:space="preserve">[27]</w:t>
              </w:r>
            </w:hyperlink>
          </w:p>
        </w:tc>
      </w:tr>
      <w:tr>
        <w:tc>
          <w:tcPr/>
          <w:p>
            <w:pPr>
              <w:pStyle w:val="Compact"/>
            </w:pPr>
            <w:r>
              <w:t xml:space="preserve">1641–1647</w:t>
            </w:r>
          </w:p>
        </w:tc>
        <w:tc>
          <w:tcPr/>
          <w:p>
            <w:pPr>
              <w:pStyle w:val="Compact"/>
            </w:pPr>
            <w:r>
              <w:t xml:space="preserve">Scriptural civil order</w:t>
            </w:r>
          </w:p>
        </w:tc>
        <w:tc>
          <w:tcPr/>
          <w:p>
            <w:pPr>
              <w:pStyle w:val="Compact"/>
            </w:pPr>
            <w:r>
              <w:t xml:space="preserve">Massachusetts General Court</w:t>
            </w:r>
          </w:p>
        </w:tc>
        <w:tc>
          <w:tcPr/>
          <w:p>
            <w:pPr>
              <w:pStyle w:val="Compact"/>
            </w:pPr>
            <w:r>
              <w:t xml:space="preserve">Civil liberty and law explicitly anchored to divine rule and public discipline</w:t>
            </w:r>
          </w:p>
        </w:tc>
        <w:tc>
          <w:tcPr/>
          <w:p>
            <w:pPr>
              <w:pStyle w:val="Compact"/>
            </w:pPr>
            <w:hyperlink r:id="rId33">
              <w:r>
                <w:rPr>
                  <w:rStyle w:val="Hyperlink"/>
                </w:rPr>
                <w:t xml:space="preserve">[28]</w:t>
              </w:r>
            </w:hyperlink>
          </w:p>
        </w:tc>
      </w:tr>
      <w:tr>
        <w:tc>
          <w:tcPr/>
          <w:p>
            <w:pPr>
              <w:pStyle w:val="Compact"/>
            </w:pPr>
            <w:r>
              <w:t xml:space="preserve">1639–1645</w:t>
            </w:r>
          </w:p>
        </w:tc>
        <w:tc>
          <w:tcPr/>
          <w:p>
            <w:pPr>
              <w:pStyle w:val="Compact"/>
            </w:pPr>
            <w:r>
              <w:t xml:space="preserve">Public admonition and “moral” liberty</w:t>
            </w:r>
          </w:p>
        </w:tc>
        <w:tc>
          <w:tcPr/>
          <w:p>
            <w:pPr>
              <w:pStyle w:val="Compact"/>
            </w:pPr>
            <w:r>
              <w:t xml:space="preserve">Robert Keayne, Winthrop</w:t>
            </w:r>
          </w:p>
        </w:tc>
        <w:tc>
          <w:tcPr/>
          <w:p>
            <w:pPr>
              <w:pStyle w:val="Compact"/>
            </w:pPr>
            <w:r>
              <w:t xml:space="preserve">Economic conduct and liberty moralized and publicly supervised</w:t>
            </w:r>
          </w:p>
        </w:tc>
        <w:tc>
          <w:tcPr/>
          <w:p>
            <w:pPr>
              <w:pStyle w:val="Compact"/>
            </w:pPr>
            <w:hyperlink r:id="rId31">
              <w:r>
                <w:rPr>
                  <w:rStyle w:val="Hyperlink"/>
                </w:rPr>
                <w:t xml:space="preserve">[29]</w:t>
              </w:r>
            </w:hyperlink>
          </w:p>
        </w:tc>
      </w:tr>
      <w:tr>
        <w:tc>
          <w:tcPr/>
          <w:p>
            <w:pPr>
              <w:pStyle w:val="Compact"/>
            </w:pPr>
            <w:r>
              <w:t xml:space="preserve">1730s–1740s</w:t>
            </w:r>
          </w:p>
        </w:tc>
        <w:tc>
          <w:tcPr/>
          <w:p>
            <w:pPr>
              <w:pStyle w:val="Compact"/>
            </w:pPr>
            <w:r>
              <w:t xml:space="preserve">Revival and introspection</w:t>
            </w:r>
          </w:p>
        </w:tc>
        <w:tc>
          <w:tcPr/>
          <w:p>
            <w:pPr>
              <w:pStyle w:val="Compact"/>
            </w:pPr>
            <w:r>
              <w:t xml:space="preserve">Jonathan Edwards</w:t>
            </w:r>
          </w:p>
        </w:tc>
        <w:tc>
          <w:tcPr/>
          <w:p>
            <w:pPr>
              <w:pStyle w:val="Compact"/>
            </w:pPr>
            <w:r>
              <w:t xml:space="preserve">Intensified self-scrutiny, awakening, and conversion-centered public religion</w:t>
            </w:r>
          </w:p>
        </w:tc>
        <w:tc>
          <w:tcPr/>
          <w:p>
            <w:pPr>
              <w:pStyle w:val="Compact"/>
            </w:pPr>
            <w:hyperlink r:id="rId39">
              <w:r>
                <w:rPr>
                  <w:rStyle w:val="Hyperlink"/>
                </w:rPr>
                <w:t xml:space="preserve">[30]</w:t>
              </w:r>
            </w:hyperlink>
          </w:p>
        </w:tc>
      </w:tr>
      <w:tr>
        <w:tc>
          <w:tcPr/>
          <w:p>
            <w:pPr>
              <w:pStyle w:val="Compact"/>
            </w:pPr>
            <w:r>
              <w:t xml:space="preserve">1820s–1840s</w:t>
            </w:r>
          </w:p>
        </w:tc>
        <w:tc>
          <w:tcPr/>
          <w:p>
            <w:pPr>
              <w:pStyle w:val="Compact"/>
            </w:pPr>
            <w:r>
              <w:t xml:space="preserve">Activist evangelical reform</w:t>
            </w:r>
          </w:p>
        </w:tc>
        <w:tc>
          <w:tcPr/>
          <w:p>
            <w:pPr>
              <w:pStyle w:val="Compact"/>
            </w:pPr>
            <w:r>
              <w:t xml:space="preserve">Charles Finney and revival networks</w:t>
            </w:r>
          </w:p>
        </w:tc>
        <w:tc>
          <w:tcPr/>
          <w:p>
            <w:pPr>
              <w:pStyle w:val="Compact"/>
            </w:pPr>
            <w:r>
              <w:t xml:space="preserve">Reform through organized means; moral action applied to society</w:t>
            </w:r>
          </w:p>
        </w:tc>
        <w:tc>
          <w:tcPr/>
          <w:p>
            <w:pPr>
              <w:pStyle w:val="Compact"/>
            </w:pPr>
            <w:hyperlink r:id="rId23">
              <w:r>
                <w:rPr>
                  <w:rStyle w:val="Hyperlink"/>
                </w:rPr>
                <w:t xml:space="preserve">[31]</w:t>
              </w:r>
            </w:hyperlink>
          </w:p>
        </w:tc>
      </w:tr>
      <w:tr>
        <w:tc>
          <w:tcPr/>
          <w:p>
            <w:pPr>
              <w:pStyle w:val="Compact"/>
            </w:pPr>
            <w:r>
              <w:t xml:space="preserve">1830s–1850s</w:t>
            </w:r>
          </w:p>
        </w:tc>
        <w:tc>
          <w:tcPr/>
          <w:p>
            <w:pPr>
              <w:pStyle w:val="Compact"/>
            </w:pPr>
            <w:r>
              <w:t xml:space="preserve">Moral suasion</w:t>
            </w:r>
          </w:p>
        </w:tc>
        <w:tc>
          <w:tcPr/>
          <w:p>
            <w:pPr>
              <w:pStyle w:val="Compact"/>
            </w:pPr>
            <w:r>
              <w:t xml:space="preserve">Garrison, AASS, Grimké</w:t>
            </w:r>
          </w:p>
        </w:tc>
        <w:tc>
          <w:tcPr/>
          <w:p>
            <w:pPr>
              <w:pStyle w:val="Compact"/>
            </w:pPr>
            <w:r>
              <w:t xml:space="preserve">Slavery attacked as collective sin through testimony, persuasion, and shame</w:t>
            </w:r>
          </w:p>
        </w:tc>
        <w:tc>
          <w:tcPr/>
          <w:p>
            <w:pPr>
              <w:pStyle w:val="Compact"/>
            </w:pPr>
            <w:hyperlink r:id="rId40">
              <w:r>
                <w:rPr>
                  <w:rStyle w:val="Hyperlink"/>
                </w:rPr>
                <w:t xml:space="preserve">[32]</w:t>
              </w:r>
            </w:hyperlink>
          </w:p>
        </w:tc>
      </w:tr>
      <w:tr>
        <w:tc>
          <w:tcPr/>
          <w:p>
            <w:pPr>
              <w:pStyle w:val="Compact"/>
            </w:pPr>
            <w:r>
              <w:t xml:space="preserve">1870s–1920s</w:t>
            </w:r>
          </w:p>
        </w:tc>
        <w:tc>
          <w:tcPr/>
          <w:p>
            <w:pPr>
              <w:pStyle w:val="Compact"/>
            </w:pPr>
            <w:r>
              <w:t xml:space="preserve">Social Gospel</w:t>
            </w:r>
          </w:p>
        </w:tc>
        <w:tc>
          <w:tcPr/>
          <w:p>
            <w:pPr>
              <w:pStyle w:val="Compact"/>
            </w:pPr>
            <w:r>
              <w:t xml:space="preserve">Rauschenbusch</w:t>
            </w:r>
          </w:p>
        </w:tc>
        <w:tc>
          <w:tcPr/>
          <w:p>
            <w:pPr>
              <w:pStyle w:val="Compact"/>
            </w:pPr>
            <w:r>
              <w:t xml:space="preserve">Social salvation; politics and administration as moral instruments</w:t>
            </w:r>
          </w:p>
        </w:tc>
        <w:tc>
          <w:tcPr/>
          <w:p>
            <w:pPr>
              <w:pStyle w:val="Compact"/>
            </w:pPr>
            <w:hyperlink r:id="rId38">
              <w:r>
                <w:rPr>
                  <w:rStyle w:val="Hyperlink"/>
                </w:rPr>
                <w:t xml:space="preserve">[33]</w:t>
              </w:r>
            </w:hyperlink>
          </w:p>
        </w:tc>
      </w:tr>
      <w:tr>
        <w:tc>
          <w:tcPr/>
          <w:p>
            <w:pPr>
              <w:pStyle w:val="Compact"/>
            </w:pPr>
            <w:r>
              <w:t xml:space="preserve">1889 onward</w:t>
            </w:r>
          </w:p>
        </w:tc>
        <w:tc>
          <w:tcPr/>
          <w:p>
            <w:pPr>
              <w:pStyle w:val="Compact"/>
            </w:pPr>
            <w:r>
              <w:t xml:space="preserve">Settlement movement</w:t>
            </w:r>
          </w:p>
        </w:tc>
        <w:tc>
          <w:tcPr/>
          <w:p>
            <w:pPr>
              <w:pStyle w:val="Compact"/>
            </w:pPr>
            <w:r>
              <w:t xml:space="preserve">Addams, Starr, Kelley</w:t>
            </w:r>
          </w:p>
        </w:tc>
        <w:tc>
          <w:tcPr/>
          <w:p>
            <w:pPr>
              <w:pStyle w:val="Compact"/>
            </w:pPr>
            <w:r>
              <w:t xml:space="preserve">Moral reform embodied in neighborhood institutions and regulation</w:t>
            </w:r>
          </w:p>
        </w:tc>
        <w:tc>
          <w:tcPr/>
          <w:p>
            <w:pPr>
              <w:pStyle w:val="Compact"/>
            </w:pPr>
            <w:hyperlink r:id="rId28">
              <w:r>
                <w:rPr>
                  <w:rStyle w:val="Hyperlink"/>
                </w:rPr>
                <w:t xml:space="preserve">[34]</w:t>
              </w:r>
            </w:hyperlink>
          </w:p>
        </w:tc>
      </w:tr>
      <w:tr>
        <w:tc>
          <w:tcPr/>
          <w:p>
            <w:pPr>
              <w:pStyle w:val="Compact"/>
            </w:pPr>
            <w:r>
              <w:t xml:space="preserve">1909–1912</w:t>
            </w:r>
          </w:p>
        </w:tc>
        <w:tc>
          <w:tcPr/>
          <w:p>
            <w:pPr>
              <w:pStyle w:val="Compact"/>
            </w:pPr>
            <w:r>
              <w:t xml:space="preserve">Progressive statism</w:t>
            </w:r>
          </w:p>
        </w:tc>
        <w:tc>
          <w:tcPr/>
          <w:p>
            <w:pPr>
              <w:pStyle w:val="Compact"/>
            </w:pPr>
            <w:r>
              <w:t xml:space="preserve">Croly, Theodore Roosevelt, Progressive Party</w:t>
            </w:r>
          </w:p>
        </w:tc>
        <w:tc>
          <w:tcPr/>
          <w:p>
            <w:pPr>
              <w:pStyle w:val="Compact"/>
            </w:pPr>
            <w:r>
              <w:t xml:space="preserve">National administrative capacity justified by welfare and justice</w:t>
            </w:r>
          </w:p>
        </w:tc>
        <w:tc>
          <w:tcPr/>
          <w:p>
            <w:pPr>
              <w:pStyle w:val="Compact"/>
            </w:pPr>
            <w:hyperlink r:id="rId24">
              <w:r>
                <w:rPr>
                  <w:rStyle w:val="Hyperlink"/>
                </w:rPr>
                <w:t xml:space="preserve">[35]</w:t>
              </w:r>
            </w:hyperlink>
          </w:p>
        </w:tc>
      </w:tr>
      <w:tr>
        <w:tc>
          <w:tcPr/>
          <w:p>
            <w:pPr>
              <w:pStyle w:val="Compact"/>
            </w:pPr>
            <w:r>
              <w:t xml:space="preserve">1935–1944</w:t>
            </w:r>
          </w:p>
        </w:tc>
        <w:tc>
          <w:tcPr/>
          <w:p>
            <w:pPr>
              <w:pStyle w:val="Compact"/>
            </w:pPr>
            <w:r>
              <w:t xml:space="preserve">Welfare-state rights</w:t>
            </w:r>
          </w:p>
        </w:tc>
        <w:tc>
          <w:tcPr/>
          <w:p>
            <w:pPr>
              <w:pStyle w:val="Compact"/>
            </w:pPr>
            <w:r>
              <w:t xml:space="preserve">FDR, Social Security Board</w:t>
            </w:r>
          </w:p>
        </w:tc>
        <w:tc>
          <w:tcPr/>
          <w:p>
            <w:pPr>
              <w:pStyle w:val="Compact"/>
            </w:pPr>
            <w:r>
              <w:t xml:space="preserve">Economic security reframed as a right and administered by national institutions</w:t>
            </w:r>
          </w:p>
        </w:tc>
        <w:tc>
          <w:tcPr/>
          <w:p>
            <w:pPr>
              <w:pStyle w:val="Compact"/>
            </w:pPr>
            <w:hyperlink r:id="rId41">
              <w:r>
                <w:rPr>
                  <w:rStyle w:val="Hyperlink"/>
                </w:rPr>
                <w:t xml:space="preserve">[36]</w:t>
              </w:r>
            </w:hyperlink>
          </w:p>
        </w:tc>
      </w:tr>
      <w:tr>
        <w:tc>
          <w:tcPr/>
          <w:p>
            <w:pPr>
              <w:pStyle w:val="Compact"/>
            </w:pPr>
            <w:r>
              <w:t xml:space="preserve">1947–1965</w:t>
            </w:r>
          </w:p>
        </w:tc>
        <w:tc>
          <w:tcPr/>
          <w:p>
            <w:pPr>
              <w:pStyle w:val="Compact"/>
            </w:pPr>
            <w:r>
              <w:t xml:space="preserve">Rights-state expansion</w:t>
            </w:r>
          </w:p>
        </w:tc>
        <w:tc>
          <w:tcPr/>
          <w:p>
            <w:pPr>
              <w:pStyle w:val="Compact"/>
            </w:pPr>
            <w:r>
              <w:t xml:space="preserve">Truman committee, Brown, LBJ</w:t>
            </w:r>
          </w:p>
        </w:tc>
        <w:tc>
          <w:tcPr/>
          <w:p>
            <w:pPr>
              <w:pStyle w:val="Compact"/>
            </w:pPr>
            <w:r>
              <w:t xml:space="preserve">Moral equality juridified and bureaucratized</w:t>
            </w:r>
          </w:p>
        </w:tc>
        <w:tc>
          <w:tcPr/>
          <w:p>
            <w:pPr>
              <w:pStyle w:val="Compact"/>
            </w:pPr>
            <w:hyperlink r:id="rId42">
              <w:r>
                <w:rPr>
                  <w:rStyle w:val="Hyperlink"/>
                </w:rPr>
                <w:t xml:space="preserve">[37]</w:t>
              </w:r>
            </w:hyperlink>
          </w:p>
        </w:tc>
      </w:tr>
      <w:tr>
        <w:tc>
          <w:tcPr/>
          <w:p>
            <w:pPr>
              <w:pStyle w:val="Compact"/>
            </w:pPr>
            <w:r>
              <w:t xml:space="preserve">1965 onward</w:t>
            </w:r>
          </w:p>
        </w:tc>
        <w:tc>
          <w:tcPr/>
          <w:p>
            <w:pPr>
              <w:pStyle w:val="Compact"/>
            </w:pPr>
            <w:r>
              <w:t xml:space="preserve">Affirmative-action governance</w:t>
            </w:r>
          </w:p>
        </w:tc>
        <w:tc>
          <w:tcPr/>
          <w:p>
            <w:pPr>
              <w:pStyle w:val="Compact"/>
            </w:pPr>
            <w:r>
              <w:t xml:space="preserve">LBJ, EEOC, OFCCP</w:t>
            </w:r>
          </w:p>
        </w:tc>
        <w:tc>
          <w:tcPr/>
          <w:p>
            <w:pPr>
              <w:pStyle w:val="Compact"/>
            </w:pPr>
            <w:r>
              <w:t xml:space="preserve">Nondiscrimination plus proactive remediation enforced through federal oversight</w:t>
            </w:r>
          </w:p>
        </w:tc>
        <w:tc>
          <w:tcPr/>
          <w:p>
            <w:pPr>
              <w:pStyle w:val="Compact"/>
            </w:pPr>
            <w:hyperlink r:id="rId43">
              <w:r>
                <w:rPr>
                  <w:rStyle w:val="Hyperlink"/>
                </w:rPr>
                <w:t xml:space="preserve">[38]</w:t>
              </w:r>
            </w:hyperlink>
          </w:p>
        </w:tc>
      </w:tr>
      <w:tr>
        <w:tc>
          <w:tcPr/>
          <w:p>
            <w:pPr>
              <w:pStyle w:val="Compact"/>
            </w:pPr>
            <w:r>
              <w:t xml:space="preserve">2000s–2020s</w:t>
            </w:r>
          </w:p>
        </w:tc>
        <w:tc>
          <w:tcPr/>
          <w:p>
            <w:pPr>
              <w:pStyle w:val="Compact"/>
            </w:pPr>
            <w:r>
              <w:t xml:space="preserve">DEI, bias response, call-out culture</w:t>
            </w:r>
          </w:p>
        </w:tc>
        <w:tc>
          <w:tcPr/>
          <w:p>
            <w:pPr>
              <w:pStyle w:val="Compact"/>
            </w:pPr>
            <w:r>
              <w:t xml:space="preserve">Universities, HR systems, PEN America’s critics and defenders</w:t>
            </w:r>
          </w:p>
        </w:tc>
        <w:tc>
          <w:tcPr/>
          <w:p>
            <w:pPr>
              <w:pStyle w:val="Compact"/>
            </w:pPr>
            <w:r>
              <w:t xml:space="preserve">Harm-centered moral language, institutional monitoring, and contested discipline of speech/status</w:t>
            </w:r>
          </w:p>
        </w:tc>
        <w:tc>
          <w:tcPr/>
          <w:p>
            <w:pPr>
              <w:pStyle w:val="Compact"/>
            </w:pPr>
            <w:hyperlink r:id="rId44">
              <w:r>
                <w:rPr>
                  <w:rStyle w:val="Hyperlink"/>
                </w:rPr>
                <w:t xml:space="preserve">[39]</w:t>
              </w:r>
            </w:hyperlink>
          </w:p>
        </w:tc>
      </w:tr>
    </w:tbl>
    <w:p>
      <w:pPr>
        <w:pStyle w:val="BodyText"/>
      </w:pPr>
      <w:r>
        <w:t xml:space="preserve">The institutional and conceptual flow looks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71314"/>
                  <wp:effectExtent b="0" l="0" r="0" t="0"/>
                  <wp:docPr descr="Rendered Mermaid diagram 1" title="" id="46" name="Picture"/>
                  <a:graphic>
                    <a:graphicData uri="http://schemas.openxmlformats.org/drawingml/2006/picture">
                      <pic:pic>
                        <pic:nvPicPr>
                          <pic:cNvPr descr="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" id="47" name="Picture"/>
                          <pic:cNvPicPr>
                            <a:picLocks noChangeArrowheads="1" noChangeAspect="1"/>
                          </pic:cNvPicPr>
                        </pic:nvPicPr>
                        <pic:blipFill>
                          <a:blip r:embed="rId45"/>
                          <a:stretch>
                            <a:fillRect/>
                          </a:stretch>
                        </pic:blipFill>
                        <pic:spPr bwMode="auto">
                          <a:xfrm>
                            <a:off x="0" y="0"/>
                            <a:ext cx="5334000" cy="971314"/>
                          </a:xfrm>
                          <a:prstGeom prst="rect">
                            <a:avLst/>
                          </a:prstGeom>
                          <a:noFill/>
                          <a:ln w="9525">
                            <a:noFill/>
                            <a:headEnd/>
                            <a:tailEnd/>
                          </a:ln>
                        </pic:spPr>
                      </pic:pic>
                    </a:graphicData>
                  </a:graphic>
                </wp:inline>
              </w:drawing>
            </w:r>
            <w:r>
              <w:br/>
            </w:r>
          </w:p>
        </w:tc>
      </w:tr>
    </w:tbl>
    <w:p>
      <w:pPr>
        <w:pStyle w:val="BodyText"/>
      </w:pPr>
      <w:r>
        <w:t xml:space="preserve">The diagram simplifies a great deal, but the simplification is useful. It shows that the deepest continuity is not doctrine but the migration of a</w:t>
      </w:r>
      <w:r>
        <w:t xml:space="preserve"> </w:t>
      </w:r>
      <w:r>
        <w:rPr>
          <w:b/>
          <w:bCs/>
        </w:rPr>
        <w:t xml:space="preserve">moral technology</w:t>
      </w:r>
      <w:r>
        <w:t xml:space="preserve">: diagnosing collective evil, building institutions to correct it, and treating the nation as a vessel of exemplary purpose.</w:t>
      </w:r>
      <w:r>
        <w:t xml:space="preserve"> </w:t>
      </w:r>
      <w:hyperlink r:id="rId22">
        <w:r>
          <w:rPr>
            <w:rStyle w:val="Hyperlink"/>
          </w:rPr>
          <w:t xml:space="preserve">[40]</w:t>
        </w:r>
      </w:hyperlink>
    </w:p>
    <w:bookmarkEnd w:id="48"/>
    <w:bookmarkStart w:id="54" w:name="X2718283328c6fd2ec8cd8dc1e9815d7f5376ead"/>
    <w:p>
      <w:pPr>
        <w:pStyle w:val="Heading2"/>
      </w:pPr>
      <w:r>
        <w:t xml:space="preserve">Mechanisms of secularization and case studies</w:t>
      </w:r>
    </w:p>
    <w:p>
      <w:pPr>
        <w:pStyle w:val="FirstParagraph"/>
      </w:pPr>
      <w:r>
        <w:t xml:space="preserve">The main secularizing mechanisms are threefold.</w:t>
      </w:r>
      <w:r>
        <w:t xml:space="preserve"> </w:t>
      </w:r>
      <w:r>
        <w:rPr>
          <w:b/>
          <w:bCs/>
        </w:rPr>
        <w:t xml:space="preserve">Language</w:t>
      </w:r>
      <w:r>
        <w:t xml:space="preserve"> </w:t>
      </w:r>
      <w:r>
        <w:t xml:space="preserve">shifted from sin, grace, and covenant to vice, uplift, justice, rights, welfare, equity, and harm.</w:t>
      </w:r>
      <w:r>
        <w:t xml:space="preserve"> </w:t>
      </w:r>
      <w:r>
        <w:rPr>
          <w:b/>
          <w:bCs/>
        </w:rPr>
        <w:t xml:space="preserve">Rituals</w:t>
      </w:r>
      <w:r>
        <w:t xml:space="preserve"> </w:t>
      </w:r>
      <w:r>
        <w:t xml:space="preserve">shifted from sermon, testimony, repentance, and church censure to public lectures, pledges, hearings, inspections, professional reports, workshops, apology statements, and compliance procedures.</w:t>
      </w:r>
      <w:r>
        <w:t xml:space="preserve"> </w:t>
      </w:r>
      <w:r>
        <w:rPr>
          <w:b/>
          <w:bCs/>
        </w:rPr>
        <w:t xml:space="preserve">Institutions</w:t>
      </w:r>
      <w:r>
        <w:t xml:space="preserve"> </w:t>
      </w:r>
      <w:r>
        <w:t xml:space="preserve">shifted from congregation and magistracy to voluntary associations, schools, settlement houses, regulatory boards, welfare agencies, civil-rights offices, HR departments, and campus bias-response systems. The content changed, but the form of morally charged collective correction often remained recognizable.</w:t>
      </w:r>
      <w:r>
        <w:t xml:space="preserve"> </w:t>
      </w:r>
      <w:hyperlink r:id="rId30">
        <w:r>
          <w:rPr>
            <w:rStyle w:val="Hyperlink"/>
          </w:rPr>
          <w:t xml:space="preserve">[41]</w:t>
        </w:r>
      </w:hyperlink>
    </w:p>
    <w:p>
      <w:pPr>
        <w:pStyle w:val="BodyText"/>
      </w:pPr>
      <w:r>
        <w:rPr>
          <w:b/>
          <w:bCs/>
        </w:rPr>
        <w:t xml:space="preserve">Abolition.</w:t>
      </w:r>
      <w:r>
        <w:t xml:space="preserve"> </w:t>
      </w:r>
      <w:r>
        <w:t xml:space="preserve">The early abolitionist movement is one of the strongest links because it kept overtly religious language while moving toward public moral activism. William Lloyd Garrison called slavery a sin and sought God’s forgiveness for earlier moderation; the American Anti-Slavery Society declaration pledged “moral suasion” and the “power of love”; Grimké appealed to Christian women to influence law indirectly through domestic and moral authority. The movement therefore preserved guilt, denunciation, witness, and purification almost intact, while building modern mobilizational forms—tracts, societies, lectures, boycotts, and civil disobedience.</w:t>
      </w:r>
      <w:r>
        <w:t xml:space="preserve"> </w:t>
      </w:r>
      <w:hyperlink r:id="rId40">
        <w:r>
          <w:rPr>
            <w:rStyle w:val="Hyperlink"/>
          </w:rPr>
          <w:t xml:space="preserve">[42]</w:t>
        </w:r>
      </w:hyperlink>
    </w:p>
    <w:p>
      <w:pPr>
        <w:pStyle w:val="BodyText"/>
      </w:pPr>
      <w:r>
        <w:rPr>
          <w:b/>
          <w:bCs/>
        </w:rPr>
        <w:t xml:space="preserve">Temperance and Prohibition.</w:t>
      </w:r>
      <w:r>
        <w:t xml:space="preserve"> </w:t>
      </w:r>
      <w:r>
        <w:t xml:space="preserve">Temperance is the classic example of moral reform turning into state moral regulation. Library of Congress materials note that advocates argued on both religious and moral grounds and used mass persuasion techniques to reshape behavior; contemporary temperance addresses spoke of intoxicating drink as a “moral wrong” requiring uncompromising assault. This is a direct continuation of purification politics: a perceived source of disorder is identified, public feeling is mobilized, and law is recruited to enforce moral improvement.</w:t>
      </w:r>
      <w:r>
        <w:t xml:space="preserve"> </w:t>
      </w:r>
      <w:hyperlink r:id="rId49">
        <w:r>
          <w:rPr>
            <w:rStyle w:val="Hyperlink"/>
          </w:rPr>
          <w:t xml:space="preserve">[43]</w:t>
        </w:r>
      </w:hyperlink>
    </w:p>
    <w:p>
      <w:pPr>
        <w:pStyle w:val="BodyText"/>
      </w:pPr>
      <w:r>
        <w:rPr>
          <w:b/>
          <w:bCs/>
        </w:rPr>
        <w:t xml:space="preserve">Child-labor reform and the child-saving impulse.</w:t>
      </w:r>
      <w:r>
        <w:t xml:space="preserve"> </w:t>
      </w:r>
      <w:r>
        <w:t xml:space="preserve">Florence Kelley’s activism, the National Child Labor Committee, and associated inspection regimes show how moral concern became investigative and administrative. The Library of Congress traces Kelley from Hull-House to national child-labor campaigns; the NCLC was founded to promote children’s rights, dignity, and education, and photography and inspection became tools of conscience and enforcement. Historians such as Anthony Platt later argued that such reforms also expanded social control over poor and immigrant families. That duality—compassion plus supervision—is exactly where a Puritan genealogy becomes especially persuasive.</w:t>
      </w:r>
      <w:r>
        <w:t xml:space="preserve"> </w:t>
      </w:r>
      <w:hyperlink r:id="rId50">
        <w:r>
          <w:rPr>
            <w:rStyle w:val="Hyperlink"/>
          </w:rPr>
          <w:t xml:space="preserve">[44]</w:t>
        </w:r>
      </w:hyperlink>
    </w:p>
    <w:p>
      <w:pPr>
        <w:pStyle w:val="BodyText"/>
      </w:pPr>
      <w:r>
        <w:rPr>
          <w:b/>
          <w:bCs/>
        </w:rPr>
        <w:t xml:space="preserve">Settlement houses.</w:t>
      </w:r>
      <w:r>
        <w:t xml:space="preserve"> </w:t>
      </w:r>
      <w:r>
        <w:t xml:space="preserve">Hull-House, founded in 1889 by Jane Addams and Ellen Gates Starr, acted as a moral-community institution in secular form. The Library of Congress describes it as a center for community services, literacy, citizenship training, labor advocacy, maternal and child health, and cultural uplift. Addams’s own intellectual formation, as summarized by the Stanford Encyclopedia, retained a strong valuation of moral action and public duty. In effect, settlement houses functioned as urban neighborhood churches without orthodox doctrine: they diagnosed suffering, formed consciences, and supervised everyday improvement through organized care.</w:t>
      </w:r>
      <w:r>
        <w:t xml:space="preserve"> </w:t>
      </w:r>
      <w:hyperlink r:id="rId28">
        <w:r>
          <w:rPr>
            <w:rStyle w:val="Hyperlink"/>
          </w:rPr>
          <w:t xml:space="preserve">[45]</w:t>
        </w:r>
      </w:hyperlink>
    </w:p>
    <w:p>
      <w:pPr>
        <w:pStyle w:val="BodyText"/>
      </w:pPr>
      <w:r>
        <w:rPr>
          <w:b/>
          <w:bCs/>
        </w:rPr>
        <w:t xml:space="preserve">Public schooling.</w:t>
      </w:r>
      <w:r>
        <w:t xml:space="preserve"> </w:t>
      </w:r>
      <w:r>
        <w:t xml:space="preserve">The common-school movement translated religious-moral formation into civic formation. Britannica describes Horace Mann as the major advocate of free and universal public education; the Library of Congress notes that Mann saw education as a vehicle for creating a common civic culture; the Supreme Court later summarized the tradition by pointing out that, in Massachusetts, sectarian teaching was barred from common schools through Mann’s efforts. In genealogical terms, the school became a secular institution for moral and civic cultivation, replacing confessional orthodoxy with disciplined citizenship.</w:t>
      </w:r>
      <w:r>
        <w:t xml:space="preserve"> </w:t>
      </w:r>
      <w:hyperlink r:id="rId51">
        <w:r>
          <w:rPr>
            <w:rStyle w:val="Hyperlink"/>
          </w:rPr>
          <w:t xml:space="preserve">[46]</w:t>
        </w:r>
      </w:hyperlink>
    </w:p>
    <w:p>
      <w:pPr>
        <w:pStyle w:val="BodyText"/>
      </w:pPr>
      <w:r>
        <w:rPr>
          <w:b/>
          <w:bCs/>
        </w:rPr>
        <w:t xml:space="preserve">The welfare state and the New Deal.</w:t>
      </w:r>
      <w:r>
        <w:t xml:space="preserve"> </w:t>
      </w:r>
      <w:r>
        <w:t xml:space="preserve">The New Deal marks a major change in scale. The Social Security Act of 1935 created federal old-age benefits, aid to dependent children, public-health provisions, and a Social Security Board. FDR’s 1944 “Second Bill of Rights” then argued that freedom required economic security and independence. This represented not merely charity but a nationalized moral claim about what citizens are owed, enforced through durable administrative machinery. The Puritan parallel here is weaker at the theological level, but strong at the level of moralized commonwealth: collective righteousness is now measured by whether the polity secures material conditions for dignified life.</w:t>
      </w:r>
      <w:r>
        <w:t xml:space="preserve"> </w:t>
      </w:r>
      <w:hyperlink r:id="rId41">
        <w:r>
          <w:rPr>
            <w:rStyle w:val="Hyperlink"/>
          </w:rPr>
          <w:t xml:space="preserve">[47]</w:t>
        </w:r>
      </w:hyperlink>
    </w:p>
    <w:p>
      <w:pPr>
        <w:pStyle w:val="BodyText"/>
      </w:pPr>
      <w:r>
        <w:rPr>
          <w:b/>
          <w:bCs/>
        </w:rPr>
        <w:t xml:space="preserve">Civil rights and affirmative action.</w:t>
      </w:r>
      <w:r>
        <w:t xml:space="preserve"> </w:t>
      </w:r>
      <w:r>
        <w:t xml:space="preserve">Civil-rights reform is partly a continuation and partly a transformation. It certainly drew on prophetic Black Christianity and constitutional law, not just white Protestant moralism. Still, it also fits the jeremiadic pattern: Brown declared segregation “inherently unequal,” Truman’s</w:t>
      </w:r>
      <w:r>
        <w:t xml:space="preserve"> </w:t>
      </w:r>
      <w:r>
        <w:rPr>
          <w:i/>
          <w:iCs/>
        </w:rPr>
        <w:t xml:space="preserve">To Secure These Rights</w:t>
      </w:r>
      <w:r>
        <w:t xml:space="preserve"> </w:t>
      </w:r>
      <w:r>
        <w:t xml:space="preserve">cast nondiscrimination as a democratic obligation, and LBJ’s Howard University speech argued that “freedom is not enough,” calling for socioeconomic remediation, not merely formal legal equality. Executive Order 11246 then required federal contractors to take “affirmative action,” and agencies like EEOC and OFCCP institutionalized proactive moral scrutiny of organizations. Here private institutions were increasingly judged against collectively defined standards of fairness and inclusion.</w:t>
      </w:r>
      <w:r>
        <w:t xml:space="preserve"> </w:t>
      </w:r>
      <w:hyperlink r:id="rId52">
        <w:r>
          <w:rPr>
            <w:rStyle w:val="Hyperlink"/>
          </w:rPr>
          <w:t xml:space="preserve">[48]</w:t>
        </w:r>
      </w:hyperlink>
    </w:p>
    <w:p>
      <w:pPr>
        <w:pStyle w:val="BodyText"/>
      </w:pPr>
      <w:r>
        <w:rPr>
          <w:b/>
          <w:bCs/>
        </w:rPr>
        <w:t xml:space="preserve">Contemporary social justice, DEI, and cancel culture.</w:t>
      </w:r>
      <w:r>
        <w:t xml:space="preserve"> </w:t>
      </w:r>
      <w:r>
        <w:t xml:space="preserve">This is the most contested case, but the analogies are visible. A strand of contemporary social-justice theory explicitly treats compassion toward suffering as the moral foundation of justice. In institutions, DEI criteria have been defended as relevant to faculty evaluation by the AAUP; bias-response systems such as Smith College’s are designed to track incidents, coordinate educational responses, and maintain inclusive climate; PEN America’s</w:t>
      </w:r>
      <w:r>
        <w:t xml:space="preserve"> </w:t>
      </w:r>
      <w:r>
        <w:rPr>
          <w:i/>
          <w:iCs/>
        </w:rPr>
        <w:t xml:space="preserve">Booklash</w:t>
      </w:r>
      <w:r>
        <w:t xml:space="preserve"> </w:t>
      </w:r>
      <w:r>
        <w:t xml:space="preserve">report warns that rhetoric of “harm,” public condemnations, and pressure campaigns can narrow the space for debate; PEN’s campus-speech work likewise argues that protest should not become silencing. The point is not that DEI or call-out culture is identical to Puritan church discipline. The point is that contemporary practices often reproduce analogous structures: identification of invisible moral offense, testimonial reporting, institutional remediation, and pressure for acknowledgment or exclusion based on perceived injury. Because federal policy after 2025 turned explicitly against DEI, however, the current phase is best described as a struggle over this grammar, not its uncontested triumph.</w:t>
      </w:r>
      <w:r>
        <w:t xml:space="preserve"> </w:t>
      </w:r>
      <w:hyperlink r:id="rId53">
        <w:r>
          <w:rPr>
            <w:rStyle w:val="Hyperlink"/>
          </w:rPr>
          <w:t xml:space="preserve">[49]</w:t>
        </w:r>
      </w:hyperlink>
    </w:p>
    <w:bookmarkEnd w:id="54"/>
    <w:bookmarkStart w:id="57" w:name="X9361c773dd1ca897de4a435328a93d5e1c55b44"/>
    <w:p>
      <w:pPr>
        <w:pStyle w:val="Heading2"/>
      </w:pPr>
      <w:r>
        <w:t xml:space="preserve">Political effects, state expansion, moral regulation, and empire</w:t>
      </w:r>
    </w:p>
    <w:p>
      <w:pPr>
        <w:pStyle w:val="FirstParagraph"/>
      </w:pPr>
      <w:r>
        <w:t xml:space="preserve">The domestic political effect of this genealogy is a recurrent legitimation of</w:t>
      </w:r>
      <w:r>
        <w:t xml:space="preserve"> </w:t>
      </w:r>
      <w:r>
        <w:rPr>
          <w:b/>
          <w:bCs/>
        </w:rPr>
        <w:t xml:space="preserve">state or quasi-state expansion in the name of moral improvement</w:t>
      </w:r>
      <w:r>
        <w:t xml:space="preserve">. Teaching American History’s overview of the Progressive movement notes that reformers sought both more direct popular power and more power for administrative experts to regulate social and economic life. Roosevelt’s “New Nationalism” and the Progressive Party platform cast public authority as the instrument of welfare and justice. In this respect, the Puritan echo is structural: authority becomes legitimate not merely by consent or procedure, but by its role in disciplining selfishness and securing the common good.</w:t>
      </w:r>
      <w:r>
        <w:t xml:space="preserve"> </w:t>
      </w:r>
      <w:hyperlink r:id="rId55">
        <w:r>
          <w:rPr>
            <w:rStyle w:val="Hyperlink"/>
          </w:rPr>
          <w:t xml:space="preserve">[50]</w:t>
        </w:r>
      </w:hyperlink>
    </w:p>
    <w:p>
      <w:pPr>
        <w:pStyle w:val="BodyText"/>
      </w:pPr>
      <w:r>
        <w:t xml:space="preserve">This moralized expansion also often produced straightforward moral regulation. Temperance culminated in Prohibition; child-saving and juvenile justice subjected families and children to new supervision; common schools standardized civic and behavioral norms; civil-rights and affirmative-action offices extended scrutiny into workplaces and campuses; and contemporary bias systems or DEI procedures frequently assess conduct not only for legality but for its climate, symbolic meaning, or indirect harm. That history helps explain why many of these reforms oscillate between emancipation and tutelage. They protect, but they also inspect.</w:t>
      </w:r>
      <w:r>
        <w:t xml:space="preserve"> </w:t>
      </w:r>
      <w:hyperlink r:id="rId49">
        <w:r>
          <w:rPr>
            <w:rStyle w:val="Hyperlink"/>
          </w:rPr>
          <w:t xml:space="preserve">[51]</w:t>
        </w:r>
      </w:hyperlink>
    </w:p>
    <w:p>
      <w:pPr>
        <w:pStyle w:val="BodyText"/>
      </w:pPr>
      <w:r>
        <w:t xml:space="preserve">The imperial or foreign-policy dimension is real, though it is not unique to progressivism. The National Humanities Center traces Manifest Destiny back to a providential American mission and explicitly links it to later imperial ventures in Hawaii and the Philippines. Wilson secularized providential mission into democratic universalism—“the world must be made safe for democracy”—while Carter tried to “infuse a new morality” into diplomacy through human-rights policy. In both cases, national power is justified by a morally exemplary task beyond the nation’s borders. That is not identical to seventeenth-century Puritanism, but it very clearly preserves the older form of</w:t>
      </w:r>
      <w:r>
        <w:t xml:space="preserve"> </w:t>
      </w:r>
      <w:r>
        <w:rPr>
          <w:b/>
          <w:bCs/>
        </w:rPr>
        <w:t xml:space="preserve">collective chosenness redirected into public mission</w:t>
      </w:r>
      <w:r>
        <w:t xml:space="preserve">.</w:t>
      </w:r>
      <w:r>
        <w:t xml:space="preserve"> </w:t>
      </w:r>
      <w:hyperlink r:id="rId32">
        <w:r>
          <w:rPr>
            <w:rStyle w:val="Hyperlink"/>
          </w:rPr>
          <w:t xml:space="preserve">[52]</w:t>
        </w:r>
      </w:hyperlink>
    </w:p>
    <w:p>
      <w:pPr>
        <w:pStyle w:val="BodyText"/>
      </w:pPr>
      <w:r>
        <w:t xml:space="preserve">At the same time, the empire thesis requires restraint. Progressivism was never unanimously imperial. Teaching American History’s Philippines materials note disagreements among progressives themselves, which means that the moral-reform impulse could authorize either intervention or criticism of intervention. Moreover, some of the strongest critics of empire and violence have used the same jeremiadic language of national betrayal. The genealogy therefore explains why moral mission can attach so readily to empire; it does not prove that progressivism necessarily or always expands empire.</w:t>
      </w:r>
      <w:r>
        <w:t xml:space="preserve"> </w:t>
      </w:r>
      <w:hyperlink r:id="rId56">
        <w:r>
          <w:rPr>
            <w:rStyle w:val="Hyperlink"/>
          </w:rPr>
          <w:t xml:space="preserve">[53]</w:t>
        </w:r>
      </w:hyperlink>
    </w:p>
    <w:bookmarkEnd w:id="57"/>
    <w:bookmarkStart w:id="60" w:name="X74ba4c2a7370ba1637d38ad8f7bcf21b1534121"/>
    <w:p>
      <w:pPr>
        <w:pStyle w:val="Heading2"/>
      </w:pPr>
      <w:r>
        <w:t xml:space="preserve">Counterarguments, limits, and alternative explanations</w:t>
      </w:r>
    </w:p>
    <w:p>
      <w:pPr>
        <w:pStyle w:val="FirstParagraph"/>
      </w:pPr>
      <w:r>
        <w:t xml:space="preserve">A strong counterargument is that this thesis overstates New England and understates other lineages. Tocqueville, Bellah, and Bercovitch all support the idea that public morality in America has a deep Protestant-Puritan component. But later critics have argued that accounts centered on Puritan continuity often flatten contingency and overstate exceptional national coherence. That criticism is important: progressivism was also shaped by republican constitutionalism, Enlightenment rights discourse, industrial capitalism, urbanization, immigration, labor militancy, and social science. These are not secondary embellishments; they are constitutive causes.</w:t>
      </w:r>
      <w:r>
        <w:t xml:space="preserve"> </w:t>
      </w:r>
      <w:hyperlink r:id="rId25">
        <w:r>
          <w:rPr>
            <w:rStyle w:val="Hyperlink"/>
          </w:rPr>
          <w:t xml:space="preserve">[54]</w:t>
        </w:r>
      </w:hyperlink>
    </w:p>
    <w:p>
      <w:pPr>
        <w:pStyle w:val="BodyText"/>
      </w:pPr>
      <w:r>
        <w:t xml:space="preserve">A second counterargument is that the most important intermediaries were</w:t>
      </w:r>
      <w:r>
        <w:t xml:space="preserve"> </w:t>
      </w:r>
      <w:r>
        <w:rPr>
          <w:b/>
          <w:bCs/>
        </w:rPr>
        <w:t xml:space="preserve">not</w:t>
      </w:r>
      <w:r>
        <w:t xml:space="preserve"> </w:t>
      </w:r>
      <w:r>
        <w:t xml:space="preserve">Puritan but evangelical, Methodist, Baptist, or broadly Protestant. The Second Great Awakening emphasized human agency, repentance, and organized activism in ways that departed from older Calvinist determinism. Finney in particular reduced revival to means and methods rather than sacramental mystery. So if one wants a closer religious ancestor of modern reformism, nineteenth-century revivalist Protestantism may be more immediate than seventeenth-century Puritanism. The answer is not to deny this; it is to say that revivalism itself carried forward a transformed New England and Reformed inheritance.</w:t>
      </w:r>
      <w:r>
        <w:t xml:space="preserve"> </w:t>
      </w:r>
      <w:hyperlink r:id="rId23">
        <w:r>
          <w:rPr>
            <w:rStyle w:val="Hyperlink"/>
          </w:rPr>
          <w:t xml:space="preserve">[55]</w:t>
        </w:r>
      </w:hyperlink>
    </w:p>
    <w:p>
      <w:pPr>
        <w:pStyle w:val="BodyText"/>
      </w:pPr>
      <w:r>
        <w:t xml:space="preserve">A third limit is that much twentieth-century progressivism became genuinely secular, technocratic, and therapeutic. New Deal administration, rights enforcement, and contemporary organizational governance often justify themselves in legal, scientific, managerial, or psychological terms rather than theological or moralistic ones. Bellah’s concept of civil religion helps here: the sacred idiom did not disappear, but it was dispersed into public myth and national ethics, not always explicit doctrine. The continuity therefore often lies in form and affect—mission, guilt, repair, regulation—rather than in explicit belief.</w:t>
      </w:r>
      <w:r>
        <w:t xml:space="preserve"> </w:t>
      </w:r>
      <w:hyperlink r:id="rId58">
        <w:r>
          <w:rPr>
            <w:rStyle w:val="Hyperlink"/>
          </w:rPr>
          <w:t xml:space="preserve">[56]</w:t>
        </w:r>
      </w:hyperlink>
    </w:p>
    <w:p>
      <w:pPr>
        <w:pStyle w:val="BodyText"/>
      </w:pPr>
      <w:r>
        <w:t xml:space="preserve">A fourth counterargument is distributive: moralized politics is not uniquely progressive. The same nation that built DEI offices also built anti-DEI enforcement portals; the same moralized rhetoric of harm and purity appears in book-banning campaigns, anti-vice law, anti-communism, anti-pornography, and other right-coded crusades. PEN America’s recent reporting on book bans, educational censorship, and speech controversies underscores that censorious moralism is now politically plural. So “Puritan moral psychology” may explain an American style of politics more generally than it explains progressivism in particular.</w:t>
      </w:r>
      <w:r>
        <w:t xml:space="preserve"> </w:t>
      </w:r>
      <w:hyperlink r:id="rId59">
        <w:r>
          <w:rPr>
            <w:rStyle w:val="Hyperlink"/>
          </w:rPr>
          <w:t xml:space="preserve">[57]</w:t>
        </w:r>
      </w:hyperlink>
    </w:p>
    <w:p>
      <w:pPr>
        <w:pStyle w:val="BodyText"/>
      </w:pPr>
      <w:r>
        <w:t xml:space="preserve">The final limit is evidentiary. The links from Puritanism through abolition, temperance, revivalism, Social Gospel, and Progressive reform are historically strong. The links from those traditions to today’s DEI systems and call-out culture are plausible but more heterogeneous. Contemporary practices vary sharply by sector, institution, and legal regime, and since 2025 federal policy has shifted so rapidly that any static description would mislead. The modern endpoint should therefore be read as an evolving field of contest over inherited moral forms, not as a settled destination.</w:t>
      </w:r>
      <w:r>
        <w:t xml:space="preserve"> </w:t>
      </w:r>
      <w:hyperlink r:id="rId44">
        <w:r>
          <w:rPr>
            <w:rStyle w:val="Hyperlink"/>
          </w:rPr>
          <w:t xml:space="preserve">[58]</w:t>
        </w:r>
      </w:hyperlink>
    </w:p>
    <w:bookmarkEnd w:id="60"/>
    <w:bookmarkStart w:id="61" w:name="conclusions-and-bibliography"/>
    <w:p>
      <w:pPr>
        <w:pStyle w:val="Heading2"/>
      </w:pPr>
      <w:r>
        <w:t xml:space="preserve">Conclusions and bibliography</w:t>
      </w:r>
    </w:p>
    <w:p>
      <w:pPr>
        <w:pStyle w:val="FirstParagraph"/>
      </w:pPr>
      <w:r>
        <w:t xml:space="preserve">The most rigorous conclusion is this:</w:t>
      </w:r>
      <w:r>
        <w:t xml:space="preserve"> </w:t>
      </w:r>
      <w:r>
        <w:rPr>
          <w:b/>
          <w:bCs/>
        </w:rPr>
        <w:t xml:space="preserve">American progressivism is best understood as a partly secularized continuation of a moral-political repertoire first institutionalized by Puritan New England, then repeatedly transformed by revivalism, reform Protestantism, social Christianity, civic republicanism, social science, and administrative law.</w:t>
      </w:r>
      <w:r>
        <w:t xml:space="preserve"> </w:t>
      </w:r>
      <w:r>
        <w:t xml:space="preserve">The continuity is strongest in the recurring sequence of covenantal mission, diagnosis of collective sin, testimonial exposure, purification, institution-building, and exemplary national purpose. It is weaker in doctrine, anthropology, and specific policy content.</w:t>
      </w:r>
      <w:r>
        <w:t xml:space="preserve"> </w:t>
      </w:r>
      <w:hyperlink r:id="rId22">
        <w:r>
          <w:rPr>
            <w:rStyle w:val="Hyperlink"/>
          </w:rPr>
          <w:t xml:space="preserve">[59]</w:t>
        </w:r>
      </w:hyperlink>
    </w:p>
    <w:p>
      <w:pPr>
        <w:pStyle w:val="BodyText"/>
      </w:pPr>
      <w:r>
        <w:t xml:space="preserve">If one wants a compact formula, it is this:</w:t>
      </w:r>
      <w:r>
        <w:t xml:space="preserve"> </w:t>
      </w:r>
      <w:r>
        <w:rPr>
          <w:b/>
          <w:bCs/>
        </w:rPr>
        <w:t xml:space="preserve">Puritanism supplied a moral form; revivalism democratized it; reform movements socialized it; the Progressive Era and New Deal bureaucratized it; the civil-rights revolution juridified it; and contemporary social-justice institutions psychologize and professionalize it.</w:t>
      </w:r>
      <w:r>
        <w:t xml:space="preserve"> </w:t>
      </w:r>
      <w:r>
        <w:t xml:space="preserve">That formula is historically defensible so long as it is paired with the reminder that other causes—capitalism, rights talk, labor conflict, Black struggle, feminism, and social science—were equally indispensable.</w:t>
      </w:r>
      <w:r>
        <w:t xml:space="preserve"> </w:t>
      </w:r>
      <w:hyperlink r:id="rId23">
        <w:r>
          <w:rPr>
            <w:rStyle w:val="Hyperlink"/>
          </w:rPr>
          <w:t xml:space="preserve">[60]</w:t>
        </w:r>
      </w:hyperlink>
    </w:p>
    <w:p>
      <w:pPr>
        <w:pStyle w:val="BodyText"/>
      </w:pPr>
      <w:r>
        <w:rPr>
          <w:b/>
          <w:bCs/>
        </w:rPr>
        <w:t xml:space="preserve">Open questions and limitations.</w:t>
      </w:r>
      <w:r>
        <w:t xml:space="preserve"> </w:t>
      </w:r>
      <w:r>
        <w:t xml:space="preserve">Two issues remain underdocumented in open-source material. First, the exact mediating role of eighteenth-century moral philosophy and common-sense Enlightenment thought deserves a fuller treatment than could be supported here from accessible sources. Second, the contemporary endpoint would benefit from institution-by-institution archival work, because “DEI” and “cancel culture” encompass highly varied practices. Those are genuine gaps, not merely caveats.</w:t>
      </w:r>
      <w:r>
        <w:t xml:space="preserve"> </w:t>
      </w:r>
      <w:hyperlink r:id="rId25">
        <w:r>
          <w:rPr>
            <w:rStyle w:val="Hyperlink"/>
          </w:rPr>
          <w:t xml:space="preserve">[61]</w:t>
        </w:r>
      </w:hyperlink>
    </w:p>
    <w:p>
      <w:pPr>
        <w:pStyle w:val="BodyText"/>
      </w:pPr>
      <w:r>
        <w:rPr>
          <w:b/>
          <w:bCs/>
        </w:rPr>
        <w:t xml:space="preserve">Selected research bibliography</w:t>
      </w:r>
    </w:p>
    <w:p>
      <w:pPr>
        <w:pStyle w:val="BodyText"/>
      </w:pPr>
      <w:r>
        <w:rPr>
          <w:b/>
          <w:bCs/>
        </w:rPr>
        <w:t xml:space="preserve">Primary and official sources</w:t>
      </w:r>
    </w:p>
    <w:p>
      <w:pPr>
        <w:pStyle w:val="Compact"/>
        <w:numPr>
          <w:ilvl w:val="0"/>
          <w:numId w:val="1001"/>
        </w:numPr>
      </w:pPr>
      <w:r>
        <w:t xml:space="preserve">Winthrop, John.</w:t>
      </w:r>
      <w:r>
        <w:t xml:space="preserve"> </w:t>
      </w:r>
      <w:r>
        <w:rPr>
          <w:i/>
          <w:iCs/>
        </w:rPr>
        <w:t xml:space="preserve">A Modell of Christian Charity</w:t>
      </w:r>
      <w:r>
        <w:t xml:space="preserve"> </w:t>
      </w:r>
      <w:r>
        <w:t xml:space="preserve">(1630).</w:t>
      </w:r>
    </w:p>
    <w:p>
      <w:pPr>
        <w:pStyle w:val="Compact"/>
        <w:numPr>
          <w:ilvl w:val="0"/>
          <w:numId w:val="1001"/>
        </w:numPr>
      </w:pPr>
      <w:r>
        <w:t xml:space="preserve">Winthrop, John.</w:t>
      </w:r>
      <w:r>
        <w:t xml:space="preserve"> </w:t>
      </w:r>
      <w:r>
        <w:rPr>
          <w:i/>
          <w:iCs/>
        </w:rPr>
        <w:t xml:space="preserve">On Liberty</w:t>
      </w:r>
      <w:r>
        <w:t xml:space="preserve"> </w:t>
      </w:r>
      <w:r>
        <w:t xml:space="preserve">(1645).</w:t>
      </w:r>
    </w:p>
    <w:p>
      <w:pPr>
        <w:pStyle w:val="Compact"/>
        <w:numPr>
          <w:ilvl w:val="0"/>
          <w:numId w:val="1001"/>
        </w:numPr>
      </w:pPr>
      <w:r>
        <w:rPr>
          <w:i/>
          <w:iCs/>
        </w:rPr>
        <w:t xml:space="preserve">The Body of Liberties of the Massachusetts Colony in New England</w:t>
      </w:r>
      <w:r>
        <w:t xml:space="preserve"> </w:t>
      </w:r>
      <w:r>
        <w:t xml:space="preserve">(1641).</w:t>
      </w:r>
    </w:p>
    <w:p>
      <w:pPr>
        <w:pStyle w:val="Compact"/>
        <w:numPr>
          <w:ilvl w:val="0"/>
          <w:numId w:val="1001"/>
        </w:numPr>
      </w:pPr>
      <w:r>
        <w:rPr>
          <w:i/>
          <w:iCs/>
        </w:rPr>
        <w:t xml:space="preserve">The Laws and Liberties of Massachusetts</w:t>
      </w:r>
      <w:r>
        <w:t xml:space="preserve"> </w:t>
      </w:r>
      <w:r>
        <w:t xml:space="preserve">(1647).</w:t>
      </w:r>
    </w:p>
    <w:p>
      <w:pPr>
        <w:pStyle w:val="Compact"/>
        <w:numPr>
          <w:ilvl w:val="0"/>
          <w:numId w:val="1001"/>
        </w:numPr>
      </w:pPr>
      <w:r>
        <w:rPr>
          <w:i/>
          <w:iCs/>
        </w:rPr>
        <w:t xml:space="preserve">Admonishment and Reconciliation of Robert Keayne with the Church</w:t>
      </w:r>
      <w:r>
        <w:t xml:space="preserve"> </w:t>
      </w:r>
      <w:r>
        <w:t xml:space="preserve">(1639–1640).</w:t>
      </w:r>
    </w:p>
    <w:p>
      <w:pPr>
        <w:pStyle w:val="Compact"/>
        <w:numPr>
          <w:ilvl w:val="0"/>
          <w:numId w:val="1001"/>
        </w:numPr>
      </w:pPr>
      <w:r>
        <w:t xml:space="preserve">Edwards, Jonathan.</w:t>
      </w:r>
      <w:r>
        <w:t xml:space="preserve"> </w:t>
      </w:r>
      <w:r>
        <w:rPr>
          <w:i/>
          <w:iCs/>
        </w:rPr>
        <w:t xml:space="preserve">Resolutions</w:t>
      </w:r>
      <w:r>
        <w:t xml:space="preserve">;</w:t>
      </w:r>
      <w:r>
        <w:t xml:space="preserve"> </w:t>
      </w:r>
      <w:r>
        <w:rPr>
          <w:i/>
          <w:iCs/>
        </w:rPr>
        <w:t xml:space="preserve">Sinners in the Hands of an Angry God</w:t>
      </w:r>
      <w:r>
        <w:t xml:space="preserve">.</w:t>
      </w:r>
    </w:p>
    <w:p>
      <w:pPr>
        <w:pStyle w:val="Compact"/>
        <w:numPr>
          <w:ilvl w:val="0"/>
          <w:numId w:val="1001"/>
        </w:numPr>
      </w:pPr>
      <w:r>
        <w:t xml:space="preserve">Garrison, William Lloyd. “To the Public” (1831).</w:t>
      </w:r>
    </w:p>
    <w:p>
      <w:pPr>
        <w:pStyle w:val="Compact"/>
        <w:numPr>
          <w:ilvl w:val="0"/>
          <w:numId w:val="1001"/>
        </w:numPr>
      </w:pPr>
      <w:r>
        <w:rPr>
          <w:i/>
          <w:iCs/>
        </w:rPr>
        <w:t xml:space="preserve">Declaration of Sentiments</w:t>
      </w:r>
      <w:r>
        <w:t xml:space="preserve"> </w:t>
      </w:r>
      <w:r>
        <w:t xml:space="preserve">of the American Anti-Slavery Society (1833).</w:t>
      </w:r>
    </w:p>
    <w:p>
      <w:pPr>
        <w:pStyle w:val="Compact"/>
        <w:numPr>
          <w:ilvl w:val="0"/>
          <w:numId w:val="1001"/>
        </w:numPr>
      </w:pPr>
      <w:r>
        <w:t xml:space="preserve">Finney, Charles G.</w:t>
      </w:r>
      <w:r>
        <w:t xml:space="preserve"> </w:t>
      </w:r>
      <w:r>
        <w:rPr>
          <w:i/>
          <w:iCs/>
        </w:rPr>
        <w:t xml:space="preserve">Lectures on Revivals of Religion</w:t>
      </w:r>
      <w:r>
        <w:t xml:space="preserve"> </w:t>
      </w:r>
      <w:r>
        <w:t xml:space="preserve">(1835).</w:t>
      </w:r>
    </w:p>
    <w:p>
      <w:pPr>
        <w:pStyle w:val="Compact"/>
        <w:numPr>
          <w:ilvl w:val="0"/>
          <w:numId w:val="1001"/>
        </w:numPr>
      </w:pPr>
      <w:r>
        <w:t xml:space="preserve">Rauschenbusch, Walter.</w:t>
      </w:r>
      <w:r>
        <w:t xml:space="preserve"> </w:t>
      </w:r>
      <w:r>
        <w:rPr>
          <w:i/>
          <w:iCs/>
        </w:rPr>
        <w:t xml:space="preserve">Christianity and the Social Crisis</w:t>
      </w:r>
      <w:r>
        <w:t xml:space="preserve"> </w:t>
      </w:r>
      <w:r>
        <w:t xml:space="preserve">(1907).</w:t>
      </w:r>
    </w:p>
    <w:p>
      <w:pPr>
        <w:pStyle w:val="Compact"/>
        <w:numPr>
          <w:ilvl w:val="0"/>
          <w:numId w:val="1001"/>
        </w:numPr>
      </w:pPr>
      <w:r>
        <w:t xml:space="preserve">Addams, Jane.</w:t>
      </w:r>
      <w:r>
        <w:t xml:space="preserve"> </w:t>
      </w:r>
      <w:r>
        <w:rPr>
          <w:i/>
          <w:iCs/>
        </w:rPr>
        <w:t xml:space="preserve">Democracy and Social Ethics</w:t>
      </w:r>
      <w:r>
        <w:t xml:space="preserve"> </w:t>
      </w:r>
      <w:r>
        <w:t xml:space="preserve">(1902);</w:t>
      </w:r>
      <w:r>
        <w:t xml:space="preserve"> </w:t>
      </w:r>
      <w:r>
        <w:rPr>
          <w:i/>
          <w:iCs/>
        </w:rPr>
        <w:t xml:space="preserve">Twenty Years at Hull-House</w:t>
      </w:r>
      <w:r>
        <w:t xml:space="preserve"> </w:t>
      </w:r>
      <w:r>
        <w:t xml:space="preserve">(1910/1912).</w:t>
      </w:r>
    </w:p>
    <w:p>
      <w:pPr>
        <w:pStyle w:val="Compact"/>
        <w:numPr>
          <w:ilvl w:val="0"/>
          <w:numId w:val="1001"/>
        </w:numPr>
      </w:pPr>
      <w:r>
        <w:t xml:space="preserve">Croly, Herbert.</w:t>
      </w:r>
      <w:r>
        <w:t xml:space="preserve"> </w:t>
      </w:r>
      <w:r>
        <w:rPr>
          <w:i/>
          <w:iCs/>
        </w:rPr>
        <w:t xml:space="preserve">The Promise of American Life</w:t>
      </w:r>
      <w:r>
        <w:t xml:space="preserve"> </w:t>
      </w:r>
      <w:r>
        <w:t xml:space="preserve">(1909).</w:t>
      </w:r>
    </w:p>
    <w:p>
      <w:pPr>
        <w:pStyle w:val="Compact"/>
        <w:numPr>
          <w:ilvl w:val="0"/>
          <w:numId w:val="1001"/>
        </w:numPr>
      </w:pPr>
      <w:r>
        <w:t xml:space="preserve">Roosevelt, Theodore. “The New Nationalism” (1910).</w:t>
      </w:r>
    </w:p>
    <w:p>
      <w:pPr>
        <w:pStyle w:val="Compact"/>
        <w:numPr>
          <w:ilvl w:val="0"/>
          <w:numId w:val="1001"/>
        </w:numPr>
      </w:pPr>
      <w:r>
        <w:rPr>
          <w:i/>
          <w:iCs/>
        </w:rPr>
        <w:t xml:space="preserve">Progressive Party Platform</w:t>
      </w:r>
      <w:r>
        <w:t xml:space="preserve"> </w:t>
      </w:r>
      <w:r>
        <w:t xml:space="preserve">(1912).</w:t>
      </w:r>
    </w:p>
    <w:p>
      <w:pPr>
        <w:pStyle w:val="Compact"/>
        <w:numPr>
          <w:ilvl w:val="0"/>
          <w:numId w:val="1001"/>
        </w:numPr>
      </w:pPr>
      <w:r>
        <w:rPr>
          <w:i/>
          <w:iCs/>
        </w:rPr>
        <w:t xml:space="preserve">Social Security Act</w:t>
      </w:r>
      <w:r>
        <w:t xml:space="preserve"> </w:t>
      </w:r>
      <w:r>
        <w:t xml:space="preserve">(1935).</w:t>
      </w:r>
    </w:p>
    <w:p>
      <w:pPr>
        <w:pStyle w:val="Compact"/>
        <w:numPr>
          <w:ilvl w:val="0"/>
          <w:numId w:val="1001"/>
        </w:numPr>
      </w:pPr>
      <w:r>
        <w:t xml:space="preserve">Roosevelt, Franklin D. 1944 State of the Union, “Second Bill of Rights.”</w:t>
      </w:r>
    </w:p>
    <w:p>
      <w:pPr>
        <w:pStyle w:val="Compact"/>
        <w:numPr>
          <w:ilvl w:val="0"/>
          <w:numId w:val="1001"/>
        </w:numPr>
      </w:pPr>
      <w:r>
        <w:rPr>
          <w:i/>
          <w:iCs/>
        </w:rPr>
        <w:t xml:space="preserve">Brown v. Board of Education</w:t>
      </w:r>
      <w:r>
        <w:t xml:space="preserve"> </w:t>
      </w:r>
      <w:r>
        <w:t xml:space="preserve">(1954).</w:t>
      </w:r>
    </w:p>
    <w:p>
      <w:pPr>
        <w:pStyle w:val="Compact"/>
        <w:numPr>
          <w:ilvl w:val="0"/>
          <w:numId w:val="1001"/>
        </w:numPr>
      </w:pPr>
      <w:r>
        <w:t xml:space="preserve">Johnson, Lyndon B. “To Fulfill These Rights” (1965).</w:t>
      </w:r>
    </w:p>
    <w:p>
      <w:pPr>
        <w:pStyle w:val="Compact"/>
        <w:numPr>
          <w:ilvl w:val="0"/>
          <w:numId w:val="1001"/>
        </w:numPr>
      </w:pPr>
      <w:r>
        <w:t xml:space="preserve">Executive Order 11246 (1965).</w:t>
      </w:r>
    </w:p>
    <w:p>
      <w:pPr>
        <w:pStyle w:val="Compact"/>
        <w:numPr>
          <w:ilvl w:val="0"/>
          <w:numId w:val="1001"/>
        </w:numPr>
      </w:pPr>
      <w:r>
        <w:t xml:space="preserve">AAUP.</w:t>
      </w:r>
      <w:r>
        <w:t xml:space="preserve"> </w:t>
      </w:r>
      <w:r>
        <w:rPr>
          <w:i/>
          <w:iCs/>
        </w:rPr>
        <w:t xml:space="preserve">Diversity, Equity, and Inclusion Criteria for Faculty Evaluation</w:t>
      </w:r>
      <w:r>
        <w:t xml:space="preserve"> </w:t>
      </w:r>
      <w:r>
        <w:t xml:space="preserve">(2024).</w:t>
      </w:r>
    </w:p>
    <w:p>
      <w:pPr>
        <w:pStyle w:val="Compact"/>
        <w:numPr>
          <w:ilvl w:val="0"/>
          <w:numId w:val="1001"/>
        </w:numPr>
      </w:pPr>
      <w:r>
        <w:t xml:space="preserve">Pen America.</w:t>
      </w:r>
      <w:r>
        <w:t xml:space="preserve"> </w:t>
      </w:r>
      <w:r>
        <w:rPr>
          <w:i/>
          <w:iCs/>
        </w:rPr>
        <w:t xml:space="preserve">Booklash</w:t>
      </w:r>
      <w:r>
        <w:t xml:space="preserve"> </w:t>
      </w:r>
      <w:r>
        <w:t xml:space="preserve">(2023).</w:t>
      </w:r>
    </w:p>
    <w:p>
      <w:pPr>
        <w:pStyle w:val="Compact"/>
        <w:numPr>
          <w:ilvl w:val="0"/>
          <w:numId w:val="1001"/>
        </w:numPr>
      </w:pPr>
      <w:r>
        <w:t xml:space="preserve">Smith College. Bias Response Team policy.</w:t>
      </w:r>
    </w:p>
    <w:p>
      <w:pPr>
        <w:pStyle w:val="FirstParagraph"/>
      </w:pPr>
      <w:r>
        <w:rPr>
          <w:b/>
          <w:bCs/>
        </w:rPr>
        <w:t xml:space="preserve">Major secondary works</w:t>
      </w:r>
    </w:p>
    <w:p>
      <w:pPr>
        <w:pStyle w:val="Compact"/>
        <w:numPr>
          <w:ilvl w:val="0"/>
          <w:numId w:val="1002"/>
        </w:numPr>
      </w:pPr>
      <w:r>
        <w:t xml:space="preserve">Bellah, Robert N. “Civil Religion in America.”</w:t>
      </w:r>
    </w:p>
    <w:p>
      <w:pPr>
        <w:pStyle w:val="Compact"/>
        <w:numPr>
          <w:ilvl w:val="0"/>
          <w:numId w:val="1002"/>
        </w:numPr>
      </w:pPr>
      <w:r>
        <w:t xml:space="preserve">Bercovitch, Sacvan.</w:t>
      </w:r>
      <w:r>
        <w:t xml:space="preserve"> </w:t>
      </w:r>
      <w:r>
        <w:rPr>
          <w:i/>
          <w:iCs/>
        </w:rPr>
        <w:t xml:space="preserve">The American Jeremiad</w:t>
      </w:r>
      <w:r>
        <w:t xml:space="preserve">.</w:t>
      </w:r>
    </w:p>
    <w:p>
      <w:pPr>
        <w:pStyle w:val="Compact"/>
        <w:numPr>
          <w:ilvl w:val="0"/>
          <w:numId w:val="1002"/>
        </w:numPr>
      </w:pPr>
      <w:r>
        <w:t xml:space="preserve">Bercovitch, Sacvan.</w:t>
      </w:r>
      <w:r>
        <w:t xml:space="preserve"> </w:t>
      </w:r>
      <w:r>
        <w:rPr>
          <w:i/>
          <w:iCs/>
        </w:rPr>
        <w:t xml:space="preserve">The Puritan Origins of the American Self</w:t>
      </w:r>
      <w:r>
        <w:t xml:space="preserve">.</w:t>
      </w:r>
    </w:p>
    <w:p>
      <w:pPr>
        <w:pStyle w:val="Compact"/>
        <w:numPr>
          <w:ilvl w:val="0"/>
          <w:numId w:val="1002"/>
        </w:numPr>
      </w:pPr>
      <w:r>
        <w:t xml:space="preserve">Hatch, Nathan O.</w:t>
      </w:r>
      <w:r>
        <w:t xml:space="preserve"> </w:t>
      </w:r>
      <w:r>
        <w:rPr>
          <w:i/>
          <w:iCs/>
        </w:rPr>
        <w:t xml:space="preserve">The Democratization of American Christianity</w:t>
      </w:r>
      <w:r>
        <w:t xml:space="preserve">.</w:t>
      </w:r>
    </w:p>
    <w:p>
      <w:pPr>
        <w:pStyle w:val="Compact"/>
        <w:numPr>
          <w:ilvl w:val="0"/>
          <w:numId w:val="1002"/>
        </w:numPr>
      </w:pPr>
      <w:r>
        <w:t xml:space="preserve">Katznelson, Ira.</w:t>
      </w:r>
      <w:r>
        <w:t xml:space="preserve"> </w:t>
      </w:r>
      <w:r>
        <w:rPr>
          <w:i/>
          <w:iCs/>
        </w:rPr>
        <w:t xml:space="preserve">Fear Itself</w:t>
      </w:r>
      <w:r>
        <w:t xml:space="preserve">.</w:t>
      </w:r>
    </w:p>
    <w:p>
      <w:pPr>
        <w:pStyle w:val="Compact"/>
        <w:numPr>
          <w:ilvl w:val="0"/>
          <w:numId w:val="1002"/>
        </w:numPr>
      </w:pPr>
      <w:r>
        <w:t xml:space="preserve">Kloppenberg, James T.</w:t>
      </w:r>
      <w:r>
        <w:t xml:space="preserve"> </w:t>
      </w:r>
      <w:r>
        <w:rPr>
          <w:i/>
          <w:iCs/>
        </w:rPr>
        <w:t xml:space="preserve">Uncertain Victory</w:t>
      </w:r>
      <w:r>
        <w:t xml:space="preserve">.</w:t>
      </w:r>
    </w:p>
    <w:p>
      <w:pPr>
        <w:pStyle w:val="Compact"/>
        <w:numPr>
          <w:ilvl w:val="0"/>
          <w:numId w:val="1002"/>
        </w:numPr>
      </w:pPr>
      <w:r>
        <w:t xml:space="preserve">Miller, Perry.</w:t>
      </w:r>
      <w:r>
        <w:t xml:space="preserve"> </w:t>
      </w:r>
      <w:r>
        <w:rPr>
          <w:i/>
          <w:iCs/>
        </w:rPr>
        <w:t xml:space="preserve">Errand into the Wilderness</w:t>
      </w:r>
      <w:r>
        <w:t xml:space="preserve">.</w:t>
      </w:r>
    </w:p>
    <w:p>
      <w:pPr>
        <w:pStyle w:val="Compact"/>
        <w:numPr>
          <w:ilvl w:val="0"/>
          <w:numId w:val="1002"/>
        </w:numPr>
      </w:pPr>
      <w:r>
        <w:t xml:space="preserve">Miller, Perry.</w:t>
      </w:r>
      <w:r>
        <w:t xml:space="preserve"> </w:t>
      </w:r>
      <w:r>
        <w:rPr>
          <w:i/>
          <w:iCs/>
        </w:rPr>
        <w:t xml:space="preserve">The New England Mind</w:t>
      </w:r>
      <w:r>
        <w:t xml:space="preserve">.</w:t>
      </w:r>
    </w:p>
    <w:p>
      <w:pPr>
        <w:pStyle w:val="Compact"/>
        <w:numPr>
          <w:ilvl w:val="0"/>
          <w:numId w:val="1002"/>
        </w:numPr>
      </w:pPr>
      <w:r>
        <w:t xml:space="preserve">Morgan, Edmund S.</w:t>
      </w:r>
      <w:r>
        <w:t xml:space="preserve"> </w:t>
      </w:r>
      <w:r>
        <w:rPr>
          <w:i/>
          <w:iCs/>
        </w:rPr>
        <w:t xml:space="preserve">The Puritan Dilemma</w:t>
      </w:r>
      <w:r>
        <w:t xml:space="preserve">.</w:t>
      </w:r>
    </w:p>
    <w:p>
      <w:pPr>
        <w:pStyle w:val="Compact"/>
        <w:numPr>
          <w:ilvl w:val="0"/>
          <w:numId w:val="1002"/>
        </w:numPr>
      </w:pPr>
      <w:r>
        <w:t xml:space="preserve">Platt, Anthony M.</w:t>
      </w:r>
      <w:r>
        <w:t xml:space="preserve"> </w:t>
      </w:r>
      <w:r>
        <w:rPr>
          <w:i/>
          <w:iCs/>
        </w:rPr>
        <w:t xml:space="preserve">The Child Savers</w:t>
      </w:r>
      <w:r>
        <w:t xml:space="preserve">.</w:t>
      </w:r>
    </w:p>
    <w:p>
      <w:pPr>
        <w:pStyle w:val="Compact"/>
        <w:numPr>
          <w:ilvl w:val="0"/>
          <w:numId w:val="1002"/>
        </w:numPr>
      </w:pPr>
      <w:r>
        <w:t xml:space="preserve">Rodgers, Daniel T.</w:t>
      </w:r>
      <w:r>
        <w:t xml:space="preserve"> </w:t>
      </w:r>
      <w:r>
        <w:rPr>
          <w:i/>
          <w:iCs/>
        </w:rPr>
        <w:t xml:space="preserve">Atlantic Crossings</w:t>
      </w:r>
      <w:r>
        <w:t xml:space="preserve">.</w:t>
      </w:r>
    </w:p>
    <w:p>
      <w:pPr>
        <w:pStyle w:val="Compact"/>
        <w:numPr>
          <w:ilvl w:val="0"/>
          <w:numId w:val="1002"/>
        </w:numPr>
      </w:pPr>
      <w:r>
        <w:t xml:space="preserve">Rodgers, Daniel T.</w:t>
      </w:r>
      <w:r>
        <w:t xml:space="preserve"> </w:t>
      </w:r>
      <w:r>
        <w:rPr>
          <w:i/>
          <w:iCs/>
        </w:rPr>
        <w:t xml:space="preserve">Age of Fracture</w:t>
      </w:r>
      <w:r>
        <w:t xml:space="preserve">.</w:t>
      </w:r>
    </w:p>
    <w:p>
      <w:pPr>
        <w:pStyle w:val="Compact"/>
        <w:numPr>
          <w:ilvl w:val="0"/>
          <w:numId w:val="1002"/>
        </w:numPr>
      </w:pPr>
      <w:r>
        <w:t xml:space="preserve">Walzer, Michael.</w:t>
      </w:r>
      <w:r>
        <w:t xml:space="preserve"> </w:t>
      </w:r>
      <w:r>
        <w:rPr>
          <w:i/>
          <w:iCs/>
        </w:rPr>
        <w:t xml:space="preserve">The Revolution of the Saints</w:t>
      </w:r>
      <w:r>
        <w:t xml:space="preserve">.</w:t>
      </w:r>
    </w:p>
    <w:p>
      <w:pPr>
        <w:pStyle w:val="Compact"/>
        <w:numPr>
          <w:ilvl w:val="0"/>
          <w:numId w:val="1002"/>
        </w:numPr>
      </w:pPr>
      <w:r>
        <w:t xml:space="preserve">Wiebe, Robert H.</w:t>
      </w:r>
      <w:r>
        <w:t xml:space="preserve"> </w:t>
      </w:r>
      <w:r>
        <w:rPr>
          <w:i/>
          <w:iCs/>
        </w:rPr>
        <w:t xml:space="preserve">The Search for Order</w:t>
      </w:r>
      <w:r>
        <w:t xml:space="preserve">.</w:t>
      </w:r>
    </w:p>
    <w:p>
      <w:pPr>
        <w:pStyle w:val="Compact"/>
        <w:numPr>
          <w:ilvl w:val="0"/>
          <w:numId w:val="1002"/>
        </w:numPr>
      </w:pPr>
      <w:r>
        <w:t xml:space="preserve">Wyatt-Brown, Bertram. work on abolitionism, religion, and moral culture.</w:t>
      </w:r>
    </w:p>
    <w:bookmarkEnd w:id="61"/>
    <w:bookmarkEnd w:id="62"/>
    <w:bookmarkEnd w:id="6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[13]</w:t>
        </w:r>
      </w:hyperlink>
      <w:r>
        <w:t xml:space="preserve"> </w:t>
      </w:r>
      <w:r>
        <w:t xml:space="preserve">https://www.britannica.com/topic/Puritanism</w:t>
      </w:r>
    </w:p>
    <w:p>
      <w:pPr>
        <w:pStyle w:val="BodyText"/>
      </w:pPr>
      <w:hyperlink r:id="rId21">
        <w:r>
          <w:rPr>
            <w:rStyle w:val="Hyperlink"/>
          </w:rPr>
          <w:t xml:space="preserve">https://www.britannica.com/topic/Puritanism</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[10]</w:t>
        </w:r>
      </w:hyperlink>
      <w:r>
        <w:t xml:space="preserve"> </w:t>
      </w:r>
      <w:hyperlink r:id="rId22">
        <w:r>
          <w:rPr>
            <w:rStyle w:val="Hyperlink"/>
          </w:rPr>
          <w:t xml:space="preserve">[14]</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[27]</w:t>
        </w:r>
      </w:hyperlink>
      <w:r>
        <w:t xml:space="preserve"> </w:t>
      </w:r>
      <w:hyperlink r:id="rId22">
        <w:r>
          <w:rPr>
            <w:rStyle w:val="Hyperlink"/>
          </w:rPr>
          <w:t xml:space="preserve">[40]</w:t>
        </w:r>
      </w:hyperlink>
      <w:r>
        <w:t xml:space="preserve"> </w:t>
      </w:r>
      <w:hyperlink r:id="rId22">
        <w:r>
          <w:rPr>
            <w:rStyle w:val="Hyperlink"/>
          </w:rPr>
          <w:t xml:space="preserve">[59]</w:t>
        </w:r>
      </w:hyperlink>
      <w:r>
        <w:t xml:space="preserve"> </w:t>
      </w:r>
      <w:r>
        <w:t xml:space="preserve">https://history.hanover.edu/courses/excerpts/212winth.html</w:t>
      </w:r>
    </w:p>
    <w:p>
      <w:pPr>
        <w:pStyle w:val="BodyText"/>
      </w:pPr>
      <w:hyperlink r:id="rId22">
        <w:r>
          <w:rPr>
            <w:rStyle w:val="Hyperlink"/>
          </w:rPr>
          <w:t xml:space="preserve">https://history.hanover.edu/courses/excerpts/212winth.html</w:t>
        </w:r>
      </w:hyperlink>
    </w:p>
    <w:p>
      <w:pPr>
        <w:pStyle w:val="BodyText"/>
      </w:pPr>
      <w:hyperlink r:id="rId23">
        <w:r>
          <w:rPr>
            <w:rStyle w:val="Hyperlink"/>
          </w:rPr>
          <w:t xml:space="preserve">[3]</w:t>
        </w:r>
      </w:hyperlink>
      <w:r>
        <w:t xml:space="preserve"> </w:t>
      </w:r>
      <w:hyperlink r:id="rId23">
        <w:r>
          <w:rPr>
            <w:rStyle w:val="Hyperlink"/>
          </w:rPr>
          <w:t xml:space="preserve">[31]</w:t>
        </w:r>
      </w:hyperlink>
      <w:r>
        <w:t xml:space="preserve"> </w:t>
      </w:r>
      <w:hyperlink r:id="rId23">
        <w:r>
          <w:rPr>
            <w:rStyle w:val="Hyperlink"/>
          </w:rPr>
          <w:t xml:space="preserve">[55]</w:t>
        </w:r>
      </w:hyperlink>
      <w:r>
        <w:t xml:space="preserve"> </w:t>
      </w:r>
      <w:hyperlink r:id="rId23">
        <w:r>
          <w:rPr>
            <w:rStyle w:val="Hyperlink"/>
          </w:rPr>
          <w:t xml:space="preserve">[60]</w:t>
        </w:r>
      </w:hyperlink>
      <w:r>
        <w:t xml:space="preserve"> </w:t>
      </w:r>
      <w:r>
        <w:t xml:space="preserve">https://nationalhumanitiescenter.org/tserve/nineteen/nkeyinfo/nevanrev.htm</w:t>
      </w:r>
    </w:p>
    <w:p>
      <w:pPr>
        <w:pStyle w:val="BodyText"/>
      </w:pPr>
      <w:hyperlink r:id="rId23">
        <w:r>
          <w:rPr>
            <w:rStyle w:val="Hyperlink"/>
          </w:rPr>
          <w:t xml:space="preserve">https://nationalhumanitiescenter.org/tserve/nineteen/nkeyinfo/nevanrev.htm</w:t>
        </w:r>
      </w:hyperlink>
    </w:p>
    <w:p>
      <w:pPr>
        <w:pStyle w:val="BodyText"/>
      </w:pPr>
      <w:hyperlink r:id="rId24">
        <w:r>
          <w:rPr>
            <w:rStyle w:val="Hyperlink"/>
          </w:rPr>
          <w:t xml:space="preserve">[4]</w:t>
        </w:r>
      </w:hyperlink>
      <w:r>
        <w:t xml:space="preserve"> </w:t>
      </w:r>
      <w:hyperlink r:id="rId24">
        <w:r>
          <w:rPr>
            <w:rStyle w:val="Hyperlink"/>
          </w:rPr>
          <w:t xml:space="preserve">[26]</w:t>
        </w:r>
      </w:hyperlink>
      <w:r>
        <w:t xml:space="preserve"> </w:t>
      </w:r>
      <w:hyperlink r:id="rId24">
        <w:r>
          <w:rPr>
            <w:rStyle w:val="Hyperlink"/>
          </w:rPr>
          <w:t xml:space="preserve">[35]</w:t>
        </w:r>
      </w:hyperlink>
      <w:r>
        <w:t xml:space="preserve"> </w:t>
      </w:r>
      <w:r>
        <w:t xml:space="preserve">https://teachingamericanhistory.org/document/the-promise-of-american-life/</w:t>
      </w:r>
    </w:p>
    <w:p>
      <w:pPr>
        <w:pStyle w:val="BodyText"/>
      </w:pPr>
      <w:hyperlink r:id="rId24">
        <w:r>
          <w:rPr>
            <w:rStyle w:val="Hyperlink"/>
          </w:rPr>
          <w:t xml:space="preserve">https://teachingamericanhistory.org/document/the-promise-of-american-life/</w:t>
        </w:r>
      </w:hyperlink>
    </w:p>
    <w:p>
      <w:pPr>
        <w:pStyle w:val="BodyText"/>
      </w:pPr>
      <w:hyperlink r:id="rId25">
        <w:r>
          <w:rPr>
            <w:rStyle w:val="Hyperlink"/>
          </w:rPr>
          <w:t xml:space="preserve">[5]</w:t>
        </w:r>
      </w:hyperlink>
      <w:r>
        <w:t xml:space="preserve"> </w:t>
      </w:r>
      <w:hyperlink r:id="rId25">
        <w:r>
          <w:rPr>
            <w:rStyle w:val="Hyperlink"/>
          </w:rPr>
          <w:t xml:space="preserve">[54]</w:t>
        </w:r>
      </w:hyperlink>
      <w:r>
        <w:t xml:space="preserve"> </w:t>
      </w:r>
      <w:hyperlink r:id="rId25">
        <w:r>
          <w:rPr>
            <w:rStyle w:val="Hyperlink"/>
          </w:rPr>
          <w:t xml:space="preserve">[61]</w:t>
        </w:r>
      </w:hyperlink>
      <w:r>
        <w:t xml:space="preserve"> </w:t>
      </w:r>
      <w:r>
        <w:t xml:space="preserve">https://www.jstor.org/stable/1520079</w:t>
      </w:r>
    </w:p>
    <w:p>
      <w:pPr>
        <w:pStyle w:val="BodyText"/>
      </w:pPr>
      <w:hyperlink r:id="rId25">
        <w:r>
          <w:rPr>
            <w:rStyle w:val="Hyperlink"/>
          </w:rPr>
          <w:t xml:space="preserve">https://www.jstor.org/stable/1520079</w:t>
        </w:r>
      </w:hyperlink>
    </w:p>
    <w:p>
      <w:pPr>
        <w:pStyle w:val="BodyText"/>
      </w:pPr>
      <w:hyperlink r:id="rId27">
        <w:r>
          <w:rPr>
            <w:rStyle w:val="Hyperlink"/>
          </w:rPr>
          <w:t xml:space="preserve">[8]</w:t>
        </w:r>
      </w:hyperlink>
      <w:r>
        <w:t xml:space="preserve"> </w:t>
      </w:r>
      <w:hyperlink r:id="rId27">
        <w:r>
          <w:rPr>
            <w:rStyle w:val="Hyperlink"/>
          </w:rPr>
          <w:t xml:space="preserve">[21]</w:t>
        </w:r>
      </w:hyperlink>
      <w:r>
        <w:t xml:space="preserve"> </w:t>
      </w:r>
      <w:r>
        <w:t xml:space="preserve">https://nationalhumanitiescenter.org/tserve/eighteen/ekeyinfo/legacy.htm</w:t>
      </w:r>
    </w:p>
    <w:p>
      <w:pPr>
        <w:pStyle w:val="BodyText"/>
      </w:pPr>
      <w:hyperlink r:id="rId27">
        <w:r>
          <w:rPr>
            <w:rStyle w:val="Hyperlink"/>
          </w:rPr>
          <w:t xml:space="preserve">https://nationalhumanitiescenter.org/tserve/eighteen/ekeyinfo/legacy.htm</w:t>
        </w:r>
      </w:hyperlink>
    </w:p>
    <w:p>
      <w:pPr>
        <w:pStyle w:val="BodyText"/>
      </w:pPr>
      <w:hyperlink r:id="rId28">
        <w:r>
          <w:rPr>
            <w:rStyle w:val="Hyperlink"/>
          </w:rPr>
          <w:t xml:space="preserve">[9]</w:t>
        </w:r>
      </w:hyperlink>
      <w:r>
        <w:t xml:space="preserve"> </w:t>
      </w:r>
      <w:hyperlink r:id="rId28">
        <w:r>
          <w:rPr>
            <w:rStyle w:val="Hyperlink"/>
          </w:rPr>
          <w:t xml:space="preserve">[34]</w:t>
        </w:r>
      </w:hyperlink>
      <w:r>
        <w:t xml:space="preserve"> </w:t>
      </w:r>
      <w:hyperlink r:id="rId28">
        <w:r>
          <w:rPr>
            <w:rStyle w:val="Hyperlink"/>
          </w:rPr>
          <w:t xml:space="preserve">[45]</w:t>
        </w:r>
      </w:hyperlink>
      <w:r>
        <w:t xml:space="preserve"> </w:t>
      </w:r>
      <w:r>
        <w:t xml:space="preserve">https://www.loc.gov/exhibitions/join-in-voluntary-associations-in-america/about-this-exhibition/a-nation-of-joiners/changing-america/settlement-houses-hull-house/</w:t>
      </w:r>
    </w:p>
    <w:p>
      <w:pPr>
        <w:pStyle w:val="BodyText"/>
      </w:pPr>
      <w:hyperlink r:id="rId28">
        <w:r>
          <w:rPr>
            <w:rStyle w:val="Hyperlink"/>
          </w:rPr>
          <w:t xml:space="preserve">https://www.loc.gov/exhibitions/join-in-voluntary-associations-in-america/about-this-exhibition/a-nation-of-joiners/changing-america/settlement-houses-hull-house/</w:t>
        </w:r>
      </w:hyperlink>
    </w:p>
    <w:p>
      <w:pPr>
        <w:pStyle w:val="BodyText"/>
      </w:pPr>
      <w:hyperlink r:id="rId30">
        <w:r>
          <w:rPr>
            <w:rStyle w:val="Hyperlink"/>
          </w:rPr>
          <w:t xml:space="preserve">[11]</w:t>
        </w:r>
      </w:hyperlink>
      <w:r>
        <w:t xml:space="preserve"> </w:t>
      </w:r>
      <w:hyperlink r:id="rId30">
        <w:r>
          <w:rPr>
            <w:rStyle w:val="Hyperlink"/>
          </w:rPr>
          <w:t xml:space="preserve">[15]</w:t>
        </w:r>
      </w:hyperlink>
      <w:r>
        <w:t xml:space="preserve"> </w:t>
      </w:r>
      <w:hyperlink r:id="rId30">
        <w:r>
          <w:rPr>
            <w:rStyle w:val="Hyperlink"/>
          </w:rPr>
          <w:t xml:space="preserve">[41]</w:t>
        </w:r>
      </w:hyperlink>
      <w:r>
        <w:t xml:space="preserve"> </w:t>
      </w:r>
      <w:r>
        <w:t xml:space="preserve">https://teachingamericanhistory.org/document/on-liberty/</w:t>
      </w:r>
    </w:p>
    <w:p>
      <w:pPr>
        <w:pStyle w:val="BodyText"/>
      </w:pPr>
      <w:hyperlink r:id="rId30">
        <w:r>
          <w:rPr>
            <w:rStyle w:val="Hyperlink"/>
          </w:rPr>
          <w:t xml:space="preserve">https://teachingamericanhistory.org/document/on-liberty/</w:t>
        </w:r>
      </w:hyperlink>
    </w:p>
    <w:p>
      <w:pPr>
        <w:pStyle w:val="BodyText"/>
      </w:pPr>
      <w:hyperlink r:id="rId31">
        <w:r>
          <w:rPr>
            <w:rStyle w:val="Hyperlink"/>
          </w:rPr>
          <w:t xml:space="preserve">[12]</w:t>
        </w:r>
      </w:hyperlink>
      <w:r>
        <w:t xml:space="preserve"> </w:t>
      </w:r>
      <w:hyperlink r:id="rId31">
        <w:r>
          <w:rPr>
            <w:rStyle w:val="Hyperlink"/>
          </w:rPr>
          <w:t xml:space="preserve">[16]</w:t>
        </w:r>
      </w:hyperlink>
      <w:r>
        <w:t xml:space="preserve"> </w:t>
      </w:r>
      <w:hyperlink r:id="rId31">
        <w:r>
          <w:rPr>
            <w:rStyle w:val="Hyperlink"/>
          </w:rPr>
          <w:t xml:space="preserve">[29]</w:t>
        </w:r>
      </w:hyperlink>
      <w:r>
        <w:t xml:space="preserve"> </w:t>
      </w:r>
      <w:r>
        <w:t xml:space="preserve">https://teachingamericanhistory.org/document/admonishment-and-reconciliation-of-robert-keayne-with-the-church-1639-1640/</w:t>
      </w:r>
    </w:p>
    <w:p>
      <w:pPr>
        <w:pStyle w:val="BodyText"/>
      </w:pPr>
      <w:hyperlink r:id="rId31">
        <w:r>
          <w:rPr>
            <w:rStyle w:val="Hyperlink"/>
          </w:rPr>
          <w:t xml:space="preserve">https://teachingamericanhistory.org/document/admonishment-and-reconciliation-of-robert-keayne-with-the-church-1639-1640/</w:t>
        </w:r>
      </w:hyperlink>
    </w:p>
    <w:p>
      <w:pPr>
        <w:pStyle w:val="BodyText"/>
      </w:pPr>
      <w:hyperlink r:id="rId32">
        <w:r>
          <w:rPr>
            <w:rStyle w:val="Hyperlink"/>
          </w:rPr>
          <w:t xml:space="preserve">[19]</w:t>
        </w:r>
      </w:hyperlink>
      <w:r>
        <w:t xml:space="preserve"> </w:t>
      </w:r>
      <w:hyperlink r:id="rId32">
        <w:r>
          <w:rPr>
            <w:rStyle w:val="Hyperlink"/>
          </w:rPr>
          <w:t xml:space="preserve">[52]</w:t>
        </w:r>
      </w:hyperlink>
      <w:r>
        <w:t xml:space="preserve"> </w:t>
      </w:r>
      <w:r>
        <w:t xml:space="preserve">https://nationalhumanitiescenter.org/tserve/nineteen/nkeyinfo/mandestiny.htm</w:t>
      </w:r>
    </w:p>
    <w:p>
      <w:pPr>
        <w:pStyle w:val="BodyText"/>
      </w:pPr>
      <w:hyperlink r:id="rId32">
        <w:r>
          <w:rPr>
            <w:rStyle w:val="Hyperlink"/>
          </w:rPr>
          <w:t xml:space="preserve">https://nationalhumanitiescenter.org/tserve/nineteen/nkeyinfo/mandestiny.htm</w:t>
        </w:r>
      </w:hyperlink>
    </w:p>
    <w:p>
      <w:pPr>
        <w:pStyle w:val="BodyText"/>
      </w:pPr>
      <w:hyperlink r:id="rId33">
        <w:r>
          <w:rPr>
            <w:rStyle w:val="Hyperlink"/>
          </w:rPr>
          <w:t xml:space="preserve">[20]</w:t>
        </w:r>
      </w:hyperlink>
      <w:r>
        <w:t xml:space="preserve"> </w:t>
      </w:r>
      <w:hyperlink r:id="rId33">
        <w:r>
          <w:rPr>
            <w:rStyle w:val="Hyperlink"/>
          </w:rPr>
          <w:t xml:space="preserve">[28]</w:t>
        </w:r>
      </w:hyperlink>
      <w:r>
        <w:t xml:space="preserve"> </w:t>
      </w:r>
      <w:r>
        <w:t xml:space="preserve">https://teachingamericanhistory.org/document/the-body-of-liberties-of-the-massachusetts-colony-in-new-england/</w:t>
      </w:r>
    </w:p>
    <w:p>
      <w:pPr>
        <w:pStyle w:val="BodyText"/>
      </w:pPr>
      <w:hyperlink r:id="rId33">
        <w:r>
          <w:rPr>
            <w:rStyle w:val="Hyperlink"/>
          </w:rPr>
          <w:t xml:space="preserve">https://teachingamericanhistory.org/document/the-body-of-liberties-of-the-massachusetts-colony-in-new-england/</w:t>
        </w:r>
      </w:hyperlink>
    </w:p>
    <w:p>
      <w:pPr>
        <w:pStyle w:val="BodyText"/>
      </w:pPr>
      <w:hyperlink r:id="rId35">
        <w:r>
          <w:rPr>
            <w:rStyle w:val="Hyperlink"/>
          </w:rPr>
          <w:t xml:space="preserve">[22]</w:t>
        </w:r>
      </w:hyperlink>
      <w:r>
        <w:t xml:space="preserve"> </w:t>
      </w:r>
      <w:r>
        <w:t xml:space="preserve">https://www.jstor.org/stable/jj.36075995</w:t>
      </w:r>
    </w:p>
    <w:p>
      <w:pPr>
        <w:pStyle w:val="BodyText"/>
      </w:pPr>
      <w:hyperlink r:id="rId35">
        <w:r>
          <w:rPr>
            <w:rStyle w:val="Hyperlink"/>
          </w:rPr>
          <w:t xml:space="preserve">https://www.jstor.org/stable/jj.36075995</w:t>
        </w:r>
      </w:hyperlink>
    </w:p>
    <w:p>
      <w:pPr>
        <w:pStyle w:val="BodyText"/>
      </w:pPr>
      <w:hyperlink r:id="rId36">
        <w:r>
          <w:rPr>
            <w:rStyle w:val="Hyperlink"/>
          </w:rPr>
          <w:t xml:space="preserve">[23]</w:t>
        </w:r>
      </w:hyperlink>
      <w:r>
        <w:t xml:space="preserve"> </w:t>
      </w:r>
      <w:r>
        <w:t xml:space="preserve">https://www.aei.org/research-products/journal-publication/a-marriage-of-opposites-tocqueville-on-religion-and-democracy/</w:t>
      </w:r>
    </w:p>
    <w:p>
      <w:pPr>
        <w:pStyle w:val="BodyText"/>
      </w:pPr>
      <w:hyperlink r:id="rId36">
        <w:r>
          <w:rPr>
            <w:rStyle w:val="Hyperlink"/>
          </w:rPr>
          <w:t xml:space="preserve">https://www.aei.org/research-products/journal-publication/a-marriage-of-opposites-tocqueville-on-religion-and-democracy/</w:t>
        </w:r>
      </w:hyperlink>
    </w:p>
    <w:p>
      <w:pPr>
        <w:pStyle w:val="BodyText"/>
      </w:pPr>
      <w:hyperlink r:id="rId37">
        <w:r>
          <w:rPr>
            <w:rStyle w:val="Hyperlink"/>
          </w:rPr>
          <w:t xml:space="preserve">[24]</w:t>
        </w:r>
      </w:hyperlink>
      <w:r>
        <w:t xml:space="preserve"> </w:t>
      </w:r>
      <w:r>
        <w:t xml:space="preserve">https://www.britannica.com/topic/Second-Great-Awakening</w:t>
      </w:r>
    </w:p>
    <w:p>
      <w:pPr>
        <w:pStyle w:val="BodyText"/>
      </w:pPr>
      <w:hyperlink r:id="rId37">
        <w:r>
          <w:rPr>
            <w:rStyle w:val="Hyperlink"/>
          </w:rPr>
          <w:t xml:space="preserve">https://www.britannica.com/topic/Second-Great-Awakening</w:t>
        </w:r>
      </w:hyperlink>
    </w:p>
    <w:p>
      <w:pPr>
        <w:pStyle w:val="BodyText"/>
      </w:pPr>
      <w:hyperlink r:id="rId38">
        <w:r>
          <w:rPr>
            <w:rStyle w:val="Hyperlink"/>
          </w:rPr>
          <w:t xml:space="preserve">[25]</w:t>
        </w:r>
      </w:hyperlink>
      <w:r>
        <w:t xml:space="preserve"> </w:t>
      </w:r>
      <w:hyperlink r:id="rId38">
        <w:r>
          <w:rPr>
            <w:rStyle w:val="Hyperlink"/>
          </w:rPr>
          <w:t xml:space="preserve">[33]</w:t>
        </w:r>
      </w:hyperlink>
      <w:r>
        <w:t xml:space="preserve"> </w:t>
      </w:r>
      <w:r>
        <w:t xml:space="preserve">https://www.britannica.com/event/Social-Gospel</w:t>
      </w:r>
    </w:p>
    <w:p>
      <w:pPr>
        <w:pStyle w:val="BodyText"/>
      </w:pPr>
      <w:hyperlink r:id="rId38">
        <w:r>
          <w:rPr>
            <w:rStyle w:val="Hyperlink"/>
          </w:rPr>
          <w:t xml:space="preserve">https://www.britannica.com/event/Social-Gospel</w:t>
        </w:r>
      </w:hyperlink>
    </w:p>
    <w:p>
      <w:pPr>
        <w:pStyle w:val="BodyText"/>
      </w:pPr>
      <w:hyperlink r:id="rId39">
        <w:r>
          <w:rPr>
            <w:rStyle w:val="Hyperlink"/>
          </w:rPr>
          <w:t xml:space="preserve">[30]</w:t>
        </w:r>
      </w:hyperlink>
      <w:r>
        <w:t xml:space="preserve"> </w:t>
      </w:r>
      <w:r>
        <w:t xml:space="preserve">https://www.ccel.org/e/edwards/sermons.html</w:t>
      </w:r>
    </w:p>
    <w:p>
      <w:pPr>
        <w:pStyle w:val="BodyText"/>
      </w:pPr>
      <w:hyperlink r:id="rId39">
        <w:r>
          <w:rPr>
            <w:rStyle w:val="Hyperlink"/>
          </w:rPr>
          <w:t xml:space="preserve">https://www.ccel.org/e/edwards/sermons.html</w:t>
        </w:r>
      </w:hyperlink>
    </w:p>
    <w:p>
      <w:pPr>
        <w:pStyle w:val="BodyText"/>
      </w:pPr>
      <w:hyperlink r:id="rId40">
        <w:r>
          <w:rPr>
            <w:rStyle w:val="Hyperlink"/>
          </w:rPr>
          <w:t xml:space="preserve">[32]</w:t>
        </w:r>
      </w:hyperlink>
      <w:r>
        <w:t xml:space="preserve"> </w:t>
      </w:r>
      <w:hyperlink r:id="rId40">
        <w:r>
          <w:rPr>
            <w:rStyle w:val="Hyperlink"/>
          </w:rPr>
          <w:t xml:space="preserve">[42]</w:t>
        </w:r>
      </w:hyperlink>
      <w:r>
        <w:t xml:space="preserve"> </w:t>
      </w:r>
      <w:r>
        <w:t xml:space="preserve">https://teachingamericanhistory.org/document/to-the-public/</w:t>
      </w:r>
    </w:p>
    <w:p>
      <w:pPr>
        <w:pStyle w:val="BodyText"/>
      </w:pPr>
      <w:hyperlink r:id="rId40">
        <w:r>
          <w:rPr>
            <w:rStyle w:val="Hyperlink"/>
          </w:rPr>
          <w:t xml:space="preserve">https://teachingamericanhistory.org/document/to-the-public/</w:t>
        </w:r>
      </w:hyperlink>
    </w:p>
    <w:p>
      <w:pPr>
        <w:pStyle w:val="BodyText"/>
      </w:pPr>
      <w:hyperlink r:id="rId41">
        <w:r>
          <w:rPr>
            <w:rStyle w:val="Hyperlink"/>
          </w:rPr>
          <w:t xml:space="preserve">[36]</w:t>
        </w:r>
      </w:hyperlink>
      <w:r>
        <w:t xml:space="preserve"> </w:t>
      </w:r>
      <w:hyperlink r:id="rId41">
        <w:r>
          <w:rPr>
            <w:rStyle w:val="Hyperlink"/>
          </w:rPr>
          <w:t xml:space="preserve">[47]</w:t>
        </w:r>
      </w:hyperlink>
      <w:r>
        <w:t xml:space="preserve"> </w:t>
      </w:r>
      <w:r>
        <w:t xml:space="preserve">https://www.ssa.gov/history/35act.html</w:t>
      </w:r>
    </w:p>
    <w:p>
      <w:pPr>
        <w:pStyle w:val="BodyText"/>
      </w:pPr>
      <w:hyperlink r:id="rId41">
        <w:r>
          <w:rPr>
            <w:rStyle w:val="Hyperlink"/>
          </w:rPr>
          <w:t xml:space="preserve">https://www.ssa.gov/history/35act.html</w:t>
        </w:r>
      </w:hyperlink>
    </w:p>
    <w:p>
      <w:pPr>
        <w:pStyle w:val="BodyText"/>
      </w:pPr>
      <w:hyperlink r:id="rId42">
        <w:r>
          <w:rPr>
            <w:rStyle w:val="Hyperlink"/>
          </w:rPr>
          <w:t xml:space="preserve">[37]</w:t>
        </w:r>
      </w:hyperlink>
      <w:r>
        <w:t xml:space="preserve"> </w:t>
      </w:r>
      <w:r>
        <w:t xml:space="preserve">https://teachingamericanhistory.org/document/to-secure-these-rights-the-report-of-the-presidents-committee-on-civil-rights/</w:t>
      </w:r>
    </w:p>
    <w:p>
      <w:pPr>
        <w:pStyle w:val="BodyText"/>
      </w:pPr>
      <w:hyperlink r:id="rId42">
        <w:r>
          <w:rPr>
            <w:rStyle w:val="Hyperlink"/>
          </w:rPr>
          <w:t xml:space="preserve">https://teachingamericanhistory.org/document/to-secure-these-rights-the-report-of-the-presidents-committee-on-civil-rights/</w:t>
        </w:r>
      </w:hyperlink>
    </w:p>
    <w:p>
      <w:pPr>
        <w:pStyle w:val="BodyText"/>
      </w:pPr>
      <w:hyperlink r:id="rId43">
        <w:r>
          <w:rPr>
            <w:rStyle w:val="Hyperlink"/>
          </w:rPr>
          <w:t xml:space="preserve">[38]</w:t>
        </w:r>
      </w:hyperlink>
      <w:r>
        <w:t xml:space="preserve"> </w:t>
      </w:r>
      <w:r>
        <w:t xml:space="preserve">https://www.archives.gov/federal-register/codification/executive-order/11246.html</w:t>
      </w:r>
    </w:p>
    <w:p>
      <w:pPr>
        <w:pStyle w:val="BodyText"/>
      </w:pPr>
      <w:hyperlink r:id="rId43">
        <w:r>
          <w:rPr>
            <w:rStyle w:val="Hyperlink"/>
          </w:rPr>
          <w:t xml:space="preserve">https://www.archives.gov/federal-register/codification/executive-order/11246.html</w:t>
        </w:r>
      </w:hyperlink>
    </w:p>
    <w:p>
      <w:pPr>
        <w:pStyle w:val="BodyText"/>
      </w:pPr>
      <w:hyperlink r:id="rId44">
        <w:r>
          <w:rPr>
            <w:rStyle w:val="Hyperlink"/>
          </w:rPr>
          <w:t xml:space="preserve">[39]</w:t>
        </w:r>
      </w:hyperlink>
      <w:r>
        <w:t xml:space="preserve"> </w:t>
      </w:r>
      <w:hyperlink r:id="rId44">
        <w:r>
          <w:rPr>
            <w:rStyle w:val="Hyperlink"/>
          </w:rPr>
          <w:t xml:space="preserve">[58]</w:t>
        </w:r>
      </w:hyperlink>
      <w:r>
        <w:t xml:space="preserve"> </w:t>
      </w:r>
      <w:r>
        <w:t xml:space="preserve">https://www.smith.edu/your-campus/offices-services/equity-inclusion/policies-resources/bias-response-team</w:t>
      </w:r>
    </w:p>
    <w:p>
      <w:pPr>
        <w:pStyle w:val="BodyText"/>
      </w:pPr>
      <w:hyperlink r:id="rId44">
        <w:r>
          <w:rPr>
            <w:rStyle w:val="Hyperlink"/>
          </w:rPr>
          <w:t xml:space="preserve">https://www.smith.edu/your-campus/offices-services/equity-inclusion/policies-resources/bias-response-team</w:t>
        </w:r>
      </w:hyperlink>
    </w:p>
    <w:p>
      <w:pPr>
        <w:pStyle w:val="BodyText"/>
      </w:pPr>
      <w:hyperlink r:id="rId49">
        <w:r>
          <w:rPr>
            <w:rStyle w:val="Hyperlink"/>
          </w:rPr>
          <w:t xml:space="preserve">[43]</w:t>
        </w:r>
      </w:hyperlink>
      <w:r>
        <w:t xml:space="preserve"> </w:t>
      </w:r>
      <w:hyperlink r:id="rId49">
        <w:r>
          <w:rPr>
            <w:rStyle w:val="Hyperlink"/>
          </w:rPr>
          <w:t xml:space="preserve">[51]</w:t>
        </w:r>
      </w:hyperlink>
      <w:r>
        <w:t xml:space="preserve"> </w:t>
      </w:r>
      <w:r>
        <w:t xml:space="preserve">https://www.loc.gov/classroom-materials/mass-persuasion-campaigns/</w:t>
      </w:r>
    </w:p>
    <w:p>
      <w:pPr>
        <w:pStyle w:val="BodyText"/>
      </w:pPr>
      <w:hyperlink r:id="rId49">
        <w:r>
          <w:rPr>
            <w:rStyle w:val="Hyperlink"/>
          </w:rPr>
          <w:t xml:space="preserve">https://www.loc.gov/classroom-materials/mass-persuasion-campaigns/</w:t>
        </w:r>
      </w:hyperlink>
    </w:p>
    <w:p>
      <w:pPr>
        <w:pStyle w:val="BodyText"/>
      </w:pPr>
      <w:hyperlink r:id="rId50">
        <w:r>
          <w:rPr>
            <w:rStyle w:val="Hyperlink"/>
          </w:rPr>
          <w:t xml:space="preserve">[44]</w:t>
        </w:r>
      </w:hyperlink>
      <w:r>
        <w:t xml:space="preserve"> </w:t>
      </w:r>
      <w:r>
        <w:t xml:space="preserve">https://www.loc.gov/exhibits/jacob-riis/legacy.html</w:t>
      </w:r>
    </w:p>
    <w:p>
      <w:pPr>
        <w:pStyle w:val="BodyText"/>
      </w:pPr>
      <w:hyperlink r:id="rId50">
        <w:r>
          <w:rPr>
            <w:rStyle w:val="Hyperlink"/>
          </w:rPr>
          <w:t xml:space="preserve">https://www.loc.gov/exhibits/jacob-riis/legacy.html</w:t>
        </w:r>
      </w:hyperlink>
    </w:p>
    <w:p>
      <w:pPr>
        <w:pStyle w:val="BodyText"/>
      </w:pPr>
      <w:hyperlink r:id="rId51">
        <w:r>
          <w:rPr>
            <w:rStyle w:val="Hyperlink"/>
          </w:rPr>
          <w:t xml:space="preserve">[46]</w:t>
        </w:r>
      </w:hyperlink>
      <w:r>
        <w:t xml:space="preserve"> </w:t>
      </w:r>
      <w:r>
        <w:t xml:space="preserve">https://www.britannica.com/biography/Horace-Mann</w:t>
      </w:r>
    </w:p>
    <w:p>
      <w:pPr>
        <w:pStyle w:val="BodyText"/>
      </w:pPr>
      <w:hyperlink r:id="rId51">
        <w:r>
          <w:rPr>
            <w:rStyle w:val="Hyperlink"/>
          </w:rPr>
          <w:t xml:space="preserve">https://www.britannica.com/biography/Horace-Mann</w:t>
        </w:r>
      </w:hyperlink>
    </w:p>
    <w:p>
      <w:pPr>
        <w:pStyle w:val="BodyText"/>
      </w:pPr>
      <w:hyperlink r:id="rId52">
        <w:r>
          <w:rPr>
            <w:rStyle w:val="Hyperlink"/>
          </w:rPr>
          <w:t xml:space="preserve">[48]</w:t>
        </w:r>
      </w:hyperlink>
      <w:r>
        <w:t xml:space="preserve"> </w:t>
      </w:r>
      <w:r>
        <w:t xml:space="preserve">https://teachingamericanhistory.org/document/brown-v-board-of-education-3/</w:t>
      </w:r>
    </w:p>
    <w:p>
      <w:pPr>
        <w:pStyle w:val="BodyText"/>
      </w:pPr>
      <w:hyperlink r:id="rId52">
        <w:r>
          <w:rPr>
            <w:rStyle w:val="Hyperlink"/>
          </w:rPr>
          <w:t xml:space="preserve">https://teachingamericanhistory.org/document/brown-v-board-of-education-3/</w:t>
        </w:r>
      </w:hyperlink>
    </w:p>
    <w:p>
      <w:pPr>
        <w:pStyle w:val="BodyText"/>
      </w:pPr>
      <w:hyperlink r:id="rId53">
        <w:r>
          <w:rPr>
            <w:rStyle w:val="Hyperlink"/>
          </w:rPr>
          <w:t xml:space="preserve">[49]</w:t>
        </w:r>
      </w:hyperlink>
      <w:r>
        <w:t xml:space="preserve"> </w:t>
      </w:r>
      <w:r>
        <w:t xml:space="preserve">https://journals.sagepub.com/doi/pdf/10.1177/0011392107084376</w:t>
      </w:r>
    </w:p>
    <w:p>
      <w:pPr>
        <w:pStyle w:val="BodyText"/>
      </w:pPr>
      <w:hyperlink r:id="rId53">
        <w:r>
          <w:rPr>
            <w:rStyle w:val="Hyperlink"/>
          </w:rPr>
          <w:t xml:space="preserve">https://journals.sagepub.com/doi/pdf/10.1177/0011392107084376</w:t>
        </w:r>
      </w:hyperlink>
    </w:p>
    <w:p>
      <w:pPr>
        <w:pStyle w:val="BodyText"/>
      </w:pPr>
      <w:hyperlink r:id="rId55">
        <w:r>
          <w:rPr>
            <w:rStyle w:val="Hyperlink"/>
          </w:rPr>
          <w:t xml:space="preserve">[50]</w:t>
        </w:r>
      </w:hyperlink>
      <w:r>
        <w:t xml:space="preserve"> </w:t>
      </w:r>
      <w:r>
        <w:t xml:space="preserve">https://teachingamericanhistory.org/introducing-the-election-of-1912-exhibit/</w:t>
      </w:r>
    </w:p>
    <w:p>
      <w:pPr>
        <w:pStyle w:val="BodyText"/>
      </w:pPr>
      <w:hyperlink r:id="rId55">
        <w:r>
          <w:rPr>
            <w:rStyle w:val="Hyperlink"/>
          </w:rPr>
          <w:t xml:space="preserve">https://teachingamericanhistory.org/introducing-the-election-of-1912-exhibit/</w:t>
        </w:r>
      </w:hyperlink>
    </w:p>
    <w:p>
      <w:pPr>
        <w:pStyle w:val="BodyText"/>
      </w:pPr>
      <w:hyperlink r:id="rId56">
        <w:r>
          <w:rPr>
            <w:rStyle w:val="Hyperlink"/>
          </w:rPr>
          <w:t xml:space="preserve">[53]</w:t>
        </w:r>
      </w:hyperlink>
      <w:r>
        <w:t xml:space="preserve"> </w:t>
      </w:r>
      <w:r>
        <w:t xml:space="preserve">https://teachingamericanhistory.org/document/in-support-of-an-american-empire/</w:t>
      </w:r>
    </w:p>
    <w:p>
      <w:pPr>
        <w:pStyle w:val="BodyText"/>
      </w:pPr>
      <w:hyperlink r:id="rId56">
        <w:r>
          <w:rPr>
            <w:rStyle w:val="Hyperlink"/>
          </w:rPr>
          <w:t xml:space="preserve">https://teachingamericanhistory.org/document/in-support-of-an-american-empire/</w:t>
        </w:r>
      </w:hyperlink>
    </w:p>
    <w:p>
      <w:pPr>
        <w:pStyle w:val="BodyText"/>
      </w:pPr>
      <w:hyperlink r:id="rId58">
        <w:r>
          <w:rPr>
            <w:rStyle w:val="Hyperlink"/>
          </w:rPr>
          <w:t xml:space="preserve">[56]</w:t>
        </w:r>
      </w:hyperlink>
      <w:r>
        <w:t xml:space="preserve"> </w:t>
      </w:r>
      <w:r>
        <w:t xml:space="preserve">https://www.jstor.org/stable/pdf/20027022.pdf</w:t>
      </w:r>
    </w:p>
    <w:p>
      <w:pPr>
        <w:pStyle w:val="BodyText"/>
      </w:pPr>
      <w:hyperlink r:id="rId58">
        <w:r>
          <w:rPr>
            <w:rStyle w:val="Hyperlink"/>
          </w:rPr>
          <w:t xml:space="preserve">https://www.jstor.org/stable/pdf/20027022.pdf</w:t>
        </w:r>
      </w:hyperlink>
    </w:p>
    <w:p>
      <w:pPr>
        <w:pStyle w:val="BodyText"/>
      </w:pPr>
      <w:hyperlink r:id="rId59">
        <w:r>
          <w:rPr>
            <w:rStyle w:val="Hyperlink"/>
          </w:rPr>
          <w:t xml:space="preserve">[57]</w:t>
        </w:r>
      </w:hyperlink>
      <w:r>
        <w:t xml:space="preserve"> </w:t>
      </w:r>
      <w:r>
        <w:t xml:space="preserve">https://pen.org/book-bans/</w:t>
      </w:r>
    </w:p>
    <w:p>
      <w:pPr>
        <w:pStyle w:val="BodyText"/>
      </w:pPr>
      <w:hyperlink r:id="rId59">
        <w:r>
          <w:rPr>
            <w:rStyle w:val="Hyperlink"/>
          </w:rPr>
          <w:t xml:space="preserve">https://pen.org/book-bans/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hyperlink" Id="rId22" Target="https://history.hanover.edu/courses/excerpts/212winth.html" TargetMode="External" /><Relationship Type="http://schemas.openxmlformats.org/officeDocument/2006/relationships/hyperlink" Id="rId53" Target="https://journals.sagepub.com/doi/pdf/10.1177/0011392107084376" TargetMode="External" /><Relationship Type="http://schemas.openxmlformats.org/officeDocument/2006/relationships/hyperlink" Id="rId27" Target="https://nationalhumanitiescenter.org/tserve/eighteen/ekeyinfo/legacy.htm" TargetMode="External" /><Relationship Type="http://schemas.openxmlformats.org/officeDocument/2006/relationships/hyperlink" Id="rId32" Target="https://nationalhumanitiescenter.org/tserve/nineteen/nkeyinfo/mandestiny.htm" TargetMode="External" /><Relationship Type="http://schemas.openxmlformats.org/officeDocument/2006/relationships/hyperlink" Id="rId23" Target="https://nationalhumanitiescenter.org/tserve/nineteen/nkeyinfo/nevanrev.htm" TargetMode="External" /><Relationship Type="http://schemas.openxmlformats.org/officeDocument/2006/relationships/hyperlink" Id="rId59" Target="https://pen.org/book-bans/" TargetMode="External" /><Relationship Type="http://schemas.openxmlformats.org/officeDocument/2006/relationships/hyperlink" Id="rId31" Target="https://teachingamericanhistory.org/document/admonishment-and-reconciliation-of-robert-keayne-with-the-church-1639-1640/" TargetMode="External" /><Relationship Type="http://schemas.openxmlformats.org/officeDocument/2006/relationships/hyperlink" Id="rId52" Target="https://teachingamericanhistory.org/document/brown-v-board-of-education-3/" TargetMode="External" /><Relationship Type="http://schemas.openxmlformats.org/officeDocument/2006/relationships/hyperlink" Id="rId56" Target="https://teachingamericanhistory.org/document/in-support-of-an-american-empire/" TargetMode="External" /><Relationship Type="http://schemas.openxmlformats.org/officeDocument/2006/relationships/hyperlink" Id="rId30" Target="https://teachingamericanhistory.org/document/on-liberty/" TargetMode="External" /><Relationship Type="http://schemas.openxmlformats.org/officeDocument/2006/relationships/hyperlink" Id="rId33" Target="https://teachingamericanhistory.org/document/the-body-of-liberties-of-the-massachusetts-colony-in-new-england/" TargetMode="External" /><Relationship Type="http://schemas.openxmlformats.org/officeDocument/2006/relationships/hyperlink" Id="rId24" Target="https://teachingamericanhistory.org/document/the-promise-of-american-life/" TargetMode="External" /><Relationship Type="http://schemas.openxmlformats.org/officeDocument/2006/relationships/hyperlink" Id="rId42" Target="https://teachingamericanhistory.org/document/to-secure-these-rights-the-report-of-the-presidents-committee-on-civil-rights/" TargetMode="External" /><Relationship Type="http://schemas.openxmlformats.org/officeDocument/2006/relationships/hyperlink" Id="rId40" Target="https://teachingamericanhistory.org/document/to-the-public/" TargetMode="External" /><Relationship Type="http://schemas.openxmlformats.org/officeDocument/2006/relationships/hyperlink" Id="rId55" Target="https://teachingamericanhistory.org/introducing-the-election-of-1912-exhibit/" TargetMode="External" /><Relationship Type="http://schemas.openxmlformats.org/officeDocument/2006/relationships/hyperlink" Id="rId36" Target="https://www.aei.org/research-products/journal-publication/a-marriage-of-opposites-tocqueville-on-religion-and-democracy/" TargetMode="External" /><Relationship Type="http://schemas.openxmlformats.org/officeDocument/2006/relationships/hyperlink" Id="rId43" Target="https://www.archives.gov/federal-register/codification/executive-order/11246.html" TargetMode="External" /><Relationship Type="http://schemas.openxmlformats.org/officeDocument/2006/relationships/hyperlink" Id="rId51" Target="https://www.britannica.com/biography/Horace-Mann" TargetMode="External" /><Relationship Type="http://schemas.openxmlformats.org/officeDocument/2006/relationships/hyperlink" Id="rId38" Target="https://www.britannica.com/event/Social-Gospel" TargetMode="External" /><Relationship Type="http://schemas.openxmlformats.org/officeDocument/2006/relationships/hyperlink" Id="rId21" Target="https://www.britannica.com/topic/Puritanism" TargetMode="External" /><Relationship Type="http://schemas.openxmlformats.org/officeDocument/2006/relationships/hyperlink" Id="rId37" Target="https://www.britannica.com/topic/Second-Great-Awakening" TargetMode="External" /><Relationship Type="http://schemas.openxmlformats.org/officeDocument/2006/relationships/hyperlink" Id="rId39" Target="https://www.ccel.org/e/edwards/sermons.html" TargetMode="External" /><Relationship Type="http://schemas.openxmlformats.org/officeDocument/2006/relationships/hyperlink" Id="rId25" Target="https://www.jstor.org/stable/1520079" TargetMode="External" /><Relationship Type="http://schemas.openxmlformats.org/officeDocument/2006/relationships/hyperlink" Id="rId35" Target="https://www.jstor.org/stable/jj.36075995" TargetMode="External" /><Relationship Type="http://schemas.openxmlformats.org/officeDocument/2006/relationships/hyperlink" Id="rId58" Target="https://www.jstor.org/stable/pdf/20027022.pdf" TargetMode="External" /><Relationship Type="http://schemas.openxmlformats.org/officeDocument/2006/relationships/hyperlink" Id="rId49" Target="https://www.loc.gov/classroom-materials/mass-persuasion-campaigns/" TargetMode="External" /><Relationship Type="http://schemas.openxmlformats.org/officeDocument/2006/relationships/hyperlink" Id="rId28" Target="https://www.loc.gov/exhibitions/join-in-voluntary-associations-in-america/about-this-exhibition/a-nation-of-joiners/changing-america/settlement-houses-hull-house/" TargetMode="External" /><Relationship Type="http://schemas.openxmlformats.org/officeDocument/2006/relationships/hyperlink" Id="rId50" Target="https://www.loc.gov/exhibits/jacob-riis/legacy.html" TargetMode="External" /><Relationship Type="http://schemas.openxmlformats.org/officeDocument/2006/relationships/hyperlink" Id="rId44" Target="https://www.smith.edu/your-campus/offices-services/equity-inclusion/policies-resources/bias-response-team" TargetMode="External" /><Relationship Type="http://schemas.openxmlformats.org/officeDocument/2006/relationships/hyperlink" Id="rId41" Target="https://www.ssa.gov/history/35act.html" TargetMode="External" /></Relationships>
</file>

<file path=word/_rels/footnotes.xml.rels><?xml version="1.0" encoding="UTF-8"?><Relationships xmlns="http://schemas.openxmlformats.org/package/2006/relationships"><Relationship Type="http://schemas.openxmlformats.org/officeDocument/2006/relationships/hyperlink" Id="rId22" Target="https://history.hanover.edu/courses/excerpts/212winth.html" TargetMode="External" /><Relationship Type="http://schemas.openxmlformats.org/officeDocument/2006/relationships/hyperlink" Id="rId53" Target="https://journals.sagepub.com/doi/pdf/10.1177/0011392107084376" TargetMode="External" /><Relationship Type="http://schemas.openxmlformats.org/officeDocument/2006/relationships/hyperlink" Id="rId27" Target="https://nationalhumanitiescenter.org/tserve/eighteen/ekeyinfo/legacy.htm" TargetMode="External" /><Relationship Type="http://schemas.openxmlformats.org/officeDocument/2006/relationships/hyperlink" Id="rId32" Target="https://nationalhumanitiescenter.org/tserve/nineteen/nkeyinfo/mandestiny.htm" TargetMode="External" /><Relationship Type="http://schemas.openxmlformats.org/officeDocument/2006/relationships/hyperlink" Id="rId23" Target="https://nationalhumanitiescenter.org/tserve/nineteen/nkeyinfo/nevanrev.htm" TargetMode="External" /><Relationship Type="http://schemas.openxmlformats.org/officeDocument/2006/relationships/hyperlink" Id="rId59" Target="https://pen.org/book-bans/" TargetMode="External" /><Relationship Type="http://schemas.openxmlformats.org/officeDocument/2006/relationships/hyperlink" Id="rId31" Target="https://teachingamericanhistory.org/document/admonishment-and-reconciliation-of-robert-keayne-with-the-church-1639-1640/" TargetMode="External" /><Relationship Type="http://schemas.openxmlformats.org/officeDocument/2006/relationships/hyperlink" Id="rId52" Target="https://teachingamericanhistory.org/document/brown-v-board-of-education-3/" TargetMode="External" /><Relationship Type="http://schemas.openxmlformats.org/officeDocument/2006/relationships/hyperlink" Id="rId56" Target="https://teachingamericanhistory.org/document/in-support-of-an-american-empire/" TargetMode="External" /><Relationship Type="http://schemas.openxmlformats.org/officeDocument/2006/relationships/hyperlink" Id="rId30" Target="https://teachingamericanhistory.org/document/on-liberty/" TargetMode="External" /><Relationship Type="http://schemas.openxmlformats.org/officeDocument/2006/relationships/hyperlink" Id="rId33" Target="https://teachingamericanhistory.org/document/the-body-of-liberties-of-the-massachusetts-colony-in-new-england/" TargetMode="External" /><Relationship Type="http://schemas.openxmlformats.org/officeDocument/2006/relationships/hyperlink" Id="rId24" Target="https://teachingamericanhistory.org/document/the-promise-of-american-life/" TargetMode="External" /><Relationship Type="http://schemas.openxmlformats.org/officeDocument/2006/relationships/hyperlink" Id="rId42" Target="https://teachingamericanhistory.org/document/to-secure-these-rights-the-report-of-the-presidents-committee-on-civil-rights/" TargetMode="External" /><Relationship Type="http://schemas.openxmlformats.org/officeDocument/2006/relationships/hyperlink" Id="rId40" Target="https://teachingamericanhistory.org/document/to-the-public/" TargetMode="External" /><Relationship Type="http://schemas.openxmlformats.org/officeDocument/2006/relationships/hyperlink" Id="rId55" Target="https://teachingamericanhistory.org/introducing-the-election-of-1912-exhibit/" TargetMode="External" /><Relationship Type="http://schemas.openxmlformats.org/officeDocument/2006/relationships/hyperlink" Id="rId36" Target="https://www.aei.org/research-products/journal-publication/a-marriage-of-opposites-tocqueville-on-religion-and-democracy/" TargetMode="External" /><Relationship Type="http://schemas.openxmlformats.org/officeDocument/2006/relationships/hyperlink" Id="rId43" Target="https://www.archives.gov/federal-register/codification/executive-order/11246.html" TargetMode="External" /><Relationship Type="http://schemas.openxmlformats.org/officeDocument/2006/relationships/hyperlink" Id="rId51" Target="https://www.britannica.com/biography/Horace-Mann" TargetMode="External" /><Relationship Type="http://schemas.openxmlformats.org/officeDocument/2006/relationships/hyperlink" Id="rId38" Target="https://www.britannica.com/event/Social-Gospel" TargetMode="External" /><Relationship Type="http://schemas.openxmlformats.org/officeDocument/2006/relationships/hyperlink" Id="rId21" Target="https://www.britannica.com/topic/Puritanism" TargetMode="External" /><Relationship Type="http://schemas.openxmlformats.org/officeDocument/2006/relationships/hyperlink" Id="rId37" Target="https://www.britannica.com/topic/Second-Great-Awakening" TargetMode="External" /><Relationship Type="http://schemas.openxmlformats.org/officeDocument/2006/relationships/hyperlink" Id="rId39" Target="https://www.ccel.org/e/edwards/sermons.html" TargetMode="External" /><Relationship Type="http://schemas.openxmlformats.org/officeDocument/2006/relationships/hyperlink" Id="rId25" Target="https://www.jstor.org/stable/1520079" TargetMode="External" /><Relationship Type="http://schemas.openxmlformats.org/officeDocument/2006/relationships/hyperlink" Id="rId35" Target="https://www.jstor.org/stable/jj.36075995" TargetMode="External" /><Relationship Type="http://schemas.openxmlformats.org/officeDocument/2006/relationships/hyperlink" Id="rId58" Target="https://www.jstor.org/stable/pdf/20027022.pdf" TargetMode="External" /><Relationship Type="http://schemas.openxmlformats.org/officeDocument/2006/relationships/hyperlink" Id="rId49" Target="https://www.loc.gov/classroom-materials/mass-persuasion-campaigns/" TargetMode="External" /><Relationship Type="http://schemas.openxmlformats.org/officeDocument/2006/relationships/hyperlink" Id="rId28" Target="https://www.loc.gov/exhibitions/join-in-voluntary-associations-in-america/about-this-exhibition/a-nation-of-joiners/changing-america/settlement-houses-hull-house/" TargetMode="External" /><Relationship Type="http://schemas.openxmlformats.org/officeDocument/2006/relationships/hyperlink" Id="rId50" Target="https://www.loc.gov/exhibits/jacob-riis/legacy.html" TargetMode="External" /><Relationship Type="http://schemas.openxmlformats.org/officeDocument/2006/relationships/hyperlink" Id="rId44" Target="https://www.smith.edu/your-campus/offices-services/equity-inclusion/policies-resources/bias-response-team" TargetMode="External" /><Relationship Type="http://schemas.openxmlformats.org/officeDocument/2006/relationships/hyperlink" Id="rId41" Target="https://www.ssa.gov/history/35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2026-06-01T22:39:37Z</dcterms:created>
  <dcterms:modified xsi:type="dcterms:W3CDTF">2026-06-01T22:39:37Z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