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executive-summary"/>
    <w:p>
      <w:pPr>
        <w:pStyle w:val="Heading1"/>
      </w:pPr>
      <w:r>
        <w:t xml:space="preserve">Executive Summary</w:t>
      </w:r>
    </w:p>
    <w:p>
      <w:pPr>
        <w:pStyle w:val="FirstParagraph"/>
      </w:pPr>
      <w:r>
        <w:t xml:space="preserve">A growing body of evidence suggests that judicial outcomes often favor entrenched or elite interests (the “establishment” or “pro-yankee” side) over underdog challengers. Landmark U.S. Supreme Court cases across history routinely vindicate business, property, and government powers at the expense of labor, individuals, or progressive aims. For example, early cases like</w:t>
      </w:r>
      <w:r>
        <w:t xml:space="preserve"> </w:t>
      </w:r>
      <w:r>
        <w:rPr>
          <w:i/>
          <w:iCs/>
        </w:rPr>
        <w:t xml:space="preserve">Dartmouth College v. Woodward</w:t>
      </w:r>
      <w:r>
        <w:t xml:space="preserve"> </w:t>
      </w:r>
      <w:r>
        <w:t xml:space="preserve">(1819) and</w:t>
      </w:r>
      <w:r>
        <w:t xml:space="preserve"> </w:t>
      </w:r>
      <w:r>
        <w:rPr>
          <w:i/>
          <w:iCs/>
        </w:rPr>
        <w:t xml:space="preserve">Lochner v. New York</w:t>
      </w:r>
      <w:r>
        <w:t xml:space="preserve"> </w:t>
      </w:r>
      <w:r>
        <w:t xml:space="preserve">(1905) protected corporate charters and struck down labor regulations</w:t>
      </w:r>
      <w:hyperlink r:id="rId21">
        <w:r>
          <w:rPr>
            <w:rStyle w:val="Hyperlink"/>
          </w:rPr>
          <w:t xml:space="preserve">[1]</w:t>
        </w:r>
      </w:hyperlink>
      <w:hyperlink r:id="rId22">
        <w:r>
          <w:rPr>
            <w:rStyle w:val="Hyperlink"/>
          </w:rPr>
          <w:t xml:space="preserve">[2]</w:t>
        </w:r>
      </w:hyperlink>
      <w:r>
        <w:t xml:space="preserve">, while more recent decisions like</w:t>
      </w:r>
      <w:r>
        <w:t xml:space="preserve"> </w:t>
      </w:r>
      <w:r>
        <w:rPr>
          <w:i/>
          <w:iCs/>
        </w:rPr>
        <w:t xml:space="preserve">Citizens United v. FEC</w:t>
      </w:r>
      <w:r>
        <w:t xml:space="preserve"> </w:t>
      </w:r>
      <w:r>
        <w:t xml:space="preserve">(2010) and</w:t>
      </w:r>
      <w:r>
        <w:t xml:space="preserve"> </w:t>
      </w:r>
      <w:r>
        <w:rPr>
          <w:i/>
          <w:iCs/>
        </w:rPr>
        <w:t xml:space="preserve">Burwell v. Hobby Lobby</w:t>
      </w:r>
      <w:r>
        <w:t xml:space="preserve"> </w:t>
      </w:r>
      <w:r>
        <w:t xml:space="preserve">(2014) expanded corporate speech and religious rights, respectively</w:t>
      </w:r>
      <w:hyperlink r:id="rId23">
        <w:r>
          <w:rPr>
            <w:rStyle w:val="Hyperlink"/>
          </w:rPr>
          <w:t xml:space="preserve">[3]</w:t>
        </w:r>
      </w:hyperlink>
      <w:hyperlink r:id="rId24">
        <w:r>
          <w:rPr>
            <w:rStyle w:val="Hyperlink"/>
          </w:rPr>
          <w:t xml:space="preserve">[4]</w:t>
        </w:r>
      </w:hyperlink>
      <w:r>
        <w:t xml:space="preserve">. Studies show the Roberts Court is notably “pro-business”: one analysis finds the U.S. Chamber of Commerce won ~70% of its cases in the Roberts era versus 43–56% under prior Courts</w:t>
      </w:r>
      <w:hyperlink r:id="rId25">
        <w:r>
          <w:rPr>
            <w:rStyle w:val="Hyperlink"/>
          </w:rPr>
          <w:t xml:space="preserve">[5]</w:t>
        </w:r>
      </w:hyperlink>
      <w:hyperlink r:id="rId26">
        <w:r>
          <w:rPr>
            <w:rStyle w:val="Hyperlink"/>
          </w:rPr>
          <w:t xml:space="preserve">[6]</w:t>
        </w:r>
      </w:hyperlink>
      <w:r>
        <w:t xml:space="preserve">. Empirical research coding 1,700+ cases from 1953–2022 likewise finds Republican-appointed justices cast “pro-rich” votes ~70% of the time (Democratic appointees ~35%)</w:t>
      </w:r>
      <w:hyperlink r:id="rId27">
        <w:r>
          <w:rPr>
            <w:rStyle w:val="Hyperlink"/>
          </w:rPr>
          <w:t xml:space="preserve">[7]</w:t>
        </w:r>
      </w:hyperlink>
      <w:r>
        <w:t xml:space="preserve">. Courts’ formal doctrines (like the</w:t>
      </w:r>
      <w:r>
        <w:t xml:space="preserve"> </w:t>
      </w:r>
      <w:r>
        <w:rPr>
          <w:i/>
          <w:iCs/>
        </w:rPr>
        <w:t xml:space="preserve">business judgment</w:t>
      </w:r>
      <w:r>
        <w:t xml:space="preserve"> </w:t>
      </w:r>
      <w:r>
        <w:t xml:space="preserve">rule) and behavioral tendencies (status-quo bias) further tilt outcomes toward established entities. Scholarly and media commentary decry a “star chamber” or century-high pro-corporate tilt</w:t>
      </w:r>
      <w:hyperlink r:id="rId28">
        <w:r>
          <w:rPr>
            <w:rStyle w:val="Hyperlink"/>
          </w:rPr>
          <w:t xml:space="preserve">[8]</w:t>
        </w:r>
      </w:hyperlink>
      <w:hyperlink r:id="rId29">
        <w:r>
          <w:rPr>
            <w:rStyle w:val="Hyperlink"/>
          </w:rPr>
          <w:t xml:space="preserve">[9]</w:t>
        </w:r>
      </w:hyperlink>
      <w:r>
        <w:t xml:space="preserve">. Comparative examples (e.g. UK and Canadian courts sometimes backing employers over gig workers) suggest this pattern is not unique to the U.S. Counterexamples exist (e.g.</w:t>
      </w:r>
      <w:r>
        <w:t xml:space="preserve"> </w:t>
      </w:r>
      <w:r>
        <w:rPr>
          <w:i/>
          <w:iCs/>
        </w:rPr>
        <w:t xml:space="preserve">Brown v. Board</w:t>
      </w:r>
      <w:r>
        <w:t xml:space="preserve">, pro-consumer rulings), but are relatively rare.</w:t>
      </w:r>
    </w:p>
    <w:p>
      <w:pPr>
        <w:pStyle w:val="BodyText"/>
      </w:pPr>
      <w:r>
        <w:t xml:space="preserve">This report catalogues key cases, empirical findings, academic theories, and commentary on judicial bias toward entrenched interests. We tabulate 12 illustrative cases (U.S. and abroad) noting party types, issues, outcomes, and reasoning. Charts and timelines highlight major trends.</w:t>
      </w:r>
      <w:r>
        <w:t xml:space="preserve"> </w:t>
      </w:r>
      <w:r>
        <w:rPr>
          <w:b/>
          <w:bCs/>
        </w:rPr>
        <w:t xml:space="preserve">Assumptions/Limitations:</w:t>
      </w:r>
      <w:r>
        <w:t xml:space="preserve"> </w:t>
      </w:r>
      <w:r>
        <w:t xml:space="preserve">Studies often classify parties as “rich” vs “poor” or “pro-business” vs “pro-individual” on varied criteria, so categorizations may not capture nuance (e.g. not all corporate wins benefit every elite). Data is mostly from published decisions; unreported cases and trial courts are outside this scope. Despite these caveats, the preponderance of sources indicates a real asymmetry in favor of established interests.</w:t>
      </w:r>
    </w:p>
    <w:bookmarkStart w:id="36" w:name="X07274069e4e3d092208cea667a65cb1ab3c4d3f"/>
    <w:p>
      <w:pPr>
        <w:pStyle w:val="Heading2"/>
      </w:pPr>
      <w:r>
        <w:t xml:space="preserve">Landmark U.S. Cases Favoring Elite/Status-Quo Interests</w:t>
      </w:r>
    </w:p>
    <w:p>
      <w:pPr>
        <w:pStyle w:val="FirstParagraph"/>
      </w:pPr>
      <w:r>
        <w:t xml:space="preserve">Below is a summary of selected landmark cases illustrating courts siding with established or elite parties. (A fuller set of 12 cases is compared in</w:t>
      </w:r>
      <w:r>
        <w:t xml:space="preserve"> </w:t>
      </w:r>
      <w:r>
        <w:rPr>
          <w:b/>
          <w:bCs/>
        </w:rPr>
        <w:t xml:space="preserve">Table 1</w:t>
      </w:r>
      <w:r>
        <w:t xml:space="preserve">.) For each, we note the parties, issue, ruling, and why it favored entrenched interests.</w:t>
      </w:r>
    </w:p>
    <w:p>
      <w:pPr>
        <w:pStyle w:val="SourceCode"/>
      </w:pPr>
      <w:r>
        <w:rPr>
          <w:rStyle w:val="VerbatimChar"/>
        </w:rPr>
        <w:t xml:space="preserve">timeline</w:t>
      </w:r>
      <w:r>
        <w:br/>
      </w:r>
      <w:r>
        <w:rPr>
          <w:rStyle w:val="VerbatimChar"/>
        </w:rPr>
        <w:t xml:space="preserve">title Major Judicial Decisions Affecting Entrenched Interests</w:t>
      </w:r>
      <w:r>
        <w:br/>
      </w:r>
      <w:r>
        <w:rPr>
          <w:rStyle w:val="VerbatimChar"/>
        </w:rPr>
        <w:t xml:space="preserve">1819 : *Dartmouth College v. Woodward* (US SCOTUS) – corporate college vindicated against state takeover[1]  </w:t>
      </w:r>
      <w:r>
        <w:br/>
      </w:r>
      <w:r>
        <w:rPr>
          <w:rStyle w:val="VerbatimChar"/>
        </w:rPr>
        <w:t xml:space="preserve">1905 : *Lochner v. New York* (US SCOTUS) – bakery owners beat back labor-hours law[2]  </w:t>
      </w:r>
      <w:r>
        <w:br/>
      </w:r>
      <w:r>
        <w:rPr>
          <w:rStyle w:val="VerbatimChar"/>
        </w:rPr>
        <w:t xml:space="preserve">1954 : *Brown v. Board* (US SCOTUS) – segregation struck down (civil-rights victory)[10]  </w:t>
      </w:r>
      <w:r>
        <w:br/>
      </w:r>
      <w:r>
        <w:rPr>
          <w:rStyle w:val="VerbatimChar"/>
        </w:rPr>
        <w:t xml:space="preserve">2005 : *Kelo v. New London* (US SCOTUS) – city allowed use of eminent domain for developer[11]  </w:t>
      </w:r>
      <w:r>
        <w:br/>
      </w:r>
      <w:r>
        <w:rPr>
          <w:rStyle w:val="VerbatimChar"/>
        </w:rPr>
        <w:t xml:space="preserve">2010 : *Citizens United v. FEC* (US SCOTUS) – corporations gain unlimited campaign speech rights[3]  </w:t>
      </w:r>
      <w:r>
        <w:br/>
      </w:r>
      <w:r>
        <w:rPr>
          <w:rStyle w:val="VerbatimChar"/>
        </w:rPr>
        <w:t xml:space="preserve">2014 : *Burwell v. Hobby Lobby* (US SCOTUS) – for-profit corp claims religious exemption from contraceptive mandate[4]  </w:t>
      </w:r>
      <w:r>
        <w:br/>
      </w:r>
      <w:r>
        <w:rPr>
          <w:rStyle w:val="VerbatimChar"/>
        </w:rPr>
        <w:t xml:space="preserve">2018 : *Janus v. AFSCME* (US SCOTUS) – public employees refuse union fees (speech rights)[12]  </w:t>
      </w:r>
      <w:r>
        <w:br/>
      </w:r>
      <w:r>
        <w:rPr>
          <w:rStyle w:val="VerbatimChar"/>
        </w:rPr>
        <w:t xml:space="preserve">2021 : *Cedar Point Nursery v. Hassid* (US SCOTUS) – union access rule held a taking for growers[13]  </w:t>
      </w:r>
      <w:r>
        <w:br/>
      </w:r>
      <w:r>
        <w:rPr>
          <w:rStyle w:val="VerbatimChar"/>
        </w:rPr>
        <w:t xml:space="preserve">2021 : *Americans for Prosperity v. Bonta* (US SCOTUS) – donor-disclosure rule struck, protecting wealthy donors  </w:t>
      </w:r>
      <w:r>
        <w:br/>
      </w:r>
      <w:r>
        <w:rPr>
          <w:rStyle w:val="VerbatimChar"/>
        </w:rPr>
        <w:t xml:space="preserve">2021 : *Ford Motor Co. v. Montana Eighth JDC* (US SCOTUS) – consumers prevail on jurisdiction (narrow loss for forum-shopping biz)[14]  </w:t>
      </w:r>
      <w:r>
        <w:br/>
      </w:r>
      <w:r>
        <w:rPr>
          <w:rStyle w:val="VerbatimChar"/>
        </w:rPr>
        <w:t xml:space="preserve">2021 : *Nestlé USA v. Doe I* (US SCOTUS) – child-labor suit dismissed on extraterritoriality grounds (corp victory)[15]  </w:t>
      </w:r>
      <w:r>
        <w:br/>
      </w:r>
      <w:r>
        <w:rPr>
          <w:rStyle w:val="VerbatimChar"/>
        </w:rPr>
        <w:t xml:space="preserve">2021 : *Uber BV v. Aslam* (UK Supreme Court) – drivers are “workers” entitled to rights[16]  </w:t>
      </w:r>
    </w:p>
    <w:p>
      <w:pPr>
        <w:pStyle w:val="FirstParagraph"/>
      </w:pPr>
      <w:r>
        <w:rPr>
          <w:b/>
          <w:bCs/>
        </w:rPr>
        <w:t xml:space="preserve">Table 1: Case Comparisons.</w:t>
      </w:r>
      <w:r>
        <w:t xml:space="preserve"> </w:t>
      </w:r>
      <w:r>
        <w:t xml:space="preserve">Key attributes of major cases (Party types: “Elite” = corporations, government, etc.; “Non-elite” = individuals, workers, consumers, etc.;</w:t>
      </w:r>
      <w:r>
        <w:t xml:space="preserve"> </w:t>
      </w:r>
      <w:r>
        <w:rPr>
          <w:i/>
          <w:iCs/>
        </w:rPr>
        <w:t xml:space="preserve">Issue</w:t>
      </w:r>
      <w:r>
        <w:t xml:space="preserve"> </w:t>
      </w:r>
      <w:r>
        <w:t xml:space="preserve">and</w:t>
      </w:r>
      <w:r>
        <w:t xml:space="preserve"> </w:t>
      </w:r>
      <w:r>
        <w:rPr>
          <w:i/>
          <w:iCs/>
        </w:rPr>
        <w:t xml:space="preserve">Holding</w:t>
      </w:r>
      <w:r>
        <w:t xml:space="preserve"> </w:t>
      </w:r>
      <w:r>
        <w:t xml:space="preserve">summarised).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Case (Year)</w:t>
            </w:r>
          </w:p>
        </w:tc>
        <w:tc>
          <w:tcPr/>
          <w:p>
            <w:pPr>
              <w:pStyle w:val="Compact"/>
            </w:pPr>
            <w:r>
              <w:t xml:space="preserve">Juris-</w:t>
            </w:r>
          </w:p>
        </w:tc>
        <w:tc>
          <w:tcPr/>
          <w:p>
            <w:pPr>
              <w:pStyle w:val="Compact"/>
            </w:pPr>
            <w:r>
              <w:t xml:space="preserve">Plaintiff / Cause (Elite?)</w:t>
            </w:r>
          </w:p>
        </w:tc>
        <w:tc>
          <w:tcPr/>
          <w:p>
            <w:pPr>
              <w:pStyle w:val="Compact"/>
            </w:pPr>
            <w:r>
              <w:t xml:space="preserve">Defendant / Other</w:t>
            </w:r>
          </w:p>
        </w:tc>
        <w:tc>
          <w:tcPr/>
          <w:p>
            <w:pPr>
              <w:pStyle w:val="Compact"/>
            </w:pPr>
            <w:r>
              <w:t xml:space="preserve">Issue/Area</w:t>
            </w:r>
          </w:p>
        </w:tc>
        <w:tc>
          <w:tcPr/>
          <w:p>
            <w:pPr>
              <w:pStyle w:val="Compact"/>
            </w:pPr>
            <w:r>
              <w:t xml:space="preserve">Outcome (Favored)</w:t>
            </w:r>
          </w:p>
        </w:tc>
        <w:tc>
          <w:tcPr/>
          <w:p>
            <w:pPr>
              <w:pStyle w:val="Compact"/>
            </w:pPr>
            <w:r>
              <w:t xml:space="preserve">Rationale (Why Elite Favored)</w:t>
            </w:r>
          </w:p>
        </w:tc>
      </w:tr>
      <w:tr>
        <w:tc>
          <w:tcPr/>
          <w:p>
            <w:pPr>
              <w:pStyle w:val="Compact"/>
            </w:pPr>
            <w:r>
              <w:rPr>
                <w:i/>
                <w:iCs/>
              </w:rPr>
              <w:t xml:space="preserve">Dartmouth College v. Woodward</w:t>
            </w:r>
            <w:r>
              <w:t xml:space="preserve"> </w:t>
            </w:r>
            <w:r>
              <w:t xml:space="preserve">(1819)</w:t>
            </w:r>
          </w:p>
        </w:tc>
        <w:tc>
          <w:tcPr/>
          <w:p>
            <w:pPr>
              <w:pStyle w:val="Compact"/>
            </w:pPr>
            <w:r>
              <w:t xml:space="preserve">US SCOTUS</w:t>
            </w:r>
          </w:p>
        </w:tc>
        <w:tc>
          <w:tcPr/>
          <w:p>
            <w:pPr>
              <w:pStyle w:val="Compact"/>
            </w:pPr>
            <w:r>
              <w:t xml:space="preserve">Dartmouth College (corporate,</w:t>
            </w:r>
            <w:r>
              <w:t xml:space="preserve"> </w:t>
            </w:r>
            <w:r>
              <w:rPr>
                <w:b/>
                <w:bCs/>
              </w:rPr>
              <w:t xml:space="preserve">E</w:t>
            </w:r>
            <w:r>
              <w:t xml:space="preserve">)</w:t>
            </w:r>
          </w:p>
        </w:tc>
        <w:tc>
          <w:tcPr/>
          <w:p>
            <w:pPr>
              <w:pStyle w:val="Compact"/>
            </w:pPr>
            <w:r>
              <w:t xml:space="preserve">New Hampshire (state)</w:t>
            </w:r>
          </w:p>
        </w:tc>
        <w:tc>
          <w:tcPr/>
          <w:p>
            <w:pPr>
              <w:pStyle w:val="Compact"/>
            </w:pPr>
            <w:r>
              <w:t xml:space="preserve">Contract Clause/property</w:t>
            </w:r>
          </w:p>
        </w:tc>
        <w:tc>
          <w:tcPr/>
          <w:p>
            <w:pPr>
              <w:pStyle w:val="Compact"/>
            </w:pPr>
            <w:r>
              <w:t xml:space="preserve">Dartmouth wins (charter upheld)</w:t>
            </w:r>
          </w:p>
        </w:tc>
        <w:tc>
          <w:tcPr/>
          <w:p>
            <w:pPr>
              <w:pStyle w:val="Compact"/>
            </w:pPr>
            <w:r>
              <w:t xml:space="preserve">Charter = contract; state law impaired it</w:t>
            </w:r>
            <w:hyperlink r:id="rId21">
              <w:r>
                <w:rPr>
                  <w:rStyle w:val="Hyperlink"/>
                </w:rPr>
                <w:t xml:space="preserve">[1]</w:t>
              </w:r>
            </w:hyperlink>
          </w:p>
        </w:tc>
      </w:tr>
      <w:tr>
        <w:tc>
          <w:tcPr/>
          <w:p>
            <w:pPr>
              <w:pStyle w:val="Compact"/>
            </w:pPr>
            <w:r>
              <w:rPr>
                <w:i/>
                <w:iCs/>
              </w:rPr>
              <w:t xml:space="preserve">Lochner v. New York</w:t>
            </w:r>
            <w:r>
              <w:t xml:space="preserve"> </w:t>
            </w:r>
            <w:r>
              <w:t xml:space="preserve">(1905)</w:t>
            </w:r>
          </w:p>
        </w:tc>
        <w:tc>
          <w:tcPr/>
          <w:p>
            <w:pPr>
              <w:pStyle w:val="Compact"/>
            </w:pPr>
            <w:r>
              <w:t xml:space="preserve">US SCOTUS</w:t>
            </w:r>
          </w:p>
        </w:tc>
        <w:tc>
          <w:tcPr/>
          <w:p>
            <w:pPr>
              <w:pStyle w:val="Compact"/>
            </w:pPr>
            <w:r>
              <w:t xml:space="preserve">Baker (non-elite)</w:t>
            </w:r>
          </w:p>
        </w:tc>
        <w:tc>
          <w:tcPr/>
          <w:p>
            <w:pPr>
              <w:pStyle w:val="Compact"/>
            </w:pPr>
            <w:r>
              <w:t xml:space="preserve">NY state</w:t>
            </w:r>
          </w:p>
        </w:tc>
        <w:tc>
          <w:tcPr/>
          <w:p>
            <w:pPr>
              <w:pStyle w:val="Compact"/>
            </w:pPr>
            <w:r>
              <w:t xml:space="preserve">Due Process/Liberty</w:t>
            </w:r>
          </w:p>
        </w:tc>
        <w:tc>
          <w:tcPr/>
          <w:p>
            <w:pPr>
              <w:pStyle w:val="Compact"/>
            </w:pPr>
            <w:r>
              <w:t xml:space="preserve">Bakery wins (law struck)</w:t>
            </w:r>
          </w:p>
        </w:tc>
        <w:tc>
          <w:tcPr/>
          <w:p>
            <w:pPr>
              <w:pStyle w:val="Compact"/>
            </w:pPr>
            <w:r>
              <w:t xml:space="preserve">Maximium-hours law violated liberty of contract</w:t>
            </w:r>
            <w:hyperlink r:id="rId22">
              <w:r>
                <w:rPr>
                  <w:rStyle w:val="Hyperlink"/>
                </w:rPr>
                <w:t xml:space="preserve">[2]</w:t>
              </w:r>
            </w:hyperlink>
          </w:p>
        </w:tc>
      </w:tr>
      <w:tr>
        <w:tc>
          <w:tcPr/>
          <w:p>
            <w:pPr>
              <w:pStyle w:val="Compact"/>
            </w:pPr>
            <w:r>
              <w:rPr>
                <w:i/>
                <w:iCs/>
              </w:rPr>
              <w:t xml:space="preserve">Brown v. Board of Education</w:t>
            </w:r>
            <w:r>
              <w:t xml:space="preserve"> </w:t>
            </w:r>
            <w:r>
              <w:t xml:space="preserve">(1954)</w:t>
            </w:r>
          </w:p>
        </w:tc>
        <w:tc>
          <w:tcPr/>
          <w:p>
            <w:pPr>
              <w:pStyle w:val="Compact"/>
            </w:pPr>
            <w:r>
              <w:t xml:space="preserve">US SCOTUS</w:t>
            </w:r>
          </w:p>
        </w:tc>
        <w:tc>
          <w:tcPr/>
          <w:p>
            <w:pPr>
              <w:pStyle w:val="Compact"/>
            </w:pPr>
            <w:r>
              <w:t xml:space="preserve">Black students/parents (non-elite)</w:t>
            </w:r>
          </w:p>
        </w:tc>
        <w:tc>
          <w:tcPr/>
          <w:p>
            <w:pPr>
              <w:pStyle w:val="Compact"/>
            </w:pPr>
            <w:r>
              <w:t xml:space="preserve">KS Board (state)</w:t>
            </w:r>
          </w:p>
        </w:tc>
        <w:tc>
          <w:tcPr/>
          <w:p>
            <w:pPr>
              <w:pStyle w:val="Compact"/>
            </w:pPr>
            <w:r>
              <w:t xml:space="preserve">Equal Protection (race)</w:t>
            </w:r>
          </w:p>
        </w:tc>
        <w:tc>
          <w:tcPr/>
          <w:p>
            <w:pPr>
              <w:pStyle w:val="Compact"/>
            </w:pPr>
            <w:r>
              <w:t xml:space="preserve">Plaintiffs win (segregation banned)</w:t>
            </w:r>
          </w:p>
        </w:tc>
        <w:tc>
          <w:tcPr/>
          <w:p>
            <w:pPr>
              <w:pStyle w:val="Compact"/>
            </w:pPr>
            <w:r>
              <w:t xml:space="preserve">“Separate but equal” prohibited</w:t>
            </w:r>
            <w:hyperlink r:id="rId30">
              <w:r>
                <w:rPr>
                  <w:rStyle w:val="Hyperlink"/>
                </w:rPr>
                <w:t xml:space="preserve">[10]</w:t>
              </w:r>
            </w:hyperlink>
          </w:p>
        </w:tc>
      </w:tr>
      <w:tr>
        <w:tc>
          <w:tcPr/>
          <w:p>
            <w:pPr>
              <w:pStyle w:val="Compact"/>
            </w:pPr>
            <w:r>
              <w:rPr>
                <w:i/>
                <w:iCs/>
              </w:rPr>
              <w:t xml:space="preserve">Kelo v. New London</w:t>
            </w:r>
            <w:r>
              <w:t xml:space="preserve"> </w:t>
            </w:r>
            <w:r>
              <w:t xml:space="preserve">(2005)</w:t>
            </w:r>
          </w:p>
        </w:tc>
        <w:tc>
          <w:tcPr/>
          <w:p>
            <w:pPr>
              <w:pStyle w:val="Compact"/>
            </w:pPr>
            <w:r>
              <w:t xml:space="preserve">US SCOTUS</w:t>
            </w:r>
          </w:p>
        </w:tc>
        <w:tc>
          <w:tcPr/>
          <w:p>
            <w:pPr>
              <w:pStyle w:val="Compact"/>
            </w:pPr>
            <w:r>
              <w:t xml:space="preserve">Susette Kelo (homeowner, non-elite)</w:t>
            </w:r>
          </w:p>
        </w:tc>
        <w:tc>
          <w:tcPr/>
          <w:p>
            <w:pPr>
              <w:pStyle w:val="Compact"/>
            </w:pPr>
            <w:r>
              <w:t xml:space="preserve">New London (city + dev.)</w:t>
            </w:r>
          </w:p>
        </w:tc>
        <w:tc>
          <w:tcPr/>
          <w:p>
            <w:pPr>
              <w:pStyle w:val="Compact"/>
            </w:pPr>
            <w:r>
              <w:t xml:space="preserve">Eminent Domain</w:t>
            </w:r>
          </w:p>
        </w:tc>
        <w:tc>
          <w:tcPr/>
          <w:p>
            <w:pPr>
              <w:pStyle w:val="Compact"/>
            </w:pPr>
            <w:r>
              <w:t xml:space="preserve">City wins (condemnation allowed)</w:t>
            </w:r>
          </w:p>
        </w:tc>
        <w:tc>
          <w:tcPr/>
          <w:p>
            <w:pPr>
              <w:pStyle w:val="Compact"/>
            </w:pPr>
            <w:r>
              <w:t xml:space="preserve">“Public use” includes economic development</w:t>
            </w:r>
            <w:hyperlink r:id="rId31">
              <w:r>
                <w:rPr>
                  <w:rStyle w:val="Hyperlink"/>
                </w:rPr>
                <w:t xml:space="preserve">[11]</w:t>
              </w:r>
            </w:hyperlink>
          </w:p>
        </w:tc>
      </w:tr>
      <w:tr>
        <w:tc>
          <w:tcPr/>
          <w:p>
            <w:pPr>
              <w:pStyle w:val="Compact"/>
            </w:pPr>
            <w:r>
              <w:rPr>
                <w:i/>
                <w:iCs/>
              </w:rPr>
              <w:t xml:space="preserve">Citizens United v. FEC</w:t>
            </w:r>
            <w:r>
              <w:t xml:space="preserve"> </w:t>
            </w:r>
            <w:r>
              <w:t xml:space="preserve">(2010)</w:t>
            </w:r>
          </w:p>
        </w:tc>
        <w:tc>
          <w:tcPr/>
          <w:p>
            <w:pPr>
              <w:pStyle w:val="Compact"/>
            </w:pPr>
            <w:r>
              <w:t xml:space="preserve">US SCOTUS</w:t>
            </w:r>
          </w:p>
        </w:tc>
        <w:tc>
          <w:tcPr/>
          <w:p>
            <w:pPr>
              <w:pStyle w:val="Compact"/>
            </w:pPr>
            <w:r>
              <w:t xml:space="preserve">Citizens United (nonprofit corp)</w:t>
            </w:r>
          </w:p>
        </w:tc>
        <w:tc>
          <w:tcPr/>
          <w:p>
            <w:pPr>
              <w:pStyle w:val="Compact"/>
            </w:pPr>
            <w:r>
              <w:t xml:space="preserve">FEC (government)</w:t>
            </w:r>
          </w:p>
        </w:tc>
        <w:tc>
          <w:tcPr/>
          <w:p>
            <w:pPr>
              <w:pStyle w:val="Compact"/>
            </w:pPr>
            <w:r>
              <w:t xml:space="preserve">Campaign finance/1A</w:t>
            </w:r>
          </w:p>
        </w:tc>
        <w:tc>
          <w:tcPr/>
          <w:p>
            <w:pPr>
              <w:pStyle w:val="Compact"/>
            </w:pPr>
            <w:r>
              <w:t xml:space="preserve">Citizens United wins (ads allowed)</w:t>
            </w:r>
          </w:p>
        </w:tc>
        <w:tc>
          <w:tcPr/>
          <w:p>
            <w:pPr>
              <w:pStyle w:val="Compact"/>
            </w:pPr>
            <w:r>
              <w:t xml:space="preserve">Corporations have 1A speech rights</w:t>
            </w:r>
            <w:hyperlink r:id="rId23">
              <w:r>
                <w:rPr>
                  <w:rStyle w:val="Hyperlink"/>
                </w:rPr>
                <w:t xml:space="preserve">[3]</w:t>
              </w:r>
            </w:hyperlink>
          </w:p>
        </w:tc>
      </w:tr>
      <w:tr>
        <w:tc>
          <w:tcPr/>
          <w:p>
            <w:pPr>
              <w:pStyle w:val="Compact"/>
            </w:pPr>
            <w:r>
              <w:rPr>
                <w:i/>
                <w:iCs/>
              </w:rPr>
              <w:t xml:space="preserve">AT&amp;T Mobility v. Concepcion</w:t>
            </w:r>
            <w:r>
              <w:t xml:space="preserve"> </w:t>
            </w:r>
            <w:r>
              <w:t xml:space="preserve">(2011)</w:t>
            </w:r>
          </w:p>
        </w:tc>
        <w:tc>
          <w:tcPr/>
          <w:p>
            <w:pPr>
              <w:pStyle w:val="Compact"/>
            </w:pPr>
            <w:r>
              <w:t xml:space="preserve">US SCOTUS</w:t>
            </w:r>
          </w:p>
        </w:tc>
        <w:tc>
          <w:tcPr/>
          <w:p>
            <w:pPr>
              <w:pStyle w:val="Compact"/>
            </w:pPr>
            <w:r>
              <w:t xml:space="preserve">Cellphone customers (class)</w:t>
            </w:r>
          </w:p>
        </w:tc>
        <w:tc>
          <w:tcPr/>
          <w:p>
            <w:pPr>
              <w:pStyle w:val="Compact"/>
            </w:pPr>
            <w:r>
              <w:t xml:space="preserve">AT&amp;T (corporation)</w:t>
            </w:r>
          </w:p>
        </w:tc>
        <w:tc>
          <w:tcPr/>
          <w:p>
            <w:pPr>
              <w:pStyle w:val="Compact"/>
            </w:pPr>
            <w:r>
              <w:t xml:space="preserve">Arbitration/Consumer</w:t>
            </w:r>
          </w:p>
        </w:tc>
        <w:tc>
          <w:tcPr/>
          <w:p>
            <w:pPr>
              <w:pStyle w:val="Compact"/>
            </w:pPr>
            <w:r>
              <w:t xml:space="preserve">AT&amp;T wins (arbitration enforced)</w:t>
            </w:r>
          </w:p>
        </w:tc>
        <w:tc>
          <w:tcPr/>
          <w:p>
            <w:pPr>
              <w:pStyle w:val="Compact"/>
            </w:pPr>
            <w:r>
              <w:t xml:space="preserve">Federal Arbitration Act preempts state law</w:t>
            </w:r>
          </w:p>
        </w:tc>
      </w:tr>
      <w:tr>
        <w:tc>
          <w:tcPr/>
          <w:p>
            <w:pPr>
              <w:pStyle w:val="Compact"/>
            </w:pPr>
            <w:r>
              <w:rPr>
                <w:i/>
                <w:iCs/>
              </w:rPr>
              <w:t xml:space="preserve">Shelby County v. Holder</w:t>
            </w:r>
            <w:r>
              <w:t xml:space="preserve"> </w:t>
            </w:r>
            <w:r>
              <w:t xml:space="preserve">(2013)</w:t>
            </w:r>
          </w:p>
        </w:tc>
        <w:tc>
          <w:tcPr/>
          <w:p>
            <w:pPr>
              <w:pStyle w:val="Compact"/>
            </w:pPr>
            <w:r>
              <w:t xml:space="preserve">US SCOTUS</w:t>
            </w:r>
          </w:p>
        </w:tc>
        <w:tc>
          <w:tcPr/>
          <w:p>
            <w:pPr>
              <w:pStyle w:val="Compact"/>
            </w:pPr>
            <w:r>
              <w:t xml:space="preserve">Shelby County (state/local</w:t>
            </w:r>
            <w:r>
              <w:t xml:space="preserve"> </w:t>
            </w:r>
            <w:r>
              <w:rPr>
                <w:b/>
                <w:bCs/>
              </w:rPr>
              <w:t xml:space="preserve">E</w:t>
            </w:r>
            <w:r>
              <w:t xml:space="preserve">)</w:t>
            </w:r>
          </w:p>
        </w:tc>
        <w:tc>
          <w:tcPr/>
          <w:p>
            <w:pPr>
              <w:pStyle w:val="Compact"/>
            </w:pPr>
            <w:r>
              <w:t xml:space="preserve">U.S. (Congress)</w:t>
            </w:r>
          </w:p>
        </w:tc>
        <w:tc>
          <w:tcPr/>
          <w:p>
            <w:pPr>
              <w:pStyle w:val="Compact"/>
            </w:pPr>
            <w:r>
              <w:t xml:space="preserve">Voting Rights Act</w:t>
            </w:r>
          </w:p>
        </w:tc>
        <w:tc>
          <w:tcPr/>
          <w:p>
            <w:pPr>
              <w:pStyle w:val="Compact"/>
            </w:pPr>
            <w:r>
              <w:t xml:space="preserve">County wins (Sec.4 invalid)</w:t>
            </w:r>
          </w:p>
        </w:tc>
        <w:tc>
          <w:tcPr/>
          <w:p>
            <w:pPr>
              <w:pStyle w:val="Compact"/>
            </w:pPr>
            <w:r>
              <w:t xml:space="preserve">Coverage formula outdated (14th Amendment)</w:t>
            </w:r>
          </w:p>
        </w:tc>
      </w:tr>
      <w:tr>
        <w:tc>
          <w:tcPr/>
          <w:p>
            <w:pPr>
              <w:pStyle w:val="Compact"/>
            </w:pPr>
            <w:r>
              <w:rPr>
                <w:i/>
                <w:iCs/>
              </w:rPr>
              <w:t xml:space="preserve">Burwell v. Hobby Lobby</w:t>
            </w:r>
            <w:r>
              <w:t xml:space="preserve"> </w:t>
            </w:r>
            <w:r>
              <w:t xml:space="preserve">(2014)</w:t>
            </w:r>
          </w:p>
        </w:tc>
        <w:tc>
          <w:tcPr/>
          <w:p>
            <w:pPr>
              <w:pStyle w:val="Compact"/>
            </w:pPr>
            <w:r>
              <w:t xml:space="preserve">US SCOTUS</w:t>
            </w:r>
          </w:p>
        </w:tc>
        <w:tc>
          <w:tcPr/>
          <w:p>
            <w:pPr>
              <w:pStyle w:val="Compact"/>
            </w:pPr>
            <w:r>
              <w:t xml:space="preserve">Hobby Lobby (family corp,</w:t>
            </w:r>
            <w:r>
              <w:t xml:space="preserve"> </w:t>
            </w:r>
            <w:r>
              <w:rPr>
                <w:b/>
                <w:bCs/>
              </w:rPr>
              <w:t xml:space="preserve">E</w:t>
            </w:r>
            <w:r>
              <w:t xml:space="preserve">)</w:t>
            </w:r>
          </w:p>
        </w:tc>
        <w:tc>
          <w:tcPr/>
          <w:p>
            <w:pPr>
              <w:pStyle w:val="Compact"/>
            </w:pPr>
            <w:r>
              <w:t xml:space="preserve">U.S. (federal)</w:t>
            </w:r>
          </w:p>
        </w:tc>
        <w:tc>
          <w:tcPr/>
          <w:p>
            <w:pPr>
              <w:pStyle w:val="Compact"/>
            </w:pPr>
            <w:r>
              <w:t xml:space="preserve">RFRA/Contraception</w:t>
            </w:r>
          </w:p>
        </w:tc>
        <w:tc>
          <w:tcPr/>
          <w:p>
            <w:pPr>
              <w:pStyle w:val="Compact"/>
            </w:pPr>
            <w:r>
              <w:t xml:space="preserve">Hobby Lobby wins (exemption)</w:t>
            </w:r>
          </w:p>
        </w:tc>
        <w:tc>
          <w:tcPr/>
          <w:p>
            <w:pPr>
              <w:pStyle w:val="Compact"/>
            </w:pPr>
            <w:r>
              <w:t xml:space="preserve">RFRA covers for-profit corps’ beliefs</w:t>
            </w:r>
            <w:hyperlink r:id="rId24">
              <w:r>
                <w:rPr>
                  <w:rStyle w:val="Hyperlink"/>
                </w:rPr>
                <w:t xml:space="preserve">[4]</w:t>
              </w:r>
            </w:hyperlink>
          </w:p>
        </w:tc>
      </w:tr>
      <w:tr>
        <w:tc>
          <w:tcPr/>
          <w:p>
            <w:pPr>
              <w:pStyle w:val="Compact"/>
            </w:pPr>
            <w:r>
              <w:rPr>
                <w:i/>
                <w:iCs/>
              </w:rPr>
              <w:t xml:space="preserve">Americans for Prosperity v. Bonta</w:t>
            </w:r>
            <w:r>
              <w:t xml:space="preserve"> </w:t>
            </w:r>
            <w:r>
              <w:t xml:space="preserve">(2021)</w:t>
            </w:r>
          </w:p>
        </w:tc>
        <w:tc>
          <w:tcPr/>
          <w:p>
            <w:pPr>
              <w:pStyle w:val="Compact"/>
            </w:pPr>
            <w:r>
              <w:t xml:space="preserve">US SCOTUS</w:t>
            </w:r>
          </w:p>
        </w:tc>
        <w:tc>
          <w:tcPr/>
          <w:p>
            <w:pPr>
              <w:pStyle w:val="Compact"/>
            </w:pPr>
            <w:r>
              <w:t xml:space="preserve">AFP Foundation (nonprofit corp,</w:t>
            </w:r>
            <w:r>
              <w:t xml:space="preserve"> </w:t>
            </w:r>
            <w:r>
              <w:rPr>
                <w:b/>
                <w:bCs/>
              </w:rPr>
              <w:t xml:space="preserve">E</w:t>
            </w:r>
            <w:r>
              <w:t xml:space="preserve">)</w:t>
            </w:r>
          </w:p>
        </w:tc>
        <w:tc>
          <w:tcPr/>
          <w:p>
            <w:pPr>
              <w:pStyle w:val="Compact"/>
            </w:pPr>
            <w:r>
              <w:t xml:space="preserve">California (state)</w:t>
            </w:r>
          </w:p>
        </w:tc>
        <w:tc>
          <w:tcPr/>
          <w:p>
            <w:pPr>
              <w:pStyle w:val="Compact"/>
            </w:pPr>
            <w:r>
              <w:t xml:space="preserve">Disclosure (1A)</w:t>
            </w:r>
          </w:p>
        </w:tc>
        <w:tc>
          <w:tcPr/>
          <w:p>
            <w:pPr>
              <w:pStyle w:val="Compact"/>
            </w:pPr>
            <w:r>
              <w:t xml:space="preserve">AFP wins (regs struck)</w:t>
            </w:r>
          </w:p>
        </w:tc>
        <w:tc>
          <w:tcPr/>
          <w:p>
            <w:pPr>
              <w:pStyle w:val="Compact"/>
            </w:pPr>
            <w:r>
              <w:t xml:space="preserve">Burden on donors’ free association</w:t>
            </w:r>
          </w:p>
        </w:tc>
      </w:tr>
      <w:tr>
        <w:tc>
          <w:tcPr/>
          <w:p>
            <w:pPr>
              <w:pStyle w:val="Compact"/>
            </w:pPr>
            <w:r>
              <w:rPr>
                <w:i/>
                <w:iCs/>
              </w:rPr>
              <w:t xml:space="preserve">Cedar Point Nursery v. Hassid</w:t>
            </w:r>
            <w:r>
              <w:t xml:space="preserve"> </w:t>
            </w:r>
            <w:r>
              <w:t xml:space="preserve">(2021)</w:t>
            </w:r>
          </w:p>
        </w:tc>
        <w:tc>
          <w:tcPr/>
          <w:p>
            <w:pPr>
              <w:pStyle w:val="Compact"/>
            </w:pPr>
            <w:r>
              <w:t xml:space="preserve">US SCOTUS</w:t>
            </w:r>
          </w:p>
        </w:tc>
        <w:tc>
          <w:tcPr/>
          <w:p>
            <w:pPr>
              <w:pStyle w:val="Compact"/>
            </w:pPr>
            <w:r>
              <w:t xml:space="preserve">Cedar Point (farmers,</w:t>
            </w:r>
            <w:r>
              <w:t xml:space="preserve"> </w:t>
            </w:r>
            <w:r>
              <w:rPr>
                <w:b/>
                <w:bCs/>
              </w:rPr>
              <w:t xml:space="preserve">E</w:t>
            </w:r>
            <w:r>
              <w:t xml:space="preserve">)</w:t>
            </w:r>
          </w:p>
        </w:tc>
        <w:tc>
          <w:tcPr/>
          <w:p>
            <w:pPr>
              <w:pStyle w:val="Compact"/>
            </w:pPr>
            <w:r>
              <w:t xml:space="preserve">CA Labor Board (state)</w:t>
            </w:r>
          </w:p>
        </w:tc>
        <w:tc>
          <w:tcPr/>
          <w:p>
            <w:pPr>
              <w:pStyle w:val="Compact"/>
            </w:pPr>
            <w:r>
              <w:t xml:space="preserve">Takings/Unions</w:t>
            </w:r>
          </w:p>
        </w:tc>
        <w:tc>
          <w:tcPr/>
          <w:p>
            <w:pPr>
              <w:pStyle w:val="Compact"/>
            </w:pPr>
            <w:r>
              <w:t xml:space="preserve">Farmers win (access rule taking)</w:t>
            </w:r>
          </w:p>
        </w:tc>
        <w:tc>
          <w:tcPr/>
          <w:p>
            <w:pPr>
              <w:pStyle w:val="Compact"/>
            </w:pPr>
            <w:r>
              <w:t xml:space="preserve">Regulation is per se physical taking</w:t>
            </w:r>
            <w:hyperlink r:id="rId32">
              <w:r>
                <w:rPr>
                  <w:rStyle w:val="Hyperlink"/>
                </w:rPr>
                <w:t xml:space="preserve">[13]</w:t>
              </w:r>
            </w:hyperlink>
          </w:p>
        </w:tc>
      </w:tr>
      <w:tr>
        <w:tc>
          <w:tcPr/>
          <w:p>
            <w:pPr>
              <w:pStyle w:val="Compact"/>
            </w:pPr>
            <w:r>
              <w:rPr>
                <w:i/>
                <w:iCs/>
              </w:rPr>
              <w:t xml:space="preserve">Ford v. Montana Eighth JDC</w:t>
            </w:r>
            <w:r>
              <w:t xml:space="preserve"> </w:t>
            </w:r>
            <w:r>
              <w:t xml:space="preserve">(2021)</w:t>
            </w:r>
          </w:p>
        </w:tc>
        <w:tc>
          <w:tcPr/>
          <w:p>
            <w:pPr>
              <w:pStyle w:val="Compact"/>
            </w:pPr>
            <w:r>
              <w:t xml:space="preserve">US SCOTUS</w:t>
            </w:r>
          </w:p>
        </w:tc>
        <w:tc>
          <w:tcPr/>
          <w:p>
            <w:pPr>
              <w:pStyle w:val="Compact"/>
            </w:pPr>
            <w:r>
              <w:t xml:space="preserve">Car accident victims (non-elite)</w:t>
            </w:r>
          </w:p>
        </w:tc>
        <w:tc>
          <w:tcPr/>
          <w:p>
            <w:pPr>
              <w:pStyle w:val="Compact"/>
            </w:pPr>
            <w:r>
              <w:t xml:space="preserve">Ford (corporation)</w:t>
            </w:r>
          </w:p>
        </w:tc>
        <w:tc>
          <w:tcPr/>
          <w:p>
            <w:pPr>
              <w:pStyle w:val="Compact"/>
            </w:pPr>
            <w:r>
              <w:t xml:space="preserve">Personal jurisdiction</w:t>
            </w:r>
          </w:p>
        </w:tc>
        <w:tc>
          <w:tcPr/>
          <w:p>
            <w:pPr>
              <w:pStyle w:val="Compact"/>
            </w:pPr>
            <w:r>
              <w:t xml:space="preserve">Plaintiffs win (suit allowed)</w:t>
            </w:r>
          </w:p>
        </w:tc>
        <w:tc>
          <w:tcPr/>
          <w:p>
            <w:pPr>
              <w:pStyle w:val="Compact"/>
            </w:pPr>
            <w:r>
              <w:t xml:space="preserve">Claims “arise out of” Ford’s in-state activities</w:t>
            </w:r>
            <w:hyperlink r:id="rId33">
              <w:r>
                <w:rPr>
                  <w:rStyle w:val="Hyperlink"/>
                </w:rPr>
                <w:t xml:space="preserve">[14]</w:t>
              </w:r>
            </w:hyperlink>
          </w:p>
        </w:tc>
      </w:tr>
      <w:tr>
        <w:tc>
          <w:tcPr/>
          <w:p>
            <w:pPr>
              <w:pStyle w:val="Compact"/>
            </w:pPr>
            <w:r>
              <w:rPr>
                <w:i/>
                <w:iCs/>
              </w:rPr>
              <w:t xml:space="preserve">Nestlé USA, Inc. v. Doe I</w:t>
            </w:r>
            <w:r>
              <w:t xml:space="preserve"> </w:t>
            </w:r>
            <w:r>
              <w:t xml:space="preserve">(2021)</w:t>
            </w:r>
          </w:p>
        </w:tc>
        <w:tc>
          <w:tcPr/>
          <w:p>
            <w:pPr>
              <w:pStyle w:val="Compact"/>
            </w:pPr>
            <w:r>
              <w:t xml:space="preserve">US SCOTUS</w:t>
            </w:r>
          </w:p>
        </w:tc>
        <w:tc>
          <w:tcPr/>
          <w:p>
            <w:pPr>
              <w:pStyle w:val="Compact"/>
            </w:pPr>
            <w:r>
              <w:t xml:space="preserve">Child-labor victims (foreign, non-elite)</w:t>
            </w:r>
          </w:p>
        </w:tc>
        <w:tc>
          <w:tcPr/>
          <w:p>
            <w:pPr>
              <w:pStyle w:val="Compact"/>
            </w:pPr>
            <w:r>
              <w:t xml:space="preserve">Nestlé, Cargill (corps)</w:t>
            </w:r>
          </w:p>
        </w:tc>
        <w:tc>
          <w:tcPr/>
          <w:p>
            <w:pPr>
              <w:pStyle w:val="Compact"/>
            </w:pPr>
            <w:r>
              <w:t xml:space="preserve">ATS/Tort</w:t>
            </w:r>
          </w:p>
        </w:tc>
        <w:tc>
          <w:tcPr/>
          <w:p>
            <w:pPr>
              <w:pStyle w:val="Compact"/>
            </w:pPr>
            <w:r>
              <w:t xml:space="preserve">Corporations win (ATS claim dismissed)</w:t>
            </w:r>
          </w:p>
        </w:tc>
        <w:tc>
          <w:tcPr/>
          <w:p>
            <w:pPr>
              <w:pStyle w:val="Compact"/>
            </w:pPr>
            <w:r>
              <w:t xml:space="preserve">Conduct was domestic; no ATS reach (8–1)</w:t>
            </w:r>
            <w:hyperlink r:id="rId34">
              <w:r>
                <w:rPr>
                  <w:rStyle w:val="Hyperlink"/>
                </w:rPr>
                <w:t xml:space="preserve">[15]</w:t>
              </w:r>
            </w:hyperlink>
          </w:p>
        </w:tc>
      </w:tr>
      <w:tr>
        <w:tc>
          <w:tcPr/>
          <w:p>
            <w:pPr>
              <w:pStyle w:val="Compact"/>
            </w:pPr>
            <w:r>
              <w:rPr>
                <w:i/>
                <w:iCs/>
              </w:rPr>
              <w:t xml:space="preserve">Uber BV v. Aslam</w:t>
            </w:r>
            <w:r>
              <w:t xml:space="preserve"> </w:t>
            </w:r>
            <w:r>
              <w:t xml:space="preserve">(2021)</w:t>
            </w:r>
          </w:p>
        </w:tc>
        <w:tc>
          <w:tcPr/>
          <w:p>
            <w:pPr>
              <w:pStyle w:val="Compact"/>
            </w:pPr>
            <w:r>
              <w:t xml:space="preserve">UKSC</w:t>
            </w:r>
          </w:p>
        </w:tc>
        <w:tc>
          <w:tcPr/>
          <w:p>
            <w:pPr>
              <w:pStyle w:val="Compact"/>
            </w:pPr>
            <w:r>
              <w:t xml:space="preserve">Uber drivers (non-elite)</w:t>
            </w:r>
          </w:p>
        </w:tc>
        <w:tc>
          <w:tcPr/>
          <w:p>
            <w:pPr>
              <w:pStyle w:val="Compact"/>
            </w:pPr>
            <w:r>
              <w:t xml:space="preserve">Uber (corporation)</w:t>
            </w:r>
          </w:p>
        </w:tc>
        <w:tc>
          <w:tcPr/>
          <w:p>
            <w:pPr>
              <w:pStyle w:val="Compact"/>
            </w:pPr>
            <w:r>
              <w:t xml:space="preserve">Employment rights</w:t>
            </w:r>
          </w:p>
        </w:tc>
        <w:tc>
          <w:tcPr/>
          <w:p>
            <w:pPr>
              <w:pStyle w:val="Compact"/>
            </w:pPr>
            <w:r>
              <w:t xml:space="preserve">Drivers win (are “workers”)</w:t>
            </w:r>
          </w:p>
        </w:tc>
        <w:tc>
          <w:tcPr/>
          <w:p>
            <w:pPr>
              <w:pStyle w:val="Compact"/>
            </w:pPr>
            <w:r>
              <w:t xml:space="preserve">Treated as employees entitled to pay, leave</w:t>
            </w:r>
            <w:hyperlink r:id="rId35">
              <w:r>
                <w:rPr>
                  <w:rStyle w:val="Hyperlink"/>
                </w:rPr>
                <w:t xml:space="preserve">[16]</w:t>
              </w:r>
            </w:hyperlink>
          </w:p>
        </w:tc>
      </w:tr>
      <w:tr>
        <w:tc>
          <w:tcPr/>
          <w:p>
            <w:pPr>
              <w:pStyle w:val="Compact"/>
            </w:pPr>
            <w:r>
              <w:rPr>
                <w:i/>
                <w:iCs/>
              </w:rPr>
              <w:t xml:space="preserve">Uber Technologies v. Heller</w:t>
            </w:r>
            <w:r>
              <w:t xml:space="preserve"> </w:t>
            </w:r>
            <w:r>
              <w:t xml:space="preserve">(2020)</w:t>
            </w:r>
          </w:p>
        </w:tc>
        <w:tc>
          <w:tcPr/>
          <w:p>
            <w:pPr>
              <w:pStyle w:val="Compact"/>
            </w:pPr>
            <w:r>
              <w:t xml:space="preserve">Canada SCC</w:t>
            </w:r>
          </w:p>
        </w:tc>
        <w:tc>
          <w:tcPr/>
          <w:p>
            <w:pPr>
              <w:pStyle w:val="Compact"/>
            </w:pPr>
            <w:r>
              <w:t xml:space="preserve">Driver Heller (non-elite)</w:t>
            </w:r>
          </w:p>
        </w:tc>
        <w:tc>
          <w:tcPr/>
          <w:p>
            <w:pPr>
              <w:pStyle w:val="Compact"/>
            </w:pPr>
            <w:r>
              <w:t xml:space="preserve">Uber (corporation)</w:t>
            </w:r>
          </w:p>
        </w:tc>
        <w:tc>
          <w:tcPr/>
          <w:p>
            <w:pPr>
              <w:pStyle w:val="Compact"/>
            </w:pPr>
            <w:r>
              <w:t xml:space="preserve">Arbitration contract</w:t>
            </w:r>
          </w:p>
        </w:tc>
        <w:tc>
          <w:tcPr/>
          <w:p>
            <w:pPr>
              <w:pStyle w:val="Compact"/>
            </w:pPr>
            <w:r>
              <w:t xml:space="preserve">Heller wins (clause void)</w:t>
            </w:r>
          </w:p>
        </w:tc>
        <w:tc>
          <w:tcPr/>
          <w:p>
            <w:pPr>
              <w:pStyle w:val="Compact"/>
            </w:pPr>
            <w:r>
              <w:t xml:space="preserve">Arbitration clause unconscionable under law</w:t>
            </w:r>
          </w:p>
        </w:tc>
      </w:tr>
    </w:tbl>
    <w:p>
      <w:pPr>
        <w:pStyle w:val="BodyText"/>
      </w:pPr>
      <w:r>
        <w:t xml:space="preserve">Each case above either enhanced elite power (e.g.</w:t>
      </w:r>
      <w:r>
        <w:t xml:space="preserve"> </w:t>
      </w:r>
      <w:r>
        <w:rPr>
          <w:i/>
          <w:iCs/>
        </w:rPr>
        <w:t xml:space="preserve">Citizens United</w:t>
      </w:r>
      <w:r>
        <w:t xml:space="preserve"> </w:t>
      </w:r>
      <w:r>
        <w:t xml:space="preserve">expanded corporate speech rights) or reaffirmed status quo (e.g.</w:t>
      </w:r>
      <w:r>
        <w:t xml:space="preserve"> </w:t>
      </w:r>
      <w:r>
        <w:rPr>
          <w:i/>
          <w:iCs/>
        </w:rPr>
        <w:t xml:space="preserve">Shelby County</w:t>
      </w:r>
      <w:r>
        <w:t xml:space="preserve"> </w:t>
      </w:r>
      <w:r>
        <w:t xml:space="preserve">struck down civil-rights protections). Notably, even where corporations are involved, outcomes often leave them unscathed (e.g.</w:t>
      </w:r>
      <w:r>
        <w:t xml:space="preserve"> </w:t>
      </w:r>
      <w:r>
        <w:rPr>
          <w:i/>
          <w:iCs/>
        </w:rPr>
        <w:t xml:space="preserve">Nestlé</w:t>
      </w:r>
      <w:r>
        <w:t xml:space="preserve"> </w:t>
      </w:r>
      <w:r>
        <w:t xml:space="preserve">case).</w:t>
      </w:r>
      <w:r>
        <w:t xml:space="preserve"> </w:t>
      </w:r>
      <w:r>
        <w:rPr>
          <w:b/>
          <w:bCs/>
        </w:rPr>
        <w:t xml:space="preserve">Counterexamples</w:t>
      </w:r>
      <w:r>
        <w:t xml:space="preserve"> </w:t>
      </w:r>
      <w:r>
        <w:t xml:space="preserve">(e.g.</w:t>
      </w:r>
      <w:r>
        <w:t xml:space="preserve"> </w:t>
      </w:r>
      <w:r>
        <w:rPr>
          <w:i/>
          <w:iCs/>
        </w:rPr>
        <w:t xml:space="preserve">Brown</w:t>
      </w:r>
      <w:r>
        <w:t xml:space="preserve">,</w:t>
      </w:r>
      <w:r>
        <w:t xml:space="preserve"> </w:t>
      </w:r>
      <w:r>
        <w:rPr>
          <w:i/>
          <w:iCs/>
        </w:rPr>
        <w:t xml:space="preserve">Ford</w:t>
      </w:r>
      <w:r>
        <w:t xml:space="preserve">,</w:t>
      </w:r>
      <w:r>
        <w:t xml:space="preserve"> </w:t>
      </w:r>
      <w:r>
        <w:rPr>
          <w:i/>
          <w:iCs/>
        </w:rPr>
        <w:t xml:space="preserve">Uber BV v. Aslam</w:t>
      </w:r>
      <w:r>
        <w:t xml:space="preserve">) show the court can and has ruled against powerful interests, but such decisions are exceptions.</w:t>
      </w:r>
    </w:p>
    <w:bookmarkEnd w:id="36"/>
    <w:bookmarkStart w:id="38" w:name="empirical-studies-and-statistics"/>
    <w:p>
      <w:pPr>
        <w:pStyle w:val="Heading2"/>
      </w:pPr>
      <w:r>
        <w:t xml:space="preserve">Empirical Studies and Statistics</w:t>
      </w:r>
    </w:p>
    <w:p>
      <w:pPr>
        <w:pStyle w:val="FirstParagraph"/>
      </w:pPr>
      <w:r>
        <w:t xml:space="preserve">Quantitative research confirms outcome disparities. A recent NBER study (covering 1953–2022) coded case outcomes as “pro-rich” or not. It finds the Court has shifted strongly pro-elite: by 2022 Republican-appointed justices voted for rich-side outcomes ~70% of the time, versus ~35% for Democratic appointees</w:t>
      </w:r>
      <w:hyperlink r:id="rId27">
        <w:r>
          <w:rPr>
            <w:rStyle w:val="Hyperlink"/>
          </w:rPr>
          <w:t xml:space="preserve">[7]</w:t>
        </w:r>
      </w:hyperlink>
      <w:r>
        <w:t xml:space="preserve">. In practical terms, the median justice moved toward wealthy plaintiffs over the last decades. Independent analyses focusing on business groups report similar trends. For example, one survey found the Chamber of Commerce won</w:t>
      </w:r>
      <w:r>
        <w:t xml:space="preserve"> </w:t>
      </w:r>
      <w:r>
        <w:rPr>
          <w:b/>
          <w:bCs/>
        </w:rPr>
        <w:t xml:space="preserve">≈70%</w:t>
      </w:r>
      <w:r>
        <w:t xml:space="preserve"> </w:t>
      </w:r>
      <w:r>
        <w:t xml:space="preserve">of its cases in the Roberts Court (compared to ~56% under Rehnquist and ~43% under Burger)</w:t>
      </w:r>
      <w:hyperlink r:id="rId26">
        <w:r>
          <w:rPr>
            <w:rStyle w:val="Hyperlink"/>
          </w:rPr>
          <w:t xml:space="preserve">[6]</w:t>
        </w:r>
      </w:hyperlink>
      <w:r>
        <w:t xml:space="preserve">, and that conservative justices voted with the Chamber on 77% of such cases</w:t>
      </w:r>
      <w:hyperlink r:id="rId25">
        <w:r>
          <w:rPr>
            <w:rStyle w:val="Hyperlink"/>
          </w:rPr>
          <w:t xml:space="preserve">[5]</w:t>
        </w:r>
      </w:hyperlink>
      <w:r>
        <w:t xml:space="preserve">. State-court data likewise hint at bias: an American Progress report on six state Supreme Courts found</w:t>
      </w:r>
      <w:r>
        <w:t xml:space="preserve"> </w:t>
      </w:r>
      <w:r>
        <w:rPr>
          <w:b/>
          <w:bCs/>
        </w:rPr>
        <w:t xml:space="preserve">71%</w:t>
      </w:r>
      <w:r>
        <w:t xml:space="preserve"> </w:t>
      </w:r>
      <w:r>
        <w:t xml:space="preserve">of high-court rulings in business-related cases favored corporations over individuals</w:t>
      </w:r>
      <w:hyperlink r:id="rId37">
        <w:r>
          <w:rPr>
            <w:rStyle w:val="Hyperlink"/>
          </w:rPr>
          <w:t xml:space="preserve">[17]</w:t>
        </w:r>
      </w:hyperlink>
      <w:r>
        <w:t xml:space="preserve">.</w:t>
      </w:r>
    </w:p>
    <w:p>
      <w:pPr>
        <w:pStyle w:val="BodyText"/>
      </w:pPr>
      <w:r>
        <w:t xml:space="preserve">These studies typically define “elite” or “pro-business” by party lineup or institutional interest. While useful, they rely on observing outcomes in selected portfolios (e.g. cases involving Chamber of Commerce). Nevertheless, all converge on a pronounced tilt toward established interests in high courts. Methodological caveats include selection biases (cases reaching the Supreme Court are not random) and the challenge of categorizing mixed outcomes. Still, the sheer magnitude of the gap (often two-to-one or more) points to a non-accidental pattern</w:t>
      </w:r>
      <w:hyperlink r:id="rId27">
        <w:r>
          <w:rPr>
            <w:rStyle w:val="Hyperlink"/>
          </w:rPr>
          <w:t xml:space="preserve">[7]</w:t>
        </w:r>
      </w:hyperlink>
      <w:hyperlink r:id="rId25">
        <w:r>
          <w:rPr>
            <w:rStyle w:val="Hyperlink"/>
          </w:rPr>
          <w:t xml:space="preserve">[5]</w:t>
        </w:r>
      </w:hyperlink>
      <w:r>
        <w:t xml:space="preserve">.</w:t>
      </w:r>
    </w:p>
    <w:bookmarkEnd w:id="38"/>
    <w:bookmarkStart w:id="41" w:name="theoretical-perspectives"/>
    <w:p>
      <w:pPr>
        <w:pStyle w:val="Heading2"/>
      </w:pPr>
      <w:r>
        <w:t xml:space="preserve">Theoretical Perspectives</w:t>
      </w:r>
    </w:p>
    <w:p>
      <w:pPr>
        <w:pStyle w:val="FirstParagraph"/>
      </w:pPr>
      <w:r>
        <w:t xml:space="preserve">Scholars and judges have long debated why courts may favor the status quo or elites.</w:t>
      </w:r>
      <w:r>
        <w:t xml:space="preserve"> </w:t>
      </w:r>
      <w:r>
        <w:rPr>
          <w:b/>
          <w:bCs/>
        </w:rPr>
        <w:t xml:space="preserve">Status-quo bias:</w:t>
      </w:r>
      <w:r>
        <w:t xml:space="preserve"> </w:t>
      </w:r>
      <w:r>
        <w:t xml:space="preserve">Behavioral law-and-economics literature predicts judges (like all people) have a natural bias toward inaction or default arrangements. One law review note observes that in preliminary-injunction practice, a party occupying the status quo position gets “an undue boost” simply for being the incumbent</w:t>
      </w:r>
      <w:hyperlink r:id="rId39">
        <w:r>
          <w:rPr>
            <w:rStyle w:val="Hyperlink"/>
          </w:rPr>
          <w:t xml:space="preserve">[18]</w:t>
        </w:r>
      </w:hyperlink>
      <w:r>
        <w:t xml:space="preserve">. This makes sense: injunctions require altering the current state, so challengers must overcome inertia. Likewise, judges may unconsciously favor preserving existing legal arrangements (benefiting those already holding privilege).</w:t>
      </w:r>
    </w:p>
    <w:p>
      <w:pPr>
        <w:pStyle w:val="BodyText"/>
      </w:pPr>
      <w:r>
        <w:rPr>
          <w:b/>
          <w:bCs/>
        </w:rPr>
        <w:t xml:space="preserve">Institutional deference:</w:t>
      </w:r>
      <w:r>
        <w:t xml:space="preserve"> </w:t>
      </w:r>
      <w:r>
        <w:t xml:space="preserve">Courts often defer to fellow government branches or elites under concepts like</w:t>
      </w:r>
      <w:r>
        <w:t xml:space="preserve"> </w:t>
      </w:r>
      <w:r>
        <w:rPr>
          <w:i/>
          <w:iCs/>
        </w:rPr>
        <w:t xml:space="preserve">Chevron</w:t>
      </w:r>
      <w:r>
        <w:t xml:space="preserve"> </w:t>
      </w:r>
      <w:r>
        <w:t xml:space="preserve">deference (deferring to executive agencies on policy matters), political-question doctrine, or the business-judgment rule. For instance, in corporate law the</w:t>
      </w:r>
      <w:r>
        <w:t xml:space="preserve"> </w:t>
      </w:r>
      <w:r>
        <w:rPr>
          <w:b/>
          <w:bCs/>
        </w:rPr>
        <w:t xml:space="preserve">business-judgment rule</w:t>
      </w:r>
      <w:r>
        <w:t xml:space="preserve"> </w:t>
      </w:r>
      <w:r>
        <w:t xml:space="preserve">instructs courts to presume corporate directors acted properly absent “fraud, illegality or conflict of interest.” This means plaintiffs must prove misconduct rather than judges second-guess business decisions</w:t>
      </w:r>
      <w:hyperlink r:id="rId40">
        <w:r>
          <w:rPr>
            <w:rStyle w:val="Hyperlink"/>
          </w:rPr>
          <w:t xml:space="preserve">[19]</w:t>
        </w:r>
      </w:hyperlink>
      <w:r>
        <w:t xml:space="preserve">, a built-in favoring of management (an elite group).</w:t>
      </w:r>
    </w:p>
    <w:p>
      <w:pPr>
        <w:pStyle w:val="BodyText"/>
      </w:pPr>
      <w:r>
        <w:rPr>
          <w:b/>
          <w:bCs/>
        </w:rPr>
        <w:t xml:space="preserve">Legal formalism vs. realism:</w:t>
      </w:r>
      <w:r>
        <w:t xml:space="preserve"> </w:t>
      </w:r>
      <w:r>
        <w:t xml:space="preserve">Formalist views hold judges mechanically apply neutral rules; by contrast,</w:t>
      </w:r>
      <w:r>
        <w:t xml:space="preserve"> </w:t>
      </w:r>
      <w:r>
        <w:rPr>
          <w:b/>
          <w:bCs/>
        </w:rPr>
        <w:t xml:space="preserve">legal realists</w:t>
      </w:r>
      <w:r>
        <w:t xml:space="preserve"> </w:t>
      </w:r>
      <w:r>
        <w:t xml:space="preserve">contend judges’ background and biases shape outcomes. Many critics of the status-quo tilt adopt a realist stance, arguing that judges who are appointed by or aligned with elites may consciously or subconsciously protect their patrons. Some judges openly admit personal lawmaking in line with ideology (see, e.g., Justice Scalia’s realism remarks). Nonetheless, even formalist doctrines (like</w:t>
      </w:r>
      <w:r>
        <w:t xml:space="preserve"> </w:t>
      </w:r>
      <w:r>
        <w:rPr>
          <w:i/>
          <w:iCs/>
        </w:rPr>
        <w:t xml:space="preserve">due process</w:t>
      </w:r>
      <w:r>
        <w:t xml:space="preserve"> </w:t>
      </w:r>
      <w:r>
        <w:t xml:space="preserve">or</w:t>
      </w:r>
      <w:r>
        <w:t xml:space="preserve"> </w:t>
      </w:r>
      <w:r>
        <w:rPr>
          <w:i/>
          <w:iCs/>
        </w:rPr>
        <w:t xml:space="preserve">equal protection</w:t>
      </w:r>
      <w:r>
        <w:t xml:space="preserve">) have yielded pro-status-quo results when broadly interpreted. For example,</w:t>
      </w:r>
      <w:r>
        <w:t xml:space="preserve"> </w:t>
      </w:r>
      <w:r>
        <w:rPr>
          <w:i/>
          <w:iCs/>
        </w:rPr>
        <w:t xml:space="preserve">Lochner</w:t>
      </w:r>
      <w:r>
        <w:t xml:space="preserve"> </w:t>
      </w:r>
      <w:r>
        <w:t xml:space="preserve">invoked a vague “liberty” under the 14th Amendment – a formal rule turned into a tool for striking down reform.</w:t>
      </w:r>
    </w:p>
    <w:bookmarkEnd w:id="41"/>
    <w:bookmarkStart w:id="42" w:name="media-and-legal-commentary"/>
    <w:p>
      <w:pPr>
        <w:pStyle w:val="Heading2"/>
      </w:pPr>
      <w:r>
        <w:t xml:space="preserve">Media and Legal Commentary</w:t>
      </w:r>
    </w:p>
    <w:p>
      <w:pPr>
        <w:pStyle w:val="FirstParagraph"/>
      </w:pPr>
      <w:r>
        <w:t xml:space="preserve">Legal commentators and media frequently highlight perceived pro-elite bias. Op-eds and blogs describe the current Supreme Court as a “star chamber defending corporations and the wealthy”</w:t>
      </w:r>
      <w:hyperlink r:id="rId28">
        <w:r>
          <w:rPr>
            <w:rStyle w:val="Hyperlink"/>
          </w:rPr>
          <w:t xml:space="preserve">[8]</w:t>
        </w:r>
      </w:hyperlink>
      <w:r>
        <w:t xml:space="preserve">. Bloomberg Law reports that the Roberts Court is “cast…as the most pro-business court in a century”</w:t>
      </w:r>
      <w:hyperlink r:id="rId29">
        <w:r>
          <w:rPr>
            <w:rStyle w:val="Hyperlink"/>
          </w:rPr>
          <w:t xml:space="preserve">[9]</w:t>
        </w:r>
      </w:hyperlink>
      <w:r>
        <w:t xml:space="preserve">. Progressive writers note recent rulings handed “billionaires, corporations, and Conservative states exactly what they want”</w:t>
      </w:r>
      <w:hyperlink r:id="rId28">
        <w:r>
          <w:rPr>
            <w:rStyle w:val="Hyperlink"/>
          </w:rPr>
          <w:t xml:space="preserve">[8]</w:t>
        </w:r>
      </w:hyperlink>
      <w:r>
        <w:t xml:space="preserve">, citing an 81% success rate for business litigants in one term. Studies funded by advocacy groups (both liberal and conservative) also make news: some use Chamber-of-Commerce statistics to argue the Court is unstoppable for business, while others (e.g. from libertarian legal scholars) see the Court as a bulwark of individual liberty, differing on which side is elite.</w:t>
      </w:r>
    </w:p>
    <w:p>
      <w:pPr>
        <w:pStyle w:val="BodyText"/>
      </w:pPr>
      <w:r>
        <w:t xml:space="preserve">Importantly, critics on all sides identify a</w:t>
      </w:r>
      <w:r>
        <w:t xml:space="preserve"> </w:t>
      </w:r>
      <w:r>
        <w:rPr>
          <w:b/>
          <w:bCs/>
        </w:rPr>
        <w:t xml:space="preserve">pattern</w:t>
      </w:r>
      <w:r>
        <w:t xml:space="preserve">: not just one issue or ideology. For example, The Lever newsletter summarizes that aside from a few liberal decisions (e.g. LGBTQ rights, DACA), the Roberts Court “now serves as a reliable star chamber defending corporations and the wealthy,” citing data on corporate victories</w:t>
      </w:r>
      <w:hyperlink r:id="rId28">
        <w:r>
          <w:rPr>
            <w:rStyle w:val="Hyperlink"/>
          </w:rPr>
          <w:t xml:space="preserve">[8]</w:t>
        </w:r>
      </w:hyperlink>
      <w:r>
        <w:t xml:space="preserve">. The Wall Street Journal, Reason Magazine, and mainstream outlets have similarly noted trends favoring business interests in cases on labor, environment, corporate liability, campaign finance, and other areas. While some articles contest the magnitude of bias, the</w:t>
      </w:r>
      <w:r>
        <w:t xml:space="preserve"> </w:t>
      </w:r>
      <w:r>
        <w:rPr>
          <w:b/>
          <w:bCs/>
        </w:rPr>
        <w:t xml:space="preserve">volume of commentary</w:t>
      </w:r>
      <w:r>
        <w:t xml:space="preserve"> </w:t>
      </w:r>
      <w:r>
        <w:t xml:space="preserve">across ideological lines underscores a pervasive concern that courts systematically prefer the powerful side.</w:t>
      </w:r>
    </w:p>
    <w:bookmarkEnd w:id="42"/>
    <w:bookmarkStart w:id="43" w:name="comparative-examples-uk-canada-australia"/>
    <w:p>
      <w:pPr>
        <w:pStyle w:val="Heading2"/>
      </w:pPr>
      <w:r>
        <w:t xml:space="preserve">Comparative Examples (UK, Canada, Australia)</w:t>
      </w:r>
    </w:p>
    <w:p>
      <w:pPr>
        <w:pStyle w:val="FirstParagraph"/>
      </w:pPr>
      <w:r>
        <w:t xml:space="preserve">Similar dynamics appear in other common-law courts, though the institutional context differs (e.g. stronger parliamentary sovereignty or explicit social charters). In the UK, the Supreme Court has occasionally ruled for workers against employers: notably</w:t>
      </w:r>
      <w:r>
        <w:t xml:space="preserve"> </w:t>
      </w:r>
      <w:r>
        <w:rPr>
          <w:i/>
          <w:iCs/>
        </w:rPr>
        <w:t xml:space="preserve">Uber BV v. Aslam</w:t>
      </w:r>
      <w:r>
        <w:t xml:space="preserve"> </w:t>
      </w:r>
      <w:r>
        <w:t xml:space="preserve">(2021) held Uber drivers are “workers” entitled to minimum wage and holiday pay</w:t>
      </w:r>
      <w:hyperlink r:id="rId35">
        <w:r>
          <w:rPr>
            <w:rStyle w:val="Hyperlink"/>
          </w:rPr>
          <w:t xml:space="preserve">[16]</w:t>
        </w:r>
      </w:hyperlink>
      <w:r>
        <w:t xml:space="preserve">. Still, this is counterbalanced by deference to business on other fronts (e.g. narrow interpretation of environmental regulations). The</w:t>
      </w:r>
      <w:r>
        <w:t xml:space="preserve"> </w:t>
      </w:r>
      <w:r>
        <w:rPr>
          <w:b/>
          <w:bCs/>
        </w:rPr>
        <w:t xml:space="preserve">business-judgment rule</w:t>
      </w:r>
      <w:r>
        <w:t xml:space="preserve"> </w:t>
      </w:r>
      <w:r>
        <w:t xml:space="preserve">concept also exists in UK and Canadian corporate law (courts generally defer to board decisions in the absence of fraud or bad faith).</w:t>
      </w:r>
    </w:p>
    <w:p>
      <w:pPr>
        <w:pStyle w:val="BodyText"/>
      </w:pPr>
      <w:r>
        <w:t xml:space="preserve">Canada’s Supreme Court, for example, invalidated a restrictive arbitration clause in</w:t>
      </w:r>
      <w:r>
        <w:t xml:space="preserve"> </w:t>
      </w:r>
      <w:r>
        <w:rPr>
          <w:i/>
          <w:iCs/>
        </w:rPr>
        <w:t xml:space="preserve">Uber Technologies Inc. v. Heller</w:t>
      </w:r>
      <w:r>
        <w:t xml:space="preserve"> </w:t>
      </w:r>
      <w:r>
        <w:t xml:space="preserve">(2020), siding with an individual driver. At the same time, Canadian courts have shown deference to established institutions in other areas (e.g. wide reading of police powers or property rights). Australia’s High Court has major human-rights victories (e.g.</w:t>
      </w:r>
      <w:r>
        <w:t xml:space="preserve"> </w:t>
      </w:r>
      <w:r>
        <w:rPr>
          <w:i/>
          <w:iCs/>
        </w:rPr>
        <w:t xml:space="preserve">Mabo v. Queensland</w:t>
      </w:r>
      <w:r>
        <w:t xml:space="preserve"> </w:t>
      </w:r>
      <w:r>
        <w:t xml:space="preserve">recognizing indigenous land rights) but also upheld limits on union organizing in some cases. In general, while common-law judges may vary, the</w:t>
      </w:r>
      <w:r>
        <w:t xml:space="preserve"> </w:t>
      </w:r>
      <w:r>
        <w:rPr>
          <w:b/>
          <w:bCs/>
        </w:rPr>
        <w:t xml:space="preserve">trend toward deference</w:t>
      </w:r>
      <w:r>
        <w:t xml:space="preserve"> </w:t>
      </w:r>
      <w:r>
        <w:t xml:space="preserve">is not unique to the U.S.: business and government interests often benefit from formal doctrines that prioritize predictability and current law over majoritarian change.</w:t>
      </w:r>
    </w:p>
    <w:bookmarkEnd w:id="43"/>
    <w:bookmarkStart w:id="44" w:name="counterexamples-and-nuances"/>
    <w:p>
      <w:pPr>
        <w:pStyle w:val="Heading2"/>
      </w:pPr>
      <w:r>
        <w:t xml:space="preserve">Counterexamples and Nuances</w:t>
      </w:r>
    </w:p>
    <w:p>
      <w:pPr>
        <w:pStyle w:val="FirstParagraph"/>
      </w:pPr>
      <w:r>
        <w:t xml:space="preserve">It is crucial to note counterinstances where courts have ruled</w:t>
      </w:r>
      <w:r>
        <w:t xml:space="preserve"> </w:t>
      </w:r>
      <w:r>
        <w:rPr>
          <w:b/>
          <w:bCs/>
        </w:rPr>
        <w:t xml:space="preserve">against</w:t>
      </w:r>
      <w:r>
        <w:t xml:space="preserve"> </w:t>
      </w:r>
      <w:r>
        <w:t xml:space="preserve">powerful actors. The Supreme Court’s history includes landmark pro-civil-rights, consumer-protection, and labor decisions.</w:t>
      </w:r>
      <w:r>
        <w:t xml:space="preserve"> </w:t>
      </w:r>
      <w:r>
        <w:rPr>
          <w:i/>
          <w:iCs/>
        </w:rPr>
        <w:t xml:space="preserve">Brown v. Board</w:t>
      </w:r>
      <w:r>
        <w:t xml:space="preserve"> </w:t>
      </w:r>
      <w:r>
        <w:t xml:space="preserve">(1954) upended the segregated status quo, overriding entrenched state practices</w:t>
      </w:r>
      <w:hyperlink r:id="rId30">
        <w:r>
          <w:rPr>
            <w:rStyle w:val="Hyperlink"/>
          </w:rPr>
          <w:t xml:space="preserve">[10]</w:t>
        </w:r>
      </w:hyperlink>
      <w:r>
        <w:t xml:space="preserve">.</w:t>
      </w:r>
      <w:r>
        <w:t xml:space="preserve"> </w:t>
      </w:r>
      <w:r>
        <w:rPr>
          <w:i/>
          <w:iCs/>
        </w:rPr>
        <w:t xml:space="preserve">Griggs v. Duke Power</w:t>
      </w:r>
      <w:r>
        <w:t xml:space="preserve"> </w:t>
      </w:r>
      <w:r>
        <w:t xml:space="preserve">(1971) and</w:t>
      </w:r>
      <w:r>
        <w:t xml:space="preserve"> </w:t>
      </w:r>
      <w:r>
        <w:rPr>
          <w:i/>
          <w:iCs/>
        </w:rPr>
        <w:t xml:space="preserve">Wards Cove Packing v. Atonio</w:t>
      </w:r>
      <w:r>
        <w:t xml:space="preserve"> </w:t>
      </w:r>
      <w:r>
        <w:t xml:space="preserve">(1989) (though later weakened) favored minority and worker rights in employment. More recently, cases like</w:t>
      </w:r>
      <w:r>
        <w:t xml:space="preserve"> </w:t>
      </w:r>
      <w:r>
        <w:rPr>
          <w:i/>
          <w:iCs/>
        </w:rPr>
        <w:t xml:space="preserve">Carney v. Adams</w:t>
      </w:r>
      <w:r>
        <w:t xml:space="preserve"> </w:t>
      </w:r>
      <w:r>
        <w:t xml:space="preserve">(2020) struck down strict political gerrymandering (a blow to political insiders), and various criminal-justice rulings protect defendants. State courts have also sometimes rebuffed business: e.g. several have voided non-compete agreements as against public policy. These examples show courts are not monolithically pro-elite.</w:t>
      </w:r>
    </w:p>
    <w:p>
      <w:pPr>
        <w:pStyle w:val="BodyText"/>
      </w:pPr>
      <w:r>
        <w:t xml:space="preserve">Nevertheless, the</w:t>
      </w:r>
      <w:r>
        <w:t xml:space="preserve"> </w:t>
      </w:r>
      <w:r>
        <w:rPr>
          <w:b/>
          <w:bCs/>
        </w:rPr>
        <w:t xml:space="preserve">frequency and scope</w:t>
      </w:r>
      <w:r>
        <w:t xml:space="preserve"> </w:t>
      </w:r>
      <w:r>
        <w:t xml:space="preserve">of anti-establishment rulings appear limited compared to pro-status-quo ones. Theories of judicial behavior suggest courts change slowly; thus, even correct rulings (like</w:t>
      </w:r>
      <w:r>
        <w:t xml:space="preserve"> </w:t>
      </w:r>
      <w:r>
        <w:rPr>
          <w:i/>
          <w:iCs/>
        </w:rPr>
        <w:t xml:space="preserve">Brown</w:t>
      </w:r>
      <w:r>
        <w:t xml:space="preserve">) often come only after substantial social pressure. Empirical studies find that even race or gender do not consistently affect outcomes across broad data – the major consistent splits align with class or partisanship, not individual identities per se. In short, there</w:t>
      </w:r>
      <w:r>
        <w:t xml:space="preserve"> </w:t>
      </w:r>
      <w:r>
        <w:rPr>
          <w:b/>
          <w:bCs/>
        </w:rPr>
        <w:t xml:space="preserve">are</w:t>
      </w:r>
      <w:r>
        <w:t xml:space="preserve"> </w:t>
      </w:r>
      <w:r>
        <w:t xml:space="preserve">counternarratives, but our review indicates they remain exceptions in a system that structurally tends toward stability and deference.</w:t>
      </w:r>
    </w:p>
    <w:bookmarkEnd w:id="44"/>
    <w:bookmarkStart w:id="46" w:name="conclusion"/>
    <w:p>
      <w:pPr>
        <w:pStyle w:val="Heading2"/>
      </w:pPr>
      <w:r>
        <w:t xml:space="preserve">Conclusion</w:t>
      </w:r>
    </w:p>
    <w:p>
      <w:pPr>
        <w:pStyle w:val="FirstParagraph"/>
      </w:pPr>
      <w:r>
        <w:t xml:space="preserve">Across case law, data, and commentary, a clear picture emerges: modern courts – especially in the United States – often produce outcomes that uphold existing power structures. Whether through expansive readings of rights for corporations, narrow readings of liability, procedural doctrines favoring incumbents, or overt deference to elected branches, judges frequently side with “the establishment.” Quantitative studies strongly corroborate this bias, and scholars explain it via status-quo inertia and institutional deference. Media critiques by lawyers and journalists of all persuasions echo the same theme: the judiciary has become unusually friendly to business and entrenched interests.</w:t>
      </w:r>
    </w:p>
    <w:p>
      <w:pPr>
        <w:pStyle w:val="BodyText"/>
      </w:pPr>
      <w:r>
        <w:t xml:space="preserve">This report has highlighted key examples and theories.</w:t>
      </w:r>
      <w:r>
        <w:t xml:space="preserve"> </w:t>
      </w:r>
      <w:r>
        <w:rPr>
          <w:b/>
          <w:bCs/>
        </w:rPr>
        <w:t xml:space="preserve">Limitations:</w:t>
      </w:r>
      <w:r>
        <w:t xml:space="preserve"> </w:t>
      </w:r>
      <w:r>
        <w:t xml:space="preserve">Much of the evidence comes from published appellate cases; it may not fully capture trial-court behavior or unreported decisions. Definitions of “elite” or “status quo” can be slippery (e.g. is a powerful labor union elite?). Academic studies are constrained by what can be coded and by potential partisan selection of cases. Despite these caveats, the consistency of pro-elite outcomes in diverse areas (campaign finance, labor, property, environmental regulation, etc.) is striking. For concerned observers, this suggests courts are, at least in structure and practice, predisposed to favor those already in power – a “pro-business” orientation documented even in top law reviews</w:t>
      </w:r>
      <w:hyperlink r:id="rId45">
        <w:r>
          <w:rPr>
            <w:rStyle w:val="Hyperlink"/>
          </w:rPr>
          <w:t xml:space="preserve">[20]</w:t>
        </w:r>
      </w:hyperlink>
      <w:r>
        <w:t xml:space="preserve">.</w:t>
      </w:r>
    </w:p>
    <w:p>
      <w:pPr>
        <w:pStyle w:val="BodyText"/>
      </w:pPr>
      <w:r>
        <w:rPr>
          <w:b/>
          <w:bCs/>
        </w:rPr>
        <w:t xml:space="preserve">Sources:</w:t>
      </w:r>
      <w:r>
        <w:t xml:space="preserve"> </w:t>
      </w:r>
      <w:r>
        <w:t xml:space="preserve">Authoritative court opinions and records, law review scholarship</w:t>
      </w:r>
      <w:hyperlink r:id="rId45">
        <w:r>
          <w:rPr>
            <w:rStyle w:val="Hyperlink"/>
          </w:rPr>
          <w:t xml:space="preserve">[20]</w:t>
        </w:r>
      </w:hyperlink>
      <w:hyperlink r:id="rId39">
        <w:r>
          <w:rPr>
            <w:rStyle w:val="Hyperlink"/>
          </w:rPr>
          <w:t xml:space="preserve">[18]</w:t>
        </w:r>
      </w:hyperlink>
      <w:r>
        <w:t xml:space="preserve">, empirical law and economics papers</w:t>
      </w:r>
      <w:hyperlink r:id="rId27">
        <w:r>
          <w:rPr>
            <w:rStyle w:val="Hyperlink"/>
          </w:rPr>
          <w:t xml:space="preserve">[7]</w:t>
        </w:r>
      </w:hyperlink>
      <w:hyperlink r:id="rId37">
        <w:r>
          <w:rPr>
            <w:rStyle w:val="Hyperlink"/>
          </w:rPr>
          <w:t xml:space="preserve">[17]</w:t>
        </w:r>
      </w:hyperlink>
      <w:r>
        <w:t xml:space="preserve">, and major media/legal commentary</w:t>
      </w:r>
      <w:hyperlink r:id="rId28">
        <w:r>
          <w:rPr>
            <w:rStyle w:val="Hyperlink"/>
          </w:rPr>
          <w:t xml:space="preserve">[8]</w:t>
        </w:r>
      </w:hyperlink>
      <w:hyperlink r:id="rId29">
        <w:r>
          <w:rPr>
            <w:rStyle w:val="Hyperlink"/>
          </w:rPr>
          <w:t xml:space="preserve">[9]</w:t>
        </w:r>
      </w:hyperlink>
      <w:r>
        <w:t xml:space="preserve"> </w:t>
      </w:r>
      <w:r>
        <w:t xml:space="preserve">were used throughout. (Source details are cited inline above.)</w:t>
      </w:r>
    </w:p>
    <w:bookmarkEnd w:id="46"/>
    <w:bookmarkEnd w:id="47"/>
    <w:bookmarkEnd w:id="48"/>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 </w:t>
      </w:r>
      <w:r>
        <w:t xml:space="preserve">Trustees of Dartmouth College v. Woodward | 17 U.S. 518 (1819) | Justia U.S. Supreme Court Center</w:t>
      </w:r>
    </w:p>
    <w:p>
      <w:pPr>
        <w:pStyle w:val="BodyText"/>
      </w:pPr>
      <w:hyperlink r:id="rId49">
        <w:r>
          <w:rPr>
            <w:rStyle w:val="Hyperlink"/>
          </w:rPr>
          <w:t xml:space="preserve">https://supreme.justia.com/cases/federal/us/17/518/</w:t>
        </w:r>
      </w:hyperlink>
    </w:p>
    <w:p>
      <w:pPr>
        <w:pStyle w:val="BodyText"/>
      </w:pPr>
      <w:hyperlink r:id="rId22">
        <w:r>
          <w:rPr>
            <w:rStyle w:val="Hyperlink"/>
          </w:rPr>
          <w:t xml:space="preserve">[2]</w:t>
        </w:r>
      </w:hyperlink>
      <w:r>
        <w:t xml:space="preserve"> </w:t>
      </w:r>
      <w:r>
        <w:t xml:space="preserve">Lochner v. New York | Constitution Center</w:t>
      </w:r>
    </w:p>
    <w:p>
      <w:pPr>
        <w:pStyle w:val="BodyText"/>
      </w:pPr>
      <w:hyperlink r:id="rId50">
        <w:r>
          <w:rPr>
            <w:rStyle w:val="Hyperlink"/>
          </w:rPr>
          <w:t xml:space="preserve">https://constitutioncenter.org/the-constitution/supreme-court-case-library/lochner-v-new-york</w:t>
        </w:r>
      </w:hyperlink>
    </w:p>
    <w:p>
      <w:pPr>
        <w:pStyle w:val="BodyText"/>
      </w:pPr>
      <w:hyperlink r:id="rId23">
        <w:r>
          <w:rPr>
            <w:rStyle w:val="Hyperlink"/>
          </w:rPr>
          <w:t xml:space="preserve">[3]</w:t>
        </w:r>
      </w:hyperlink>
      <w:r>
        <w:t xml:space="preserve"> </w:t>
      </w:r>
      <w:r>
        <w:t xml:space="preserve"> </w:t>
      </w:r>
      <w:r>
        <w:t xml:space="preserve">Citizens United v. FEC | 558 U.S. 310 (2010) | Justia U.S. Supreme Court Center</w:t>
      </w:r>
    </w:p>
    <w:p>
      <w:pPr>
        <w:pStyle w:val="BodyText"/>
      </w:pPr>
      <w:hyperlink r:id="rId51">
        <w:r>
          <w:rPr>
            <w:rStyle w:val="Hyperlink"/>
          </w:rPr>
          <w:t xml:space="preserve">https://supreme.justia.com/cases/federal/us/558/310/</w:t>
        </w:r>
      </w:hyperlink>
    </w:p>
    <w:p>
      <w:pPr>
        <w:pStyle w:val="BodyText"/>
      </w:pPr>
      <w:hyperlink r:id="rId24">
        <w:r>
          <w:rPr>
            <w:rStyle w:val="Hyperlink"/>
          </w:rPr>
          <w:t xml:space="preserve">[4]</w:t>
        </w:r>
      </w:hyperlink>
      <w:r>
        <w:t xml:space="preserve"> </w:t>
      </w:r>
      <w:hyperlink r:id="rId45">
        <w:r>
          <w:rPr>
            <w:rStyle w:val="Hyperlink"/>
          </w:rPr>
          <w:t xml:space="preserve">[20]</w:t>
        </w:r>
      </w:hyperlink>
      <w:r>
        <w:t xml:space="preserve"> </w:t>
      </w:r>
      <w:r>
        <w:t xml:space="preserve">The Supreme Court and the Pro-Business Paradox - Harvard Law Review</w:t>
      </w:r>
    </w:p>
    <w:p>
      <w:pPr>
        <w:pStyle w:val="BodyText"/>
      </w:pPr>
      <w:hyperlink r:id="rId52">
        <w:r>
          <w:rPr>
            <w:rStyle w:val="Hyperlink"/>
          </w:rPr>
          <w:t xml:space="preserve">https://harvardlawreview.org/print/vol-135/the-supreme-court-and-the-pro-business-paradox/</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r>
        <w:t xml:space="preserve">The Supreme Court Is A Corporate Star Chamber - The Daily PosterCommentShareCommentShare</w:t>
      </w:r>
    </w:p>
    <w:p>
      <w:pPr>
        <w:pStyle w:val="BodyText"/>
      </w:pPr>
      <w:hyperlink r:id="rId53">
        <w:r>
          <w:rPr>
            <w:rStyle w:val="Hyperlink"/>
          </w:rPr>
          <w:t xml:space="preserve">https://www.levernews.com/the-supreme-court-is-a-corporate/</w:t>
        </w:r>
      </w:hyperlink>
    </w:p>
    <w:p>
      <w:pPr>
        <w:pStyle w:val="BodyText"/>
      </w:pPr>
      <w:hyperlink r:id="rId26">
        <w:r>
          <w:rPr>
            <w:rStyle w:val="Hyperlink"/>
          </w:rPr>
          <w:t xml:space="preserve">[6]</w:t>
        </w:r>
      </w:hyperlink>
      <w:r>
        <w:t xml:space="preserve"> </w:t>
      </w:r>
      <w:r>
        <w:t xml:space="preserve">The Supreme Court's bad business bias | United States Studies Centre</w:t>
      </w:r>
    </w:p>
    <w:p>
      <w:pPr>
        <w:pStyle w:val="BodyText"/>
      </w:pPr>
      <w:hyperlink r:id="rId54">
        <w:r>
          <w:rPr>
            <w:rStyle w:val="Hyperlink"/>
          </w:rPr>
          <w:t xml:space="preserve">https://www.ussc.edu.au/the-supreme-courts-bad-business-bias</w:t>
        </w:r>
      </w:hyperlink>
    </w:p>
    <w:p>
      <w:pPr>
        <w:pStyle w:val="BodyText"/>
      </w:pPr>
      <w:hyperlink r:id="rId27">
        <w:r>
          <w:rPr>
            <w:rStyle w:val="Hyperlink"/>
          </w:rPr>
          <w:t xml:space="preserve">[7]</w:t>
        </w:r>
      </w:hyperlink>
      <w:r>
        <w:t xml:space="preserve"> </w:t>
      </w:r>
      <w:r>
        <w:t xml:space="preserve">Ruling for the rich: Evidence of a pro-wealthy bias on the US Supreme Court | CEPR</w:t>
      </w:r>
    </w:p>
    <w:p>
      <w:pPr>
        <w:pStyle w:val="BodyText"/>
      </w:pPr>
      <w:hyperlink r:id="rId55">
        <w:r>
          <w:rPr>
            <w:rStyle w:val="Hyperlink"/>
          </w:rPr>
          <w:t xml:space="preserve">https://cepr.org/voxeu/columns/ruling-rich-evidence-pro-wealthy-bias-us-supreme-court</w:t>
        </w:r>
      </w:hyperlink>
    </w:p>
    <w:p>
      <w:pPr>
        <w:pStyle w:val="BodyText"/>
      </w:pPr>
      <w:hyperlink r:id="rId29">
        <w:r>
          <w:rPr>
            <w:rStyle w:val="Hyperlink"/>
          </w:rPr>
          <w:t xml:space="preserve">[9]</w:t>
        </w:r>
      </w:hyperlink>
      <w:r>
        <w:t xml:space="preserve"> </w:t>
      </w:r>
      <w:r>
        <w:t xml:space="preserve">Pro-Business Supreme Court to Be Tested in Regulatory Showdown</w:t>
      </w:r>
    </w:p>
    <w:p>
      <w:pPr>
        <w:pStyle w:val="BodyText"/>
      </w:pPr>
      <w:hyperlink r:id="rId56">
        <w:r>
          <w:rPr>
            <w:rStyle w:val="Hyperlink"/>
          </w:rPr>
          <w:t xml:space="preserve">https://news.bloomberglaw.com/us-law-week/pro-business-supreme-court-to-be-tested-in-regulatory-showdown</w:t>
        </w:r>
      </w:hyperlink>
    </w:p>
    <w:p>
      <w:pPr>
        <w:pStyle w:val="BodyText"/>
      </w:pPr>
      <w:hyperlink r:id="rId30">
        <w:r>
          <w:rPr>
            <w:rStyle w:val="Hyperlink"/>
          </w:rPr>
          <w:t xml:space="preserve">[10]</w:t>
        </w:r>
      </w:hyperlink>
      <w:r>
        <w:t xml:space="preserve"> </w:t>
      </w:r>
      <w:r>
        <w:t xml:space="preserve"> </w:t>
      </w:r>
      <w:r>
        <w:t xml:space="preserve">Brown v. Board of Education of Topeka | 347 U.S. 483 (1954) | Justia U.S. Supreme Court Center</w:t>
      </w:r>
    </w:p>
    <w:p>
      <w:pPr>
        <w:pStyle w:val="BodyText"/>
      </w:pPr>
      <w:hyperlink r:id="rId57">
        <w:r>
          <w:rPr>
            <w:rStyle w:val="Hyperlink"/>
          </w:rPr>
          <w:t xml:space="preserve">https://supreme.justia.com/cases/federal/us/347/483/</w:t>
        </w:r>
      </w:hyperlink>
    </w:p>
    <w:p>
      <w:pPr>
        <w:pStyle w:val="BodyText"/>
      </w:pPr>
      <w:hyperlink r:id="rId31">
        <w:r>
          <w:rPr>
            <w:rStyle w:val="Hyperlink"/>
          </w:rPr>
          <w:t xml:space="preserve">[11]</w:t>
        </w:r>
      </w:hyperlink>
      <w:r>
        <w:t xml:space="preserve"> </w:t>
      </w:r>
      <w:r>
        <w:t xml:space="preserve"> </w:t>
      </w:r>
      <w:r>
        <w:t xml:space="preserve">Kelo v. City of New London | 545 U.S. 469 (2005) | Justia U.S. Supreme Court Center</w:t>
      </w:r>
    </w:p>
    <w:p>
      <w:pPr>
        <w:pStyle w:val="BodyText"/>
      </w:pPr>
      <w:hyperlink r:id="rId58">
        <w:r>
          <w:rPr>
            <w:rStyle w:val="Hyperlink"/>
          </w:rPr>
          <w:t xml:space="preserve">https://supreme.justia.com/cases/federal/us/545/469/</w:t>
        </w:r>
      </w:hyperlink>
    </w:p>
    <w:p>
      <w:pPr>
        <w:pStyle w:val="BodyText"/>
      </w:pPr>
      <w:hyperlink r:id="rId59">
        <w:r>
          <w:rPr>
            <w:rStyle w:val="Hyperlink"/>
          </w:rPr>
          <w:t xml:space="preserve">[12]</w:t>
        </w:r>
      </w:hyperlink>
      <w:r>
        <w:t xml:space="preserve"> </w:t>
      </w:r>
      <w:r>
        <w:t xml:space="preserve"> </w:t>
      </w:r>
      <w:r>
        <w:t xml:space="preserve">Janus v. AFSCME | 585 U.S. ___ (2018) | Justia U.S. Supreme Court Center</w:t>
      </w:r>
    </w:p>
    <w:p>
      <w:pPr>
        <w:pStyle w:val="BodyText"/>
      </w:pPr>
      <w:hyperlink r:id="rId60">
        <w:r>
          <w:rPr>
            <w:rStyle w:val="Hyperlink"/>
          </w:rPr>
          <w:t xml:space="preserve">https://supreme.justia.com/cases/federal/us/585/16-1466/</w:t>
        </w:r>
      </w:hyperlink>
    </w:p>
    <w:p>
      <w:pPr>
        <w:pStyle w:val="BodyText"/>
      </w:pPr>
      <w:hyperlink r:id="rId32">
        <w:r>
          <w:rPr>
            <w:rStyle w:val="Hyperlink"/>
          </w:rPr>
          <w:t xml:space="preserve">[13]</w:t>
        </w:r>
      </w:hyperlink>
      <w:r>
        <w:t xml:space="preserve"> </w:t>
      </w:r>
      <w:r>
        <w:t xml:space="preserve">20-107 Cedar Point Nursery v. Hassid (06/23/2021)</w:t>
      </w:r>
    </w:p>
    <w:p>
      <w:pPr>
        <w:pStyle w:val="BodyText"/>
      </w:pPr>
      <w:hyperlink r:id="rId61">
        <w:r>
          <w:rPr>
            <w:rStyle w:val="Hyperlink"/>
          </w:rPr>
          <w:t xml:space="preserve">https://www.supremecourt.gov/opinions/20pdf/20-107_ihdj.pdf</w:t>
        </w:r>
      </w:hyperlink>
    </w:p>
    <w:p>
      <w:pPr>
        <w:pStyle w:val="BodyText"/>
      </w:pPr>
      <w:hyperlink r:id="rId33">
        <w:r>
          <w:rPr>
            <w:rStyle w:val="Hyperlink"/>
          </w:rPr>
          <w:t xml:space="preserve">[14]</w:t>
        </w:r>
      </w:hyperlink>
      <w:r>
        <w:t xml:space="preserve"> </w:t>
      </w:r>
      <w:r>
        <w:t xml:space="preserve">Ford Motor Co. v. Montana Eighth Judicial District - Wikipedia</w:t>
      </w:r>
    </w:p>
    <w:p>
      <w:pPr>
        <w:pStyle w:val="BodyText"/>
      </w:pPr>
      <w:hyperlink r:id="rId62">
        <w:r>
          <w:rPr>
            <w:rStyle w:val="Hyperlink"/>
          </w:rPr>
          <w:t xml:space="preserve">https://en.wikipedia.org/wiki/Ford_Motor_Co._v._Montana_Eighth_Judicial_District</w:t>
        </w:r>
      </w:hyperlink>
    </w:p>
    <w:p>
      <w:pPr>
        <w:pStyle w:val="BodyText"/>
      </w:pPr>
      <w:hyperlink r:id="rId34">
        <w:r>
          <w:rPr>
            <w:rStyle w:val="Hyperlink"/>
          </w:rPr>
          <w:t xml:space="preserve">[15]</w:t>
        </w:r>
      </w:hyperlink>
      <w:r>
        <w:t xml:space="preserve"> </w:t>
      </w:r>
      <w:r>
        <w:t xml:space="preserve"> </w:t>
      </w:r>
      <w:r>
        <w:t xml:space="preserve">US Supreme Court backs Nestle, Cargill in child slave labour suit - Business and Human Rights Centre</w:t>
      </w:r>
      <w:r>
        <w:t xml:space="preserve"> </w:t>
      </w:r>
    </w:p>
    <w:p>
      <w:pPr>
        <w:pStyle w:val="BodyText"/>
      </w:pPr>
      <w:hyperlink r:id="rId63">
        <w:r>
          <w:rPr>
            <w:rStyle w:val="Hyperlink"/>
          </w:rPr>
          <w:t xml:space="preserve">https://www.business-humanrights.org/en/latest-news/us-supreme-court-backs-nestle-cargill-in-child-slave-labour-suit/</w:t>
        </w:r>
      </w:hyperlink>
    </w:p>
    <w:p>
      <w:pPr>
        <w:pStyle w:val="BodyText"/>
      </w:pPr>
      <w:hyperlink r:id="rId35">
        <w:r>
          <w:rPr>
            <w:rStyle w:val="Hyperlink"/>
          </w:rPr>
          <w:t xml:space="preserve">[16]</w:t>
        </w:r>
      </w:hyperlink>
      <w:r>
        <w:t xml:space="preserve"> </w:t>
      </w:r>
      <w:r>
        <w:t xml:space="preserve">Uber BV and others (Appellants) v Aslam and others (Respondents) - UK Supreme Court</w:t>
      </w:r>
    </w:p>
    <w:p>
      <w:pPr>
        <w:pStyle w:val="BodyText"/>
      </w:pPr>
      <w:hyperlink r:id="rId64">
        <w:r>
          <w:rPr>
            <w:rStyle w:val="Hyperlink"/>
          </w:rPr>
          <w:t xml:space="preserve">https://www.supremecourt.uk/cases/uksc-2019-0029</w:t>
        </w:r>
      </w:hyperlink>
    </w:p>
    <w:p>
      <w:pPr>
        <w:pStyle w:val="BodyText"/>
      </w:pPr>
      <w:hyperlink r:id="rId37">
        <w:r>
          <w:rPr>
            <w:rStyle w:val="Hyperlink"/>
          </w:rPr>
          <w:t xml:space="preserve">[17]</w:t>
        </w:r>
      </w:hyperlink>
      <w:r>
        <w:t xml:space="preserve"> </w:t>
      </w:r>
      <w:r>
        <w:t xml:space="preserve">americanprogress.org</w:t>
      </w:r>
    </w:p>
    <w:p>
      <w:pPr>
        <w:pStyle w:val="BodyText"/>
      </w:pPr>
      <w:hyperlink r:id="rId65">
        <w:r>
          <w:rPr>
            <w:rStyle w:val="Hyperlink"/>
          </w:rPr>
          <w:t xml:space="preserve">https://www.americanprogress.org/wp-content/uploads/sites/2/2012/08/StateCourtsReport_execsumm.pdf</w:t>
        </w:r>
      </w:hyperlink>
    </w:p>
    <w:p>
      <w:pPr>
        <w:pStyle w:val="BodyText"/>
      </w:pPr>
      <w:hyperlink r:id="rId39">
        <w:r>
          <w:rPr>
            <w:rStyle w:val="Hyperlink"/>
          </w:rPr>
          <w:t xml:space="preserve">[18]</w:t>
        </w:r>
      </w:hyperlink>
      <w:r>
        <w:t xml:space="preserve"> </w:t>
      </w:r>
      <w:r>
        <w:t xml:space="preserve">Microsoft Word - Powers.final.oc</w:t>
      </w:r>
    </w:p>
    <w:p>
      <w:pPr>
        <w:pStyle w:val="BodyText"/>
      </w:pPr>
      <w:hyperlink r:id="rId66">
        <w:r>
          <w:rPr>
            <w:rStyle w:val="Hyperlink"/>
          </w:rPr>
          <w:t xml:space="preserve">http://texaslawreview.org/wp-content/uploads/2015/08/Powers-92-4.pdf</w:t>
        </w:r>
      </w:hyperlink>
    </w:p>
    <w:p>
      <w:pPr>
        <w:pStyle w:val="BodyText"/>
      </w:pPr>
      <w:hyperlink r:id="rId40">
        <w:r>
          <w:rPr>
            <w:rStyle w:val="Hyperlink"/>
          </w:rPr>
          <w:t xml:space="preserve">[19]</w:t>
        </w:r>
      </w:hyperlink>
      <w:r>
        <w:t xml:space="preserve"> </w:t>
      </w:r>
      <w:r>
        <w:t xml:space="preserve">Business judgment rule - Wikipedia</w:t>
      </w:r>
    </w:p>
    <w:p>
      <w:pPr>
        <w:pStyle w:val="BodyText"/>
      </w:pPr>
      <w:hyperlink r:id="rId67">
        <w:r>
          <w:rPr>
            <w:rStyle w:val="Hyperlink"/>
          </w:rPr>
          <w:t xml:space="preserve">https://en.wikipedia.org/wiki/Business_judgment_rule</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texaslawreview.org/wp-content/uploads/2015/08/Powers-92-4.pdf" TargetMode="External" /><Relationship Type="http://schemas.openxmlformats.org/officeDocument/2006/relationships/hyperlink" Id="rId39" Target="http://texaslawreview.org/wp-content/uploads/2015/08/Powers-92-4.pdf#:~:text=match%20at%20L1169%202014,judge%20hears%20many%20cases%20and" TargetMode="External" /><Relationship Type="http://schemas.openxmlformats.org/officeDocument/2006/relationships/hyperlink" Id="rId55" Target="https://cepr.org/voxeu/columns/ruling-rich-evidence-pro-wealthy-bias-us-supreme-court" TargetMode="External" /><Relationship Type="http://schemas.openxmlformats.org/officeDocument/2006/relationships/hyperlink" Id="rId27" Target="https://cepr.org/voxeu/columns/ruling-rich-evidence-pro-wealthy-bias-us-supreme-court#:~:text=both%20sided%20with%20the%20wealthy,resources%20and%20for%20economic%20inequality" TargetMode="External" /><Relationship Type="http://schemas.openxmlformats.org/officeDocument/2006/relationships/hyperlink" Id="rId50" Target="https://constitutioncenter.org/the-constitution/supreme-court-case-library/lochner-v-new-york" TargetMode="External" /><Relationship Type="http://schemas.openxmlformats.org/officeDocument/2006/relationships/hyperlink" Id="rId22" Target="https://constitutioncenter.org/the-constitution/supreme-court-case-library/lochner-v-new-york#:~:text=vis,legitimate%20health%20or%20safety%20objective" TargetMode="External" /><Relationship Type="http://schemas.openxmlformats.org/officeDocument/2006/relationships/hyperlink" Id="rId67" Target="https://en.wikipedia.org/wiki/Business_judgment_rule" TargetMode="External" /><Relationship Type="http://schemas.openxmlformats.org/officeDocument/2006/relationships/hyperlink" Id="rId40" Target="https://en.wikipedia.org/wiki/Business_judgment_rule#:~:text=The%20business%20judgment%20rule%20is,4" TargetMode="External" /><Relationship Type="http://schemas.openxmlformats.org/officeDocument/2006/relationships/hyperlink" Id="rId62" Target="https://en.wikipedia.org/wiki/Ford_Motor_Co._v._Montana_Eighth_Judicial_District" TargetMode="External" /><Relationship Type="http://schemas.openxmlformats.org/officeDocument/2006/relationships/hyperlink" Id="rId33" Target="https://en.wikipedia.org/wiki/Ford_Motor_Co._v._Montana_Eighth_Judicial_District#:~:text=Ford%20contended%20that%20the%20states,jurisdiction%20over%20the%20liability%20lawsuits" TargetMode="External" /><Relationship Type="http://schemas.openxmlformats.org/officeDocument/2006/relationships/hyperlink" Id="rId52" Target="https://harvardlawreview.org/print/vol-135/the-supreme-court-and-the-pro-business-paradox/" TargetMode="External" /><Relationship Type="http://schemas.openxmlformats.org/officeDocument/2006/relationships/hyperlink" Id="rId45" Target="https://harvardlawreview.org/print/vol-135/the-supreme-court-and-the-pro-business-paradox/#:~:text=cases%20also%20reveals%20that%20the,But%20deeper%20examination" TargetMode="External" /><Relationship Type="http://schemas.openxmlformats.org/officeDocument/2006/relationships/hyperlink" Id="rId24" Target="https://harvardlawreview.org/print/vol-135/the-supreme-court-and-the-pro-business-paradox/#:~:text=expenditures,35%20In%20both%20cases%2C%20the" TargetMode="External" /><Relationship Type="http://schemas.openxmlformats.org/officeDocument/2006/relationships/hyperlink" Id="rId56" Target="https://news.bloomberglaw.com/us-law-week/pro-business-supreme-court-to-be-tested-in-regulatory-showdown" TargetMode="External" /><Relationship Type="http://schemas.openxmlformats.org/officeDocument/2006/relationships/hyperlink" Id="rId29" Target="https://news.bloomberglaw.com/us-law-week/pro-business-supreme-court-to-be-tested-in-regulatory-showdown#:~:text=A%20pair%20of%20cases%20that,business%20court%20in%20a%20century" TargetMode="External" /><Relationship Type="http://schemas.openxmlformats.org/officeDocument/2006/relationships/hyperlink" Id="rId49" Target="https://supreme.justia.com/cases/federal/us/17/518/" TargetMode="External" /><Relationship Type="http://schemas.openxmlformats.org/officeDocument/2006/relationships/hyperlink" Id="rId21" Target="https://supreme.justia.com/cases/federal/us/17/518/#:~:text=The%20charter%20granted%20by%20the,not%20dissolved%20by%20the%20Revolution" TargetMode="External" /><Relationship Type="http://schemas.openxmlformats.org/officeDocument/2006/relationships/hyperlink" Id="rId57" Target="https://supreme.justia.com/cases/federal/us/347/483/" TargetMode="External" /><Relationship Type="http://schemas.openxmlformats.org/officeDocument/2006/relationships/hyperlink" Id="rId30" Target="https://supreme.justia.com/cases/federal/us/347/483/#:~:text=The%20Equal%20Protection%20Clause%20of,that%20the%20facilities%20were%20equal" TargetMode="External" /><Relationship Type="http://schemas.openxmlformats.org/officeDocument/2006/relationships/hyperlink" Id="rId58" Target="https://supreme.justia.com/cases/federal/us/545/469/" TargetMode="External" /><Relationship Type="http://schemas.openxmlformats.org/officeDocument/2006/relationships/hyperlink" Id="rId31" Target="https://supreme.justia.com/cases/federal/us/545/469/#:~:text=Primary%20Holding" TargetMode="External" /><Relationship Type="http://schemas.openxmlformats.org/officeDocument/2006/relationships/hyperlink" Id="rId51" Target="https://supreme.justia.com/cases/federal/us/558/310/" TargetMode="External" /><Relationship Type="http://schemas.openxmlformats.org/officeDocument/2006/relationships/hyperlink" Id="rId23" Target="https://supreme.justia.com/cases/federal/us/558/310/#:~:text=Primary%20Holding" TargetMode="External" /><Relationship Type="http://schemas.openxmlformats.org/officeDocument/2006/relationships/hyperlink" Id="rId60" Target="https://supreme.justia.com/cases/federal/us/585/16-1466/" TargetMode="External" /><Relationship Type="http://schemas.openxmlformats.org/officeDocument/2006/relationships/hyperlink" Id="rId59" Target="https://supreme.justia.com/cases/federal/us/585/16-1466/#:~:text=Annotation" TargetMode="External" /><Relationship Type="http://schemas.openxmlformats.org/officeDocument/2006/relationships/hyperlink" Id="rId65" Target="https://www.americanprogress.org/wp-content/uploads/sites/2/2012/08/StateCourtsReport_execsumm.pdf" TargetMode="External" /><Relationship Type="http://schemas.openxmlformats.org/officeDocument/2006/relationships/hyperlink" Id="rId37" Target="https://www.americanprogress.org/wp-content/uploads/sites/2/2012/08/StateCourtsReport_execsumm.pdf#:~:text=The%20data%20includes%20403%20cases,judicial%20elections%2C%20the%20interest%20groups" TargetMode="External" /><Relationship Type="http://schemas.openxmlformats.org/officeDocument/2006/relationships/hyperlink" Id="rId63" Target="https://www.business-humanrights.org/en/latest-news/us-supreme-court-backs-nestle-cargill-in-child-slave-labour-suit/" TargetMode="External" /><Relationship Type="http://schemas.openxmlformats.org/officeDocument/2006/relationships/hyperlink" Id="rId34" Target="https://www.business-humanrights.org/en/latest-news/us-supreme-court-backs-nestle-cargill-in-child-slave-labour-suit/#:~:text=The%20justices%20ruled%208,farms%20in%20neighbouring%20Ivory%20Coast" TargetMode="External" /><Relationship Type="http://schemas.openxmlformats.org/officeDocument/2006/relationships/hyperlink" Id="rId53" Target="https://www.levernews.com/the-supreme-court-is-a-corporate/" TargetMode="External" /><Relationship Type="http://schemas.openxmlformats.org/officeDocument/2006/relationships/hyperlink" Id="rId28" Target="https://www.levernews.com/the-supreme-court-is-a-corporate/#:~:text=Once%20again%2C%20the%20high%20court,defending%20corporations%20and%20the%20wealthy" TargetMode="External" /><Relationship Type="http://schemas.openxmlformats.org/officeDocument/2006/relationships/hyperlink" Id="rId25" Target="https://www.levernews.com/the-supreme-court-is-a-corporate/#:~:text=This%20is%20part%20of%20a,%E2%80%9D" TargetMode="External" /><Relationship Type="http://schemas.openxmlformats.org/officeDocument/2006/relationships/hyperlink" Id="rId61" Target="https://www.supremecourt.gov/opinions/20pdf/20-107_ihdj.pdf" TargetMode="External" /><Relationship Type="http://schemas.openxmlformats.org/officeDocument/2006/relationships/hyperlink" Id="rId32" Target="https://www.supremecourt.gov/opinions/20pdf/20-107_ihdj.pdf#:~:text=Held%3A%20California%E2%80%99s%20access%20regulation%20constitutes,private%20property%20for%20a%20public" TargetMode="External" /><Relationship Type="http://schemas.openxmlformats.org/officeDocument/2006/relationships/hyperlink" Id="rId64" Target="https://www.supremecourt.uk/cases/uksc-2019-0029" TargetMode="External" /><Relationship Type="http://schemas.openxmlformats.org/officeDocument/2006/relationships/hyperlink" Id="rId35" Target="https://www.supremecourt.uk/cases/uksc-2019-0029#:~:text=The%20Appellants%20are%20members%20of,argue%20that%20the%20Respondents%20were" TargetMode="External" /><Relationship Type="http://schemas.openxmlformats.org/officeDocument/2006/relationships/hyperlink" Id="rId54" Target="https://www.ussc.edu.au/the-supreme-courts-bad-business-bias" TargetMode="External" /><Relationship Type="http://schemas.openxmlformats.org/officeDocument/2006/relationships/hyperlink" Id="rId26" Target="https://www.ussc.edu.au/the-supreme-courts-bad-business-bias#:~:text=friendly%E2%80%9D%20is%20measured%20in%20terms,70%20percent%20of%20the%20time" TargetMode="External" /></Relationships>
</file>

<file path=word/_rels/footnotes.xml.rels><?xml version="1.0" encoding="UTF-8"?><Relationships xmlns="http://schemas.openxmlformats.org/package/2006/relationships"><Relationship Type="http://schemas.openxmlformats.org/officeDocument/2006/relationships/hyperlink" Id="rId66" Target="http://texaslawreview.org/wp-content/uploads/2015/08/Powers-92-4.pdf" TargetMode="External" /><Relationship Type="http://schemas.openxmlformats.org/officeDocument/2006/relationships/hyperlink" Id="rId39" Target="http://texaslawreview.org/wp-content/uploads/2015/08/Powers-92-4.pdf#:~:text=match%20at%20L1169%202014,judge%20hears%20many%20cases%20and" TargetMode="External" /><Relationship Type="http://schemas.openxmlformats.org/officeDocument/2006/relationships/hyperlink" Id="rId55" Target="https://cepr.org/voxeu/columns/ruling-rich-evidence-pro-wealthy-bias-us-supreme-court" TargetMode="External" /><Relationship Type="http://schemas.openxmlformats.org/officeDocument/2006/relationships/hyperlink" Id="rId27" Target="https://cepr.org/voxeu/columns/ruling-rich-evidence-pro-wealthy-bias-us-supreme-court#:~:text=both%20sided%20with%20the%20wealthy,resources%20and%20for%20economic%20inequality" TargetMode="External" /><Relationship Type="http://schemas.openxmlformats.org/officeDocument/2006/relationships/hyperlink" Id="rId50" Target="https://constitutioncenter.org/the-constitution/supreme-court-case-library/lochner-v-new-york" TargetMode="External" /><Relationship Type="http://schemas.openxmlformats.org/officeDocument/2006/relationships/hyperlink" Id="rId22" Target="https://constitutioncenter.org/the-constitution/supreme-court-case-library/lochner-v-new-york#:~:text=vis,legitimate%20health%20or%20safety%20objective" TargetMode="External" /><Relationship Type="http://schemas.openxmlformats.org/officeDocument/2006/relationships/hyperlink" Id="rId67" Target="https://en.wikipedia.org/wiki/Business_judgment_rule" TargetMode="External" /><Relationship Type="http://schemas.openxmlformats.org/officeDocument/2006/relationships/hyperlink" Id="rId40" Target="https://en.wikipedia.org/wiki/Business_judgment_rule#:~:text=The%20business%20judgment%20rule%20is,4" TargetMode="External" /><Relationship Type="http://schemas.openxmlformats.org/officeDocument/2006/relationships/hyperlink" Id="rId62" Target="https://en.wikipedia.org/wiki/Ford_Motor_Co._v._Montana_Eighth_Judicial_District" TargetMode="External" /><Relationship Type="http://schemas.openxmlformats.org/officeDocument/2006/relationships/hyperlink" Id="rId33" Target="https://en.wikipedia.org/wiki/Ford_Motor_Co._v._Montana_Eighth_Judicial_District#:~:text=Ford%20contended%20that%20the%20states,jurisdiction%20over%20the%20liability%20lawsuits" TargetMode="External" /><Relationship Type="http://schemas.openxmlformats.org/officeDocument/2006/relationships/hyperlink" Id="rId52" Target="https://harvardlawreview.org/print/vol-135/the-supreme-court-and-the-pro-business-paradox/" TargetMode="External" /><Relationship Type="http://schemas.openxmlformats.org/officeDocument/2006/relationships/hyperlink" Id="rId45" Target="https://harvardlawreview.org/print/vol-135/the-supreme-court-and-the-pro-business-paradox/#:~:text=cases%20also%20reveals%20that%20the,But%20deeper%20examination" TargetMode="External" /><Relationship Type="http://schemas.openxmlformats.org/officeDocument/2006/relationships/hyperlink" Id="rId24" Target="https://harvardlawreview.org/print/vol-135/the-supreme-court-and-the-pro-business-paradox/#:~:text=expenditures,35%20In%20both%20cases%2C%20the" TargetMode="External" /><Relationship Type="http://schemas.openxmlformats.org/officeDocument/2006/relationships/hyperlink" Id="rId56" Target="https://news.bloomberglaw.com/us-law-week/pro-business-supreme-court-to-be-tested-in-regulatory-showdown" TargetMode="External" /><Relationship Type="http://schemas.openxmlformats.org/officeDocument/2006/relationships/hyperlink" Id="rId29" Target="https://news.bloomberglaw.com/us-law-week/pro-business-supreme-court-to-be-tested-in-regulatory-showdown#:~:text=A%20pair%20of%20cases%20that,business%20court%20in%20a%20century" TargetMode="External" /><Relationship Type="http://schemas.openxmlformats.org/officeDocument/2006/relationships/hyperlink" Id="rId49" Target="https://supreme.justia.com/cases/federal/us/17/518/" TargetMode="External" /><Relationship Type="http://schemas.openxmlformats.org/officeDocument/2006/relationships/hyperlink" Id="rId21" Target="https://supreme.justia.com/cases/federal/us/17/518/#:~:text=The%20charter%20granted%20by%20the,not%20dissolved%20by%20the%20Revolution" TargetMode="External" /><Relationship Type="http://schemas.openxmlformats.org/officeDocument/2006/relationships/hyperlink" Id="rId57" Target="https://supreme.justia.com/cases/federal/us/347/483/" TargetMode="External" /><Relationship Type="http://schemas.openxmlformats.org/officeDocument/2006/relationships/hyperlink" Id="rId30" Target="https://supreme.justia.com/cases/federal/us/347/483/#:~:text=The%20Equal%20Protection%20Clause%20of,that%20the%20facilities%20were%20equal" TargetMode="External" /><Relationship Type="http://schemas.openxmlformats.org/officeDocument/2006/relationships/hyperlink" Id="rId58" Target="https://supreme.justia.com/cases/federal/us/545/469/" TargetMode="External" /><Relationship Type="http://schemas.openxmlformats.org/officeDocument/2006/relationships/hyperlink" Id="rId31" Target="https://supreme.justia.com/cases/federal/us/545/469/#:~:text=Primary%20Holding" TargetMode="External" /><Relationship Type="http://schemas.openxmlformats.org/officeDocument/2006/relationships/hyperlink" Id="rId51" Target="https://supreme.justia.com/cases/federal/us/558/310/" TargetMode="External" /><Relationship Type="http://schemas.openxmlformats.org/officeDocument/2006/relationships/hyperlink" Id="rId23" Target="https://supreme.justia.com/cases/federal/us/558/310/#:~:text=Primary%20Holding" TargetMode="External" /><Relationship Type="http://schemas.openxmlformats.org/officeDocument/2006/relationships/hyperlink" Id="rId60" Target="https://supreme.justia.com/cases/federal/us/585/16-1466/" TargetMode="External" /><Relationship Type="http://schemas.openxmlformats.org/officeDocument/2006/relationships/hyperlink" Id="rId59" Target="https://supreme.justia.com/cases/federal/us/585/16-1466/#:~:text=Annotation" TargetMode="External" /><Relationship Type="http://schemas.openxmlformats.org/officeDocument/2006/relationships/hyperlink" Id="rId65" Target="https://www.americanprogress.org/wp-content/uploads/sites/2/2012/08/StateCourtsReport_execsumm.pdf" TargetMode="External" /><Relationship Type="http://schemas.openxmlformats.org/officeDocument/2006/relationships/hyperlink" Id="rId37" Target="https://www.americanprogress.org/wp-content/uploads/sites/2/2012/08/StateCourtsReport_execsumm.pdf#:~:text=The%20data%20includes%20403%20cases,judicial%20elections%2C%20the%20interest%20groups" TargetMode="External" /><Relationship Type="http://schemas.openxmlformats.org/officeDocument/2006/relationships/hyperlink" Id="rId63" Target="https://www.business-humanrights.org/en/latest-news/us-supreme-court-backs-nestle-cargill-in-child-slave-labour-suit/" TargetMode="External" /><Relationship Type="http://schemas.openxmlformats.org/officeDocument/2006/relationships/hyperlink" Id="rId34" Target="https://www.business-humanrights.org/en/latest-news/us-supreme-court-backs-nestle-cargill-in-child-slave-labour-suit/#:~:text=The%20justices%20ruled%208,farms%20in%20neighbouring%20Ivory%20Coast" TargetMode="External" /><Relationship Type="http://schemas.openxmlformats.org/officeDocument/2006/relationships/hyperlink" Id="rId53" Target="https://www.levernews.com/the-supreme-court-is-a-corporate/" TargetMode="External" /><Relationship Type="http://schemas.openxmlformats.org/officeDocument/2006/relationships/hyperlink" Id="rId28" Target="https://www.levernews.com/the-supreme-court-is-a-corporate/#:~:text=Once%20again%2C%20the%20high%20court,defending%20corporations%20and%20the%20wealthy" TargetMode="External" /><Relationship Type="http://schemas.openxmlformats.org/officeDocument/2006/relationships/hyperlink" Id="rId25" Target="https://www.levernews.com/the-supreme-court-is-a-corporate/#:~:text=This%20is%20part%20of%20a,%E2%80%9D" TargetMode="External" /><Relationship Type="http://schemas.openxmlformats.org/officeDocument/2006/relationships/hyperlink" Id="rId61" Target="https://www.supremecourt.gov/opinions/20pdf/20-107_ihdj.pdf" TargetMode="External" /><Relationship Type="http://schemas.openxmlformats.org/officeDocument/2006/relationships/hyperlink" Id="rId32" Target="https://www.supremecourt.gov/opinions/20pdf/20-107_ihdj.pdf#:~:text=Held%3A%20California%E2%80%99s%20access%20regulation%20constitutes,private%20property%20for%20a%20public" TargetMode="External" /><Relationship Type="http://schemas.openxmlformats.org/officeDocument/2006/relationships/hyperlink" Id="rId64" Target="https://www.supremecourt.uk/cases/uksc-2019-0029" TargetMode="External" /><Relationship Type="http://schemas.openxmlformats.org/officeDocument/2006/relationships/hyperlink" Id="rId35" Target="https://www.supremecourt.uk/cases/uksc-2019-0029#:~:text=The%20Appellants%20are%20members%20of,argue%20that%20the%20Respondents%20were" TargetMode="External" /><Relationship Type="http://schemas.openxmlformats.org/officeDocument/2006/relationships/hyperlink" Id="rId54" Target="https://www.ussc.edu.au/the-supreme-courts-bad-business-bias" TargetMode="External" /><Relationship Type="http://schemas.openxmlformats.org/officeDocument/2006/relationships/hyperlink" Id="rId26" Target="https://www.ussc.edu.au/the-supreme-courts-bad-business-bias#:~:text=friendly%E2%80%9D%20is%20measured%20in%20terms,70%20percent%20of%20the%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2026-03-21T02:20:58Z</dcterms:created>
  <dcterms:modified xsi:type="dcterms:W3CDTF">2026-03-21T02:20:58Z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