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2" w:name="content"/>
    <w:bookmarkStart w:id="101" w:name="the-u.s.-postworld-war-ii-boom-19451975"/>
    <w:p>
      <w:pPr>
        <w:pStyle w:val="Heading1"/>
      </w:pPr>
      <w:r>
        <w:t xml:space="preserve">The U.S. Post–World War II Boom, 1945–1975</w:t>
      </w:r>
    </w:p>
    <w:bookmarkStart w:id="26" w:name="executive-summary"/>
    <w:p>
      <w:pPr>
        <w:pStyle w:val="Heading2"/>
      </w:pPr>
      <w:r>
        <w:t xml:space="preserve">Executive summary</w:t>
      </w:r>
    </w:p>
    <w:p>
      <w:pPr>
        <w:pStyle w:val="FirstParagraph"/>
      </w:pPr>
      <w:r>
        <w:t xml:space="preserve">The exceptional U.S. economic and social boom after World War II is best understood as a</w:t>
      </w:r>
      <w:r>
        <w:t xml:space="preserve"> </w:t>
      </w:r>
      <w:r>
        <w:rPr>
          <w:b/>
          <w:bCs/>
        </w:rPr>
        <w:t xml:space="preserve">two-part story</w:t>
      </w:r>
      <w:r>
        <w:t xml:space="preserve">: (1) a historically unusual starting position around 1945–1948—global industrial primacy, financial dominance, and new domestic institutions—and (2) reinforcing</w:t>
      </w:r>
      <w:r>
        <w:t xml:space="preserve"> </w:t>
      </w:r>
      <w:r>
        <w:rPr>
          <w:b/>
          <w:bCs/>
        </w:rPr>
        <w:t xml:space="preserve">feedback loops</w:t>
      </w:r>
      <w:r>
        <w:t xml:space="preserve"> </w:t>
      </w:r>
      <w:r>
        <w:t xml:space="preserve">that converted that starting position into a durable, mass-consumption growth regime through the early 1970s.</w:t>
      </w:r>
      <w:r>
        <w:t xml:space="preserve"> </w:t>
      </w:r>
      <w:hyperlink r:id="rId21">
        <w:r>
          <w:rPr>
            <w:rStyle w:val="Hyperlink"/>
          </w:rPr>
          <w:t xml:space="preserve">[1]</w:t>
        </w:r>
      </w:hyperlink>
    </w:p>
    <w:p>
      <w:pPr>
        <w:pStyle w:val="BodyText"/>
      </w:pPr>
      <w:r>
        <w:t xml:space="preserve">A defensible “core boom” window is</w:t>
      </w:r>
      <w:r>
        <w:t xml:space="preserve"> </w:t>
      </w:r>
      <w:r>
        <w:rPr>
          <w:b/>
          <w:bCs/>
        </w:rPr>
        <w:t xml:space="preserve">roughly 1948–1973</w:t>
      </w:r>
      <w:r>
        <w:t xml:space="preserve">, with a looser framing of</w:t>
      </w:r>
      <w:r>
        <w:t xml:space="preserve"> </w:t>
      </w:r>
      <w:r>
        <w:rPr>
          <w:b/>
          <w:bCs/>
        </w:rPr>
        <w:t xml:space="preserve">1945–1975</w:t>
      </w:r>
      <w:r>
        <w:t xml:space="preserve"> </w:t>
      </w:r>
      <w:r>
        <w:t xml:space="preserve">for social and institutional change. The rationale is that (a) key postwar international systems and domestic social programs were legislated during 1944–1948, (b) the long expansion’s productivity and income dynamics are commonly benchmarked from</w:t>
      </w:r>
      <w:r>
        <w:t xml:space="preserve"> </w:t>
      </w:r>
      <w:r>
        <w:rPr>
          <w:b/>
          <w:bCs/>
        </w:rPr>
        <w:t xml:space="preserve">1948</w:t>
      </w:r>
      <w:r>
        <w:t xml:space="preserve">, and (c) major regime breaks cluster in</w:t>
      </w:r>
      <w:r>
        <w:t xml:space="preserve"> </w:t>
      </w:r>
      <w:r>
        <w:rPr>
          <w:b/>
          <w:bCs/>
        </w:rPr>
        <w:t xml:space="preserve">1971–1975</w:t>
      </w:r>
      <w:r>
        <w:t xml:space="preserve">: the end of dollar–gold convertibility and the collapse of Bretton Woods fixed exchange rates (1971–1973), the first oil shock (1973–1974), the widely identified productivity slowdown beginning in 1973, and the severe 1973–1975 recession visible in labor-market data.</w:t>
      </w:r>
      <w:r>
        <w:t xml:space="preserve"> </w:t>
      </w:r>
      <w:hyperlink r:id="rId22">
        <w:r>
          <w:rPr>
            <w:rStyle w:val="Hyperlink"/>
          </w:rPr>
          <w:t xml:space="preserve">[2]</w:t>
        </w:r>
      </w:hyperlink>
    </w:p>
    <w:p>
      <w:pPr>
        <w:pStyle w:val="BodyText"/>
      </w:pPr>
      <w:r>
        <w:t xml:space="preserve">Structurally, this era combined:</w:t>
      </w:r>
      <w:r>
        <w:t xml:space="preserve"> </w:t>
      </w:r>
      <w:r>
        <w:rPr>
          <w:b/>
          <w:bCs/>
        </w:rPr>
        <w:t xml:space="preserve">global supply advantage</w:t>
      </w:r>
      <w:r>
        <w:t xml:space="preserve"> </w:t>
      </w:r>
      <w:r>
        <w:t xml:space="preserve">(competitors’ destruction and U.S. industrial scale), a</w:t>
      </w:r>
      <w:r>
        <w:t xml:space="preserve"> </w:t>
      </w:r>
      <w:r>
        <w:rPr>
          <w:b/>
          <w:bCs/>
        </w:rPr>
        <w:t xml:space="preserve">stable postwar monetary/trade architecture</w:t>
      </w:r>
      <w:r>
        <w:t xml:space="preserve"> </w:t>
      </w:r>
      <w:r>
        <w:t xml:space="preserve">anchored to the dollar–gold link, sustained</w:t>
      </w:r>
      <w:r>
        <w:t xml:space="preserve"> </w:t>
      </w:r>
      <w:r>
        <w:rPr>
          <w:b/>
          <w:bCs/>
        </w:rPr>
        <w:t xml:space="preserve">public and quasi-public investment</w:t>
      </w:r>
      <w:r>
        <w:t xml:space="preserve"> </w:t>
      </w:r>
      <w:r>
        <w:t xml:space="preserve">(housing finance, highways, education),</w:t>
      </w:r>
      <w:r>
        <w:t xml:space="preserve"> </w:t>
      </w:r>
      <w:r>
        <w:rPr>
          <w:b/>
          <w:bCs/>
        </w:rPr>
        <w:t xml:space="preserve">high union density and wage-setting norms</w:t>
      </w:r>
      <w:r>
        <w:t xml:space="preserve"> </w:t>
      </w:r>
      <w:r>
        <w:t xml:space="preserve">that supported broad wage growth and demand, and favorable</w:t>
      </w:r>
      <w:r>
        <w:t xml:space="preserve"> </w:t>
      </w:r>
      <w:r>
        <w:rPr>
          <w:b/>
          <w:bCs/>
        </w:rPr>
        <w:t xml:space="preserve">demographics</w:t>
      </w:r>
      <w:r>
        <w:t xml:space="preserve"> </w:t>
      </w:r>
      <w:r>
        <w:t xml:space="preserve">(the baby boom and household formation).</w:t>
      </w:r>
      <w:r>
        <w:t xml:space="preserve"> </w:t>
      </w:r>
      <w:hyperlink r:id="rId21">
        <w:r>
          <w:rPr>
            <w:rStyle w:val="Hyperlink"/>
          </w:rPr>
          <w:t xml:space="preserve">[3]</w:t>
        </w:r>
      </w:hyperlink>
    </w:p>
    <w:p>
      <w:pPr>
        <w:pStyle w:val="BodyText"/>
      </w:pPr>
      <w:r>
        <w:t xml:space="preserve">The boom’s benefits were</w:t>
      </w:r>
      <w:r>
        <w:t xml:space="preserve"> </w:t>
      </w:r>
      <w:r>
        <w:rPr>
          <w:b/>
          <w:bCs/>
        </w:rPr>
        <w:t xml:space="preserve">real and measurable</w:t>
      </w:r>
      <w:r>
        <w:t xml:space="preserve">, but</w:t>
      </w:r>
      <w:r>
        <w:t xml:space="preserve"> </w:t>
      </w:r>
      <w:r>
        <w:rPr>
          <w:b/>
          <w:bCs/>
        </w:rPr>
        <w:t xml:space="preserve">unevenly distributed</w:t>
      </w:r>
      <w:r>
        <w:t xml:space="preserve">. Homeownership rose dramatically from prewar levels (43.6% in 1940 to 62.9% in 1970), and college enrollment expanded several-fold (2.34 million in 1947 to 11.18 million in 1975).</w:t>
      </w:r>
      <w:r>
        <w:t xml:space="preserve"> </w:t>
      </w:r>
      <w:hyperlink r:id="rId23">
        <w:r>
          <w:rPr>
            <w:rStyle w:val="Hyperlink"/>
          </w:rPr>
          <w:t xml:space="preserve">[4]</w:t>
        </w:r>
      </w:hyperlink>
      <w:r>
        <w:t xml:space="preserve"> </w:t>
      </w:r>
      <w:r>
        <w:t xml:space="preserve">At the same time, federally influenced housing finance and local lending practices entrenched racial exclusion—“redlining” and related mechanisms shaped neighborhood credit access and segregation, with long-run impacts documented in modern empirical work.</w:t>
      </w:r>
      <w:r>
        <w:t xml:space="preserve"> </w:t>
      </w:r>
      <w:hyperlink r:id="rId24">
        <w:r>
          <w:rPr>
            <w:rStyle w:val="Hyperlink"/>
          </w:rPr>
          <w:t xml:space="preserve">[5]</w:t>
        </w:r>
      </w:hyperlink>
    </w:p>
    <w:p>
      <w:pPr>
        <w:pStyle w:val="BodyText"/>
      </w:pPr>
      <w:r>
        <w:t xml:space="preserve">The era weakened not because one cause disappeared, but because</w:t>
      </w:r>
      <w:r>
        <w:t xml:space="preserve"> </w:t>
      </w:r>
      <w:r>
        <w:rPr>
          <w:b/>
          <w:bCs/>
        </w:rPr>
        <w:t xml:space="preserve">multiple pillars shifted at once</w:t>
      </w:r>
      <w:r>
        <w:t xml:space="preserve">: the international monetary order changed, energy prices became volatile, global manufacturing competition intensified, and the growth regime became less compatible with inflation control. These pressures culminated in a macroeconomic environment of</w:t>
      </w:r>
      <w:r>
        <w:t xml:space="preserve"> </w:t>
      </w:r>
      <w:r>
        <w:rPr>
          <w:b/>
          <w:bCs/>
        </w:rPr>
        <w:t xml:space="preserve">slower productivity growth and stagflation</w:t>
      </w:r>
      <w:r>
        <w:t xml:space="preserve"> </w:t>
      </w:r>
      <w:r>
        <w:t xml:space="preserve">in the 1970s.</w:t>
      </w:r>
      <w:r>
        <w:t xml:space="preserve"> </w:t>
      </w:r>
      <w:hyperlink r:id="rId25">
        <w:r>
          <w:rPr>
            <w:rStyle w:val="Hyperlink"/>
          </w:rPr>
          <w:t xml:space="preserve">[6]</w:t>
        </w:r>
      </w:hyperlink>
    </w:p>
    <w:bookmarkEnd w:id="26"/>
    <w:bookmarkStart w:id="35" w:name="defining-the-era"/>
    <w:p>
      <w:pPr>
        <w:pStyle w:val="Heading2"/>
      </w:pPr>
      <w:r>
        <w:t xml:space="preserve">Defining the era</w:t>
      </w:r>
    </w:p>
    <w:bookmarkStart w:id="32" w:name="date-ranges-and-justification"/>
    <w:p>
      <w:pPr>
        <w:pStyle w:val="Heading3"/>
      </w:pPr>
      <w:r>
        <w:t xml:space="preserve">Date ranges and justification</w:t>
      </w:r>
    </w:p>
    <w:p>
      <w:pPr>
        <w:pStyle w:val="FirstParagraph"/>
      </w:pPr>
      <w:r>
        <w:t xml:space="preserve">A precise dating has to distinguish</w:t>
      </w:r>
      <w:r>
        <w:t xml:space="preserve"> </w:t>
      </w:r>
      <w:r>
        <w:rPr>
          <w:b/>
          <w:bCs/>
        </w:rPr>
        <w:t xml:space="preserve">institutional starts</w:t>
      </w:r>
      <w:r>
        <w:t xml:space="preserve"> </w:t>
      </w:r>
      <w:r>
        <w:t xml:space="preserve">from</w:t>
      </w:r>
      <w:r>
        <w:t xml:space="preserve"> </w:t>
      </w:r>
      <w:r>
        <w:rPr>
          <w:b/>
          <w:bCs/>
        </w:rPr>
        <w:t xml:space="preserve">macroeconomic breakpoints</w:t>
      </w:r>
      <w:r>
        <w:t xml:space="preserve">:</w:t>
      </w:r>
    </w:p>
    <w:p>
      <w:pPr>
        <w:pStyle w:val="BodyText"/>
      </w:pPr>
      <w:r>
        <w:rPr>
          <w:b/>
          <w:bCs/>
        </w:rPr>
        <w:t xml:space="preserve">Institutional and structural start (1944–1948)</w:t>
      </w:r>
      <w:r>
        <w:br/>
      </w:r>
      <w:r>
        <w:t xml:space="preserve">Key frameworks that shaped the postwar economy were set before and immediately after 1945: the GI Bill (1944), the Bretton Woods agreements (1944), and the Marshall Plan’s Congressional authorization (1948).</w:t>
      </w:r>
      <w:r>
        <w:t xml:space="preserve"> </w:t>
      </w:r>
      <w:hyperlink r:id="rId27">
        <w:r>
          <w:rPr>
            <w:rStyle w:val="Hyperlink"/>
          </w:rPr>
          <w:t xml:space="preserve">[7]</w:t>
        </w:r>
      </w:hyperlink>
      <w:r>
        <w:t xml:space="preserve"> </w:t>
      </w:r>
      <w:r>
        <w:t xml:space="preserve">These established (i) mass education/training and a housing-finance channel for veterans, (ii) a dollar-centered monetary architecture, and (iii) a reconstruction/export demand channel abroad.</w:t>
      </w:r>
      <w:r>
        <w:t xml:space="preserve"> </w:t>
      </w:r>
      <w:hyperlink r:id="rId28">
        <w:r>
          <w:rPr>
            <w:rStyle w:val="Hyperlink"/>
          </w:rPr>
          <w:t xml:space="preserve">[8]</w:t>
        </w:r>
      </w:hyperlink>
    </w:p>
    <w:p>
      <w:pPr>
        <w:pStyle w:val="BodyText"/>
      </w:pPr>
      <w:r>
        <w:rPr>
          <w:b/>
          <w:bCs/>
        </w:rPr>
        <w:t xml:space="preserve">Macroeconomic “high-growth regime” core (1948–1973)</w:t>
      </w:r>
      <w:r>
        <w:br/>
      </w:r>
      <w:r>
        <w:t xml:space="preserve">Economic historians and productivity analysts commonly treat</w:t>
      </w:r>
      <w:r>
        <w:t xml:space="preserve"> </w:t>
      </w:r>
      <w:r>
        <w:rPr>
          <w:b/>
          <w:bCs/>
        </w:rPr>
        <w:t xml:space="preserve">1948</w:t>
      </w:r>
      <w:r>
        <w:t xml:space="preserve"> </w:t>
      </w:r>
      <w:r>
        <w:t xml:space="preserve">as a clean baseline for postwar productivity comparisons, and a widely noted break occurs at</w:t>
      </w:r>
      <w:r>
        <w:t xml:space="preserve"> </w:t>
      </w:r>
      <w:r>
        <w:rPr>
          <w:b/>
          <w:bCs/>
        </w:rPr>
        <w:t xml:space="preserve">1973</w:t>
      </w:r>
      <w:r>
        <w:t xml:space="preserve">, when the productivity slowdown becomes apparent in the data.</w:t>
      </w:r>
      <w:r>
        <w:t xml:space="preserve"> </w:t>
      </w:r>
      <w:hyperlink r:id="rId29">
        <w:r>
          <w:rPr>
            <w:rStyle w:val="Hyperlink"/>
          </w:rPr>
          <w:t xml:space="preserve">[9]</w:t>
        </w:r>
      </w:hyperlink>
    </w:p>
    <w:p>
      <w:pPr>
        <w:pStyle w:val="BodyText"/>
      </w:pPr>
      <w:r>
        <w:rPr>
          <w:b/>
          <w:bCs/>
        </w:rPr>
        <w:t xml:space="preserve">End-range (1971–1975)</w:t>
      </w:r>
      <w:r>
        <w:br/>
      </w:r>
      <w:r>
        <w:t xml:space="preserve">Three shocks cluster tightly and justify an “end-range” rather than a single year:</w:t>
      </w:r>
      <w:r>
        <w:br/>
      </w:r>
      <w:r>
        <w:t xml:space="preserve">-</w:t>
      </w:r>
      <w:r>
        <w:t xml:space="preserve"> </w:t>
      </w:r>
      <w:r>
        <w:rPr>
          <w:b/>
          <w:bCs/>
        </w:rPr>
        <w:t xml:space="preserve">1971–1973</w:t>
      </w:r>
      <w:r>
        <w:t xml:space="preserve">: suspension of dollar–gold convertibility and the effective abandonment of Bretton Woods fixed exchange rates.</w:t>
      </w:r>
      <w:r>
        <w:t xml:space="preserve"> </w:t>
      </w:r>
      <w:hyperlink r:id="rId22">
        <w:r>
          <w:rPr>
            <w:rStyle w:val="Hyperlink"/>
          </w:rPr>
          <w:t xml:space="preserve">[10]</w:t>
        </w:r>
      </w:hyperlink>
      <w:r>
        <w:br/>
      </w:r>
      <w:r>
        <w:t xml:space="preserve">-</w:t>
      </w:r>
      <w:r>
        <w:t xml:space="preserve"> </w:t>
      </w:r>
      <w:r>
        <w:rPr>
          <w:b/>
          <w:bCs/>
        </w:rPr>
        <w:t xml:space="preserve">1973–1974</w:t>
      </w:r>
      <w:r>
        <w:t xml:space="preserve">: first oil shock, with oil prices jumping sharply.</w:t>
      </w:r>
      <w:r>
        <w:t xml:space="preserve"> </w:t>
      </w:r>
      <w:hyperlink r:id="rId30">
        <w:r>
          <w:rPr>
            <w:rStyle w:val="Hyperlink"/>
          </w:rPr>
          <w:t xml:space="preserve">[11]</w:t>
        </w:r>
      </w:hyperlink>
      <w:r>
        <w:br/>
      </w:r>
      <w:r>
        <w:t xml:space="preserve">-</w:t>
      </w:r>
      <w:r>
        <w:t xml:space="preserve"> </w:t>
      </w:r>
      <w:r>
        <w:rPr>
          <w:b/>
          <w:bCs/>
        </w:rPr>
        <w:t xml:space="preserve">1973–1975</w:t>
      </w:r>
      <w:r>
        <w:t xml:space="preserve">: deep recession and labor-market deterioration, visible in unemployment data.</w:t>
      </w:r>
      <w:r>
        <w:t xml:space="preserve"> </w:t>
      </w:r>
      <w:hyperlink r:id="rId31">
        <w:r>
          <w:rPr>
            <w:rStyle w:val="Hyperlink"/>
          </w:rPr>
          <w:t xml:space="preserve">[12]</w:t>
        </w:r>
      </w:hyperlink>
    </w:p>
    <w:bookmarkEnd w:id="32"/>
    <w:bookmarkStart w:id="34" w:name="timeline-of-major-policies-and-events"/>
    <w:p>
      <w:pPr>
        <w:pStyle w:val="Heading3"/>
      </w:pPr>
      <w:r>
        <w:t xml:space="preserve">Timeline of major policies and events</w:t>
      </w:r>
    </w:p>
    <w:p>
      <w:pPr>
        <w:pStyle w:val="SourceCode"/>
      </w:pPr>
      <w:r>
        <w:rPr>
          <w:rStyle w:val="VerbatimChar"/>
        </w:rPr>
        <w:t xml:space="preserve">timeline</w:t>
      </w:r>
      <w:r>
        <w:br/>
      </w:r>
      <w:r>
        <w:rPr>
          <w:rStyle w:val="VerbatimChar"/>
        </w:rPr>
        <w:t xml:space="preserve">  title Major U.S. postwar boom drivers and breaks (1944–1975)</w:t>
      </w:r>
      <w:r>
        <w:br/>
      </w:r>
      <w:r>
        <w:rPr>
          <w:rStyle w:val="VerbatimChar"/>
        </w:rPr>
        <w:t xml:space="preserve">  1944 : GI Bill enacted (Servicemen's Readjustment Act)</w:t>
      </w:r>
      <w:r>
        <w:br/>
      </w:r>
      <w:r>
        <w:rPr>
          <w:rStyle w:val="VerbatimChar"/>
        </w:rPr>
        <w:t xml:space="preserve">  1944 : Bretton Woods conference; IMF/World Bank framework agreed</w:t>
      </w:r>
      <w:r>
        <w:br/>
      </w:r>
      <w:r>
        <w:rPr>
          <w:rStyle w:val="VerbatimChar"/>
        </w:rPr>
        <w:t xml:space="preserve">  1947 : Marshall Plan proposed (Harvard speech)</w:t>
      </w:r>
      <w:r>
        <w:br/>
      </w:r>
      <w:r>
        <w:rPr>
          <w:rStyle w:val="VerbatimChar"/>
        </w:rPr>
        <w:t xml:space="preserve">  1948 : Marshall Plan funding authorized (Economic Cooperation Act)</w:t>
      </w:r>
      <w:r>
        <w:br/>
      </w:r>
      <w:r>
        <w:rPr>
          <w:rStyle w:val="VerbatimChar"/>
        </w:rPr>
        <w:t xml:space="preserve">  1956 : Federal-Aid Highway Act; Interstate era begins</w:t>
      </w:r>
      <w:r>
        <w:br/>
      </w:r>
      <w:r>
        <w:rPr>
          <w:rStyle w:val="VerbatimChar"/>
        </w:rPr>
        <w:t xml:space="preserve">  1968 : Fair Housing Act outlaws racially motivated redlining (federal enforcement role)</w:t>
      </w:r>
      <w:r>
        <w:br/>
      </w:r>
      <w:r>
        <w:rPr>
          <w:rStyle w:val="VerbatimChar"/>
        </w:rPr>
        <w:t xml:space="preserve">  1971 : Dollar–gold convertibility suspended; wages/prices controls announced</w:t>
      </w:r>
      <w:r>
        <w:br/>
      </w:r>
      <w:r>
        <w:rPr>
          <w:rStyle w:val="VerbatimChar"/>
        </w:rPr>
        <w:t xml:space="preserve">  1973 : Bretton Woods fixed-rate system effectively abandoned amid currency floats</w:t>
      </w:r>
      <w:r>
        <w:br/>
      </w:r>
      <w:r>
        <w:rPr>
          <w:rStyle w:val="VerbatimChar"/>
        </w:rPr>
        <w:t xml:space="preserve">  1973 : First oil shock begins (OAPEC embargo); price surge</w:t>
      </w:r>
      <w:r>
        <w:br/>
      </w:r>
      <w:r>
        <w:rPr>
          <w:rStyle w:val="VerbatimChar"/>
        </w:rPr>
        <w:t xml:space="preserve">  1973-1975 : Recession; unemployment spike; productivity slowdown becomes visible</w:t>
      </w:r>
    </w:p>
    <w:p>
      <w:pPr>
        <w:pStyle w:val="FirstParagraph"/>
      </w:pPr>
      <w:r>
        <w:t xml:space="preserve">(Events and dates summarized from official histories and agency materials.)</w:t>
      </w:r>
      <w:r>
        <w:t xml:space="preserve"> </w:t>
      </w:r>
      <w:hyperlink r:id="rId33">
        <w:r>
          <w:rPr>
            <w:rStyle w:val="Hyperlink"/>
          </w:rPr>
          <w:t xml:space="preserve">[13]</w:t>
        </w:r>
      </w:hyperlink>
    </w:p>
    <w:bookmarkEnd w:id="34"/>
    <w:bookmarkEnd w:id="35"/>
    <w:bookmarkStart w:id="62" w:name="structural-drivers-and-mechanisms"/>
    <w:p>
      <w:pPr>
        <w:pStyle w:val="Heading2"/>
      </w:pPr>
      <w:r>
        <w:t xml:space="preserve">Structural drivers and mechanisms</w:t>
      </w:r>
    </w:p>
    <w:p>
      <w:pPr>
        <w:pStyle w:val="FirstParagraph"/>
      </w:pPr>
      <w:r>
        <w:t xml:space="preserve">This section focuses on</w:t>
      </w:r>
      <w:r>
        <w:t xml:space="preserve"> </w:t>
      </w:r>
      <w:r>
        <w:rPr>
          <w:b/>
          <w:bCs/>
        </w:rPr>
        <w:t xml:space="preserve">mechanisms</w:t>
      </w:r>
      <w:r>
        <w:t xml:space="preserve">—how each factor plausibly translated into growth, broad consumption, and social change—and how factors interacted.</w:t>
      </w:r>
    </w:p>
    <w:bookmarkStart w:id="36" w:name="global-industrial-and-financial-position"/>
    <w:p>
      <w:pPr>
        <w:pStyle w:val="Heading3"/>
      </w:pPr>
      <w:r>
        <w:t xml:space="preserve">Global industrial and financial position</w:t>
      </w:r>
    </w:p>
    <w:p>
      <w:pPr>
        <w:pStyle w:val="FirstParagraph"/>
      </w:pPr>
      <w:r>
        <w:t xml:space="preserve">By 1945 the U.S. emerged with an extraordinary combination of intact industrial capacity and global financial leverage. A widely cited historical summary notes that the U.S. was manufacturing more than half of produced goods globally and held a very large share of global gold reserves at war’s end.</w:t>
      </w:r>
      <w:r>
        <w:t xml:space="preserve"> </w:t>
      </w:r>
      <w:hyperlink r:id="rId21">
        <w:r>
          <w:rPr>
            <w:rStyle w:val="Hyperlink"/>
          </w:rPr>
          <w:t xml:space="preserve">[14]</w:t>
        </w:r>
      </w:hyperlink>
      <w:r>
        <w:t xml:space="preserve"> </w:t>
      </w:r>
      <w:r>
        <w:t xml:space="preserve">A complementary official monetary history emphasizes that early Bretton Woods stability was supported by the U.S. holding about three-quarters of the world’s official gold reserves, reinforcing confidence in the dollar’s role.</w:t>
      </w:r>
      <w:r>
        <w:t xml:space="preserve"> </w:t>
      </w:r>
      <w:hyperlink r:id="rId22">
        <w:r>
          <w:rPr>
            <w:rStyle w:val="Hyperlink"/>
          </w:rPr>
          <w:t xml:space="preserve">[15]</w:t>
        </w:r>
      </w:hyperlink>
    </w:p>
    <w:p>
      <w:pPr>
        <w:pStyle w:val="BodyText"/>
      </w:pPr>
      <w:r>
        <w:rPr>
          <w:b/>
          <w:bCs/>
        </w:rPr>
        <w:t xml:space="preserve">Mechanism:</w:t>
      </w:r>
      <w:r>
        <w:t xml:space="preserve"> </w:t>
      </w:r>
      <w:r>
        <w:t xml:space="preserve">with competitors rebuilding, U.S. firms faced unusually strong external demand and limited near-term import competition; the dollar’s reserve role reduced external financing constraints and supported an expansive trade and investment position.</w:t>
      </w:r>
      <w:r>
        <w:t xml:space="preserve"> </w:t>
      </w:r>
      <w:hyperlink r:id="rId22">
        <w:r>
          <w:rPr>
            <w:rStyle w:val="Hyperlink"/>
          </w:rPr>
          <w:t xml:space="preserve">[16]</w:t>
        </w:r>
      </w:hyperlink>
    </w:p>
    <w:bookmarkEnd w:id="36"/>
    <w:bookmarkStart w:id="38" w:name="Xb86eaf84309ed8c252266ed09cd7fafd4ebb259"/>
    <w:p>
      <w:pPr>
        <w:pStyle w:val="Heading3"/>
      </w:pPr>
      <w:r>
        <w:t xml:space="preserve">The Bretton Woods dollar–gold system and trade stability</w:t>
      </w:r>
    </w:p>
    <w:p>
      <w:pPr>
        <w:pStyle w:val="FirstParagraph"/>
      </w:pPr>
      <w:r>
        <w:t xml:space="preserve">The Bretton Woods conference established a cooperative postwar monetary framework and created the International Monetary Fund</w:t>
      </w:r>
      <w:hyperlink r:id="rId37">
        <w:r>
          <w:rPr>
            <w:rStyle w:val="Hyperlink"/>
          </w:rPr>
          <w:t xml:space="preserve">[17]</w:t>
        </w:r>
      </w:hyperlink>
      <w:r>
        <w:t xml:space="preserve"> </w:t>
      </w:r>
      <w:r>
        <w:t xml:space="preserve">and the World Bank</w:t>
      </w:r>
      <w:hyperlink r:id="rId23">
        <w:r>
          <w:rPr>
            <w:rStyle w:val="Hyperlink"/>
          </w:rPr>
          <w:t xml:space="preserve">[18]</w:t>
        </w:r>
      </w:hyperlink>
      <w:r>
        <w:t xml:space="preserve">.</w:t>
      </w:r>
      <w:r>
        <w:t xml:space="preserve"> </w:t>
      </w:r>
      <w:hyperlink r:id="rId33">
        <w:r>
          <w:rPr>
            <w:rStyle w:val="Hyperlink"/>
          </w:rPr>
          <w:t xml:space="preserve">[19]</w:t>
        </w:r>
      </w:hyperlink>
      <w:r>
        <w:t xml:space="preserve"> </w:t>
      </w:r>
      <w:r>
        <w:t xml:space="preserve">Bretton Woods’ dollar–gold link and fixed-but-adjustable exchange rates reduced exchange-rate uncertainty for trade and investment, while the dollar’s convertibility arrangements and U.S. gold position supported the system’s early credibility.</w:t>
      </w:r>
      <w:r>
        <w:t xml:space="preserve"> </w:t>
      </w:r>
      <w:hyperlink r:id="rId22">
        <w:r>
          <w:rPr>
            <w:rStyle w:val="Hyperlink"/>
          </w:rPr>
          <w:t xml:space="preserve">[20]</w:t>
        </w:r>
      </w:hyperlink>
    </w:p>
    <w:p>
      <w:pPr>
        <w:pStyle w:val="BodyText"/>
      </w:pPr>
      <w:r>
        <w:rPr>
          <w:b/>
          <w:bCs/>
        </w:rPr>
        <w:t xml:space="preserve">Mechanism:</w:t>
      </w:r>
      <w:r>
        <w:t xml:space="preserve"> </w:t>
      </w:r>
      <w:r>
        <w:t xml:space="preserve">stable exchange rates and postwar liquidity provision supported expanding global trade, with the U.S. initially positioned as a key supplier of capital goods and consumer goods.</w:t>
      </w:r>
      <w:r>
        <w:t xml:space="preserve"> </w:t>
      </w:r>
      <w:hyperlink r:id="rId22">
        <w:r>
          <w:rPr>
            <w:rStyle w:val="Hyperlink"/>
          </w:rPr>
          <w:t xml:space="preserve">[20]</w:t>
        </w:r>
      </w:hyperlink>
    </w:p>
    <w:bookmarkEnd w:id="38"/>
    <w:bookmarkStart w:id="41" w:name="X05f9217d62358d8c791950b4c8cfb0195122efd"/>
    <w:p>
      <w:pPr>
        <w:pStyle w:val="Heading3"/>
      </w:pPr>
      <w:r>
        <w:t xml:space="preserve">Reconstruction demand and export-market creation</w:t>
      </w:r>
    </w:p>
    <w:p>
      <w:pPr>
        <w:pStyle w:val="FirstParagraph"/>
      </w:pPr>
      <w:r>
        <w:t xml:space="preserve">The U.S. Department of State</w:t>
      </w:r>
      <w:hyperlink r:id="rId39">
        <w:r>
          <w:rPr>
            <w:rStyle w:val="Hyperlink"/>
          </w:rPr>
          <w:t xml:space="preserve">[21]</w:t>
        </w:r>
      </w:hyperlink>
      <w:r>
        <w:t xml:space="preserve">’s historical milestone on the Marshall Plan links the program to European reconstruction and notes that U.S. funding “eventually rise[d] to over $12 billion,” with the plan also described as a stimulant to U.S. markets for American goods.</w:t>
      </w:r>
      <w:r>
        <w:t xml:space="preserve"> </w:t>
      </w:r>
      <w:hyperlink r:id="rId40">
        <w:r>
          <w:rPr>
            <w:rStyle w:val="Hyperlink"/>
          </w:rPr>
          <w:t xml:space="preserve">[22]</w:t>
        </w:r>
      </w:hyperlink>
    </w:p>
    <w:p>
      <w:pPr>
        <w:pStyle w:val="BodyText"/>
      </w:pPr>
      <w:r>
        <w:rPr>
          <w:b/>
          <w:bCs/>
        </w:rPr>
        <w:t xml:space="preserve">Mechanism:</w:t>
      </w:r>
      <w:r>
        <w:t xml:space="preserve"> </w:t>
      </w:r>
      <w:r>
        <w:t xml:space="preserve">reconstruction aid functioned as (i) macro stabilization for Europe, (ii) a market-creation strategy for U.S. exports, and (iii) a geopolitical commitment reducing perceived risk in cross-border investment.</w:t>
      </w:r>
      <w:r>
        <w:t xml:space="preserve"> </w:t>
      </w:r>
      <w:hyperlink r:id="rId40">
        <w:r>
          <w:rPr>
            <w:rStyle w:val="Hyperlink"/>
          </w:rPr>
          <w:t xml:space="preserve">[22]</w:t>
        </w:r>
      </w:hyperlink>
    </w:p>
    <w:bookmarkEnd w:id="41"/>
    <w:bookmarkStart w:id="43" w:name="X25857c0c7c371f59e5f0a057e8e2b56a32065b9"/>
    <w:p>
      <w:pPr>
        <w:pStyle w:val="Heading3"/>
      </w:pPr>
      <w:r>
        <w:t xml:space="preserve">Cold War spending, defense R&amp;D, and regional industrialization</w:t>
      </w:r>
    </w:p>
    <w:p>
      <w:pPr>
        <w:pStyle w:val="FirstParagraph"/>
      </w:pPr>
      <w:r>
        <w:t xml:space="preserve">Even without a complete defense-spending time series embedded here, the postwar period included sustained defense procurement and national-security investment that interacted with industry, especially aerospace/electronics, and shaped regional development patterns. The logic of defense-linked industrial ecosystems is consistent with the era’s broader institutional context (and the later productivity/industrial discussions that treat defense as a major demand and technology driver).</w:t>
      </w:r>
      <w:r>
        <w:t xml:space="preserve"> </w:t>
      </w:r>
      <w:hyperlink r:id="rId29">
        <w:r>
          <w:rPr>
            <w:rStyle w:val="Hyperlink"/>
          </w:rPr>
          <w:t xml:space="preserve">[23]</w:t>
        </w:r>
      </w:hyperlink>
    </w:p>
    <w:p>
      <w:pPr>
        <w:pStyle w:val="BodyText"/>
      </w:pPr>
      <w:r>
        <w:rPr>
          <w:b/>
          <w:bCs/>
        </w:rPr>
        <w:t xml:space="preserve">Mechanism:</w:t>
      </w:r>
      <w:r>
        <w:t xml:space="preserve"> </w:t>
      </w:r>
      <w:r>
        <w:t xml:space="preserve">defense demand stabilized certain high-capital industries through cycles, supported large-scale R&amp;D and engineering labor markets, and contributed to the clustering of advanced manufacturing and systems integration in specific metro regions.</w:t>
      </w:r>
      <w:r>
        <w:t xml:space="preserve"> </w:t>
      </w:r>
      <w:hyperlink r:id="rId42">
        <w:r>
          <w:rPr>
            <w:rStyle w:val="Hyperlink"/>
          </w:rPr>
          <w:t xml:space="preserve">[24]</w:t>
        </w:r>
      </w:hyperlink>
    </w:p>
    <w:bookmarkEnd w:id="43"/>
    <w:bookmarkStart w:id="44" w:name="X83aceae25f1f95c12ebfbe97378f1ced0d45249"/>
    <w:p>
      <w:pPr>
        <w:pStyle w:val="Heading3"/>
      </w:pPr>
      <w:r>
        <w:t xml:space="preserve">Mass education and housing finance through veterans’ benefits</w:t>
      </w:r>
    </w:p>
    <w:p>
      <w:pPr>
        <w:pStyle w:val="FirstParagraph"/>
      </w:pPr>
      <w:r>
        <w:t xml:space="preserve">The 1944 GI Bill, documented by the National Archives</w:t>
      </w:r>
      <w:hyperlink r:id="rId40">
        <w:r>
          <w:rPr>
            <w:rStyle w:val="Hyperlink"/>
          </w:rPr>
          <w:t xml:space="preserve">[25]</w:t>
        </w:r>
      </w:hyperlink>
      <w:r>
        <w:t xml:space="preserve">, expanded access to education/training, unemployment benefits, and housing.</w:t>
      </w:r>
      <w:r>
        <w:t xml:space="preserve"> </w:t>
      </w:r>
      <w:hyperlink r:id="rId27">
        <w:r>
          <w:rPr>
            <w:rStyle w:val="Hyperlink"/>
          </w:rPr>
          <w:t xml:space="preserve">[26]</w:t>
        </w:r>
      </w:hyperlink>
      <w:r>
        <w:t xml:space="preserve"> </w:t>
      </w:r>
      <w:r>
        <w:t xml:space="preserve">A U.S. Department of Veterans Affairs</w:t>
      </w:r>
      <w:hyperlink r:id="rId23">
        <w:r>
          <w:rPr>
            <w:rStyle w:val="Hyperlink"/>
          </w:rPr>
          <w:t xml:space="preserve">[27]</w:t>
        </w:r>
      </w:hyperlink>
      <w:r>
        <w:t xml:space="preserve"> </w:t>
      </w:r>
      <w:r>
        <w:t xml:space="preserve">historical report states that by the GI Bill’s end in July 1956,</w:t>
      </w:r>
      <w:r>
        <w:t xml:space="preserve"> </w:t>
      </w:r>
      <w:r>
        <w:rPr>
          <w:b/>
          <w:bCs/>
        </w:rPr>
        <w:t xml:space="preserve">7.8 million</w:t>
      </w:r>
      <w:r>
        <w:t xml:space="preserve"> </w:t>
      </w:r>
      <w:r>
        <w:t xml:space="preserve">of</w:t>
      </w:r>
      <w:r>
        <w:t xml:space="preserve"> </w:t>
      </w:r>
      <w:r>
        <w:rPr>
          <w:b/>
          <w:bCs/>
        </w:rPr>
        <w:t xml:space="preserve">16 million</w:t>
      </w:r>
      <w:r>
        <w:t xml:space="preserve"> </w:t>
      </w:r>
      <w:r>
        <w:t xml:space="preserve">WWII veterans participated in education or training, and VA-backed home lending was extensive (nearly 2.4 million loans from 1944 to 1952).</w:t>
      </w:r>
      <w:r>
        <w:t xml:space="preserve"> </w:t>
      </w:r>
      <w:hyperlink r:id="rId28">
        <w:r>
          <w:rPr>
            <w:rStyle w:val="Hyperlink"/>
          </w:rPr>
          <w:t xml:space="preserve">[28]</w:t>
        </w:r>
      </w:hyperlink>
    </w:p>
    <w:p>
      <w:pPr>
        <w:pStyle w:val="BodyText"/>
      </w:pPr>
      <w:r>
        <w:rPr>
          <w:b/>
          <w:bCs/>
        </w:rPr>
        <w:t xml:space="preserve">Mechanisms and feedback loops:</w:t>
      </w:r>
      <w:r>
        <w:br/>
      </w:r>
      <w:r>
        <w:t xml:space="preserve">Education/training increased human capital and earnings potential, while subsidized/guaranteed mortgages accelerated household formation and durable-goods demand. Those new suburban households increased demand for cars, appliances, and services, reinforcing industrial employment and local tax bases—until costs and exclusions surfaced.</w:t>
      </w:r>
      <w:r>
        <w:t xml:space="preserve"> </w:t>
      </w:r>
      <w:hyperlink r:id="rId28">
        <w:r>
          <w:rPr>
            <w:rStyle w:val="Hyperlink"/>
          </w:rPr>
          <w:t xml:space="preserve">[29]</w:t>
        </w:r>
      </w:hyperlink>
    </w:p>
    <w:bookmarkEnd w:id="44"/>
    <w:bookmarkStart w:id="51" w:name="X3068d1524efcc800173acb150d2556b6edd5695"/>
    <w:p>
      <w:pPr>
        <w:pStyle w:val="Heading3"/>
      </w:pPr>
      <w:r>
        <w:t xml:space="preserve">New Deal-era institutional inheritance: labor rights and financial stability</w:t>
      </w:r>
    </w:p>
    <w:p>
      <w:pPr>
        <w:pStyle w:val="FirstParagraph"/>
      </w:pPr>
      <w:r>
        <w:t xml:space="preserve">Several 1930s institutions mattered directly to the postwar boom’s</w:t>
      </w:r>
      <w:r>
        <w:t xml:space="preserve"> </w:t>
      </w:r>
      <w:r>
        <w:rPr>
          <w:i/>
          <w:iCs/>
        </w:rPr>
        <w:t xml:space="preserve">operating conditions</w:t>
      </w:r>
      <w:r>
        <w:t xml:space="preserve">:</w:t>
      </w:r>
      <w:r>
        <w:br/>
      </w:r>
      <w:r>
        <w:t xml:space="preserve">- The National Labor Relations Board</w:t>
      </w:r>
      <w:hyperlink r:id="rId45">
        <w:r>
          <w:rPr>
            <w:rStyle w:val="Hyperlink"/>
          </w:rPr>
          <w:t xml:space="preserve">[30]</w:t>
        </w:r>
      </w:hyperlink>
      <w:r>
        <w:t xml:space="preserve"> </w:t>
      </w:r>
      <w:r>
        <w:t xml:space="preserve">notes that the NLRA (1935) made it U.S. policy to encourage collective bargaining and protect workers’ rights to organize.</w:t>
      </w:r>
      <w:r>
        <w:t xml:space="preserve"> </w:t>
      </w:r>
      <w:hyperlink r:id="rId46">
        <w:r>
          <w:rPr>
            <w:rStyle w:val="Hyperlink"/>
          </w:rPr>
          <w:t xml:space="preserve">[31]</w:t>
        </w:r>
      </w:hyperlink>
      <w:r>
        <w:br/>
      </w:r>
      <w:r>
        <w:t xml:space="preserve">- The Federal Deposit Insurance Corporation</w:t>
      </w:r>
      <w:hyperlink r:id="rId31">
        <w:r>
          <w:rPr>
            <w:rStyle w:val="Hyperlink"/>
          </w:rPr>
          <w:t xml:space="preserve">[32]</w:t>
        </w:r>
      </w:hyperlink>
      <w:r>
        <w:t xml:space="preserve"> </w:t>
      </w:r>
      <w:r>
        <w:t xml:space="preserve">documents its creation via the 1933 Banking Act and the start of a national system of deposit insurance in 1934, which reduced household incentives for destabilizing bank runs compared with the interwar era.</w:t>
      </w:r>
      <w:r>
        <w:t xml:space="preserve"> </w:t>
      </w:r>
      <w:hyperlink r:id="rId47">
        <w:r>
          <w:rPr>
            <w:rStyle w:val="Hyperlink"/>
          </w:rPr>
          <w:t xml:space="preserve">[33]</w:t>
        </w:r>
      </w:hyperlink>
      <w:r>
        <w:br/>
      </w:r>
      <w:r>
        <w:t xml:space="preserve">- The U.S. Securities and Exchange Commission</w:t>
      </w:r>
      <w:hyperlink r:id="rId48">
        <w:r>
          <w:rPr>
            <w:rStyle w:val="Hyperlink"/>
          </w:rPr>
          <w:t xml:space="preserve">[34]</w:t>
        </w:r>
      </w:hyperlink>
      <w:r>
        <w:t xml:space="preserve"> </w:t>
      </w:r>
      <w:r>
        <w:t xml:space="preserve">states that the Securities Exchange Act of 1934 created the SEC and gave it broad authority over securities markets.</w:t>
      </w:r>
      <w:r>
        <w:t xml:space="preserve"> </w:t>
      </w:r>
      <w:hyperlink r:id="rId49">
        <w:r>
          <w:rPr>
            <w:rStyle w:val="Hyperlink"/>
          </w:rPr>
          <w:t xml:space="preserve">[35]</w:t>
        </w:r>
      </w:hyperlink>
      <w:r>
        <w:br/>
      </w:r>
      <w:r>
        <w:t xml:space="preserve">- The Social Security Act created federal old-age benefits and related welfare provisions, per SSA’s legislative history materials.</w:t>
      </w:r>
      <w:r>
        <w:t xml:space="preserve"> </w:t>
      </w:r>
      <w:hyperlink r:id="rId50">
        <w:r>
          <w:rPr>
            <w:rStyle w:val="Hyperlink"/>
          </w:rPr>
          <w:t xml:space="preserve">[36]</w:t>
        </w:r>
      </w:hyperlink>
    </w:p>
    <w:p>
      <w:pPr>
        <w:pStyle w:val="BodyText"/>
      </w:pPr>
      <w:r>
        <w:rPr>
          <w:b/>
          <w:bCs/>
        </w:rPr>
        <w:t xml:space="preserve">Mechanism:</w:t>
      </w:r>
      <w:r>
        <w:t xml:space="preserve"> </w:t>
      </w:r>
      <w:r>
        <w:t xml:space="preserve">these institutions reduced some forms of financial fragility and strengthened labor bargaining power and safety-net expectations—supportive, in combination, of steady consumer demand and a more rules-based economic environment.</w:t>
      </w:r>
      <w:r>
        <w:t xml:space="preserve"> </w:t>
      </w:r>
      <w:hyperlink r:id="rId46">
        <w:r>
          <w:rPr>
            <w:rStyle w:val="Hyperlink"/>
          </w:rPr>
          <w:t xml:space="preserve">[37]</w:t>
        </w:r>
      </w:hyperlink>
    </w:p>
    <w:bookmarkEnd w:id="51"/>
    <w:bookmarkStart w:id="53" w:name="Xda4badaafbf3951e1014445a18b0617ed252ce0"/>
    <w:p>
      <w:pPr>
        <w:pStyle w:val="Heading3"/>
      </w:pPr>
      <w:r>
        <w:t xml:space="preserve">Unions, wage-setting norms, and broad demand</w:t>
      </w:r>
    </w:p>
    <w:p>
      <w:pPr>
        <w:pStyle w:val="FirstParagraph"/>
      </w:pPr>
      <w:r>
        <w:t xml:space="preserve">Union density remained historically high in the postwar decades. The BLS Handbook series (via FRASER) reports union membership as a share of employees in nonagricultural establishments around</w:t>
      </w:r>
      <w:r>
        <w:t xml:space="preserve"> </w:t>
      </w:r>
      <w:r>
        <w:rPr>
          <w:b/>
          <w:bCs/>
        </w:rPr>
        <w:t xml:space="preserve">35.5%</w:t>
      </w:r>
      <w:r>
        <w:t xml:space="preserve"> </w:t>
      </w:r>
      <w:r>
        <w:t xml:space="preserve">in 1945 and still around</w:t>
      </w:r>
      <w:r>
        <w:t xml:space="preserve"> </w:t>
      </w:r>
      <w:r>
        <w:rPr>
          <w:b/>
          <w:bCs/>
        </w:rPr>
        <w:t xml:space="preserve">~28%</w:t>
      </w:r>
      <w:r>
        <w:t xml:space="preserve"> </w:t>
      </w:r>
      <w:r>
        <w:t xml:space="preserve">in 1970, with gradual decline thereafter in the early 1970s.</w:t>
      </w:r>
      <w:r>
        <w:t xml:space="preserve"> </w:t>
      </w:r>
      <w:hyperlink r:id="rId52">
        <w:r>
          <w:rPr>
            <w:rStyle w:val="Hyperlink"/>
          </w:rPr>
          <w:t xml:space="preserve">[38]</w:t>
        </w:r>
      </w:hyperlink>
    </w:p>
    <w:p>
      <w:pPr>
        <w:pStyle w:val="BodyText"/>
      </w:pPr>
      <w:r>
        <w:rPr>
          <w:b/>
          <w:bCs/>
        </w:rPr>
        <w:t xml:space="preserve">Mechanism:</w:t>
      </w:r>
      <w:r>
        <w:t xml:space="preserve"> </w:t>
      </w:r>
      <w:r>
        <w:t xml:space="preserve">high unionization plus industry-level pattern bargaining supported wage floors and benefit growth; combined with high employment, this helped translate productivity growth into mass purchasing power, a key precondition for a consumption-led expansion.</w:t>
      </w:r>
      <w:r>
        <w:t xml:space="preserve"> </w:t>
      </w:r>
      <w:hyperlink r:id="rId52">
        <w:r>
          <w:rPr>
            <w:rStyle w:val="Hyperlink"/>
          </w:rPr>
          <w:t xml:space="preserve">[39]</w:t>
        </w:r>
      </w:hyperlink>
    </w:p>
    <w:bookmarkEnd w:id="53"/>
    <w:bookmarkStart w:id="56" w:name="X90e9f930781eed18bb77cae7ed3fc9434c24a9b"/>
    <w:p>
      <w:pPr>
        <w:pStyle w:val="Heading3"/>
      </w:pPr>
      <w:r>
        <w:t xml:space="preserve">Housing production, highways, and suburbanization</w:t>
      </w:r>
    </w:p>
    <w:p>
      <w:pPr>
        <w:pStyle w:val="FirstParagraph"/>
      </w:pPr>
      <w:r>
        <w:t xml:space="preserve">Federal housing finance and infrastructure spending supported durable, place-based growth. The Federal Housing Administration</w:t>
      </w:r>
      <w:hyperlink r:id="rId24">
        <w:r>
          <w:rPr>
            <w:rStyle w:val="Hyperlink"/>
          </w:rPr>
          <w:t xml:space="preserve">[40]</w:t>
        </w:r>
      </w:hyperlink>
      <w:r>
        <w:t xml:space="preserve"> </w:t>
      </w:r>
      <w:r>
        <w:t xml:space="preserve">emphasizes its role as a major mortgage insurer since 1934.</w:t>
      </w:r>
      <w:r>
        <w:t xml:space="preserve"> </w:t>
      </w:r>
      <w:hyperlink r:id="rId48">
        <w:r>
          <w:rPr>
            <w:rStyle w:val="Hyperlink"/>
          </w:rPr>
          <w:t xml:space="preserve">[41]</w:t>
        </w:r>
      </w:hyperlink>
      <w:r>
        <w:t xml:space="preserve"> </w:t>
      </w:r>
      <w:r>
        <w:t xml:space="preserve">The Federal Highway Administration</w:t>
      </w:r>
      <w:hyperlink r:id="rId54">
        <w:r>
          <w:rPr>
            <w:rStyle w:val="Hyperlink"/>
          </w:rPr>
          <w:t xml:space="preserve">[42]</w:t>
        </w:r>
      </w:hyperlink>
      <w:r>
        <w:t xml:space="preserve"> </w:t>
      </w:r>
      <w:r>
        <w:t xml:space="preserve">highlights that the Interstate era begins with the Federal-Aid Highway Act of 1956.</w:t>
      </w:r>
      <w:r>
        <w:t xml:space="preserve"> </w:t>
      </w:r>
      <w:hyperlink r:id="rId55">
        <w:r>
          <w:rPr>
            <w:rStyle w:val="Hyperlink"/>
          </w:rPr>
          <w:t xml:space="preserve">[43]</w:t>
        </w:r>
      </w:hyperlink>
    </w:p>
    <w:p>
      <w:pPr>
        <w:pStyle w:val="BodyText"/>
      </w:pPr>
      <w:r>
        <w:rPr>
          <w:b/>
          <w:bCs/>
        </w:rPr>
        <w:t xml:space="preserve">Mechanism:</w:t>
      </w:r>
      <w:r>
        <w:t xml:space="preserve"> </w:t>
      </w:r>
      <w:r>
        <w:t xml:space="preserve">long-term, amortized mortgages and car-oriented infrastructure lowered the generalized cost of suburban living for many households, produced large construction employment and upstream demand (lumber, steel, appliances), and reshaped metro geographies in ways that increased car dependence and oil vulnerability.</w:t>
      </w:r>
      <w:r>
        <w:t xml:space="preserve"> </w:t>
      </w:r>
      <w:hyperlink r:id="rId55">
        <w:r>
          <w:rPr>
            <w:rStyle w:val="Hyperlink"/>
          </w:rPr>
          <w:t xml:space="preserve">[44]</w:t>
        </w:r>
      </w:hyperlink>
    </w:p>
    <w:bookmarkEnd w:id="56"/>
    <w:bookmarkStart w:id="58" w:name="X825450aac6275f139bfbf7dc1278385706caa28"/>
    <w:p>
      <w:pPr>
        <w:pStyle w:val="Heading3"/>
      </w:pPr>
      <w:r>
        <w:t xml:space="preserve">Racial exclusion, redlining, and unequal access to the “middle-class package”</w:t>
      </w:r>
    </w:p>
    <w:p>
      <w:pPr>
        <w:pStyle w:val="FirstParagraph"/>
      </w:pPr>
      <w:r>
        <w:t xml:space="preserve">A central qualifier to “broad” prosperity is that access to subsidized credit and suburban housing was racially patterned. The Federal Reserve</w:t>
      </w:r>
      <w:hyperlink r:id="rId52">
        <w:r>
          <w:rPr>
            <w:rStyle w:val="Hyperlink"/>
          </w:rPr>
          <w:t xml:space="preserve">[45]</w:t>
        </w:r>
      </w:hyperlink>
      <w:r>
        <w:t xml:space="preserve">’s historical essay defines redlining as denying credit based on neighborhood and notes that the Fair Housing Act outlawed racially motivated redlining while assigning enforcement roles to federal regulators.</w:t>
      </w:r>
      <w:r>
        <w:t xml:space="preserve"> </w:t>
      </w:r>
      <w:hyperlink r:id="rId24">
        <w:r>
          <w:rPr>
            <w:rStyle w:val="Hyperlink"/>
          </w:rPr>
          <w:t xml:space="preserve">[46]</w:t>
        </w:r>
      </w:hyperlink>
      <w:r>
        <w:t xml:space="preserve"> </w:t>
      </w:r>
      <w:r>
        <w:t xml:space="preserve">Empirically, modern research (e.g., Chicago Fed working paper versions) finds that 1930s-era redlining maps and related mechanisms are associated with lower later homeownership, lower property values, and higher segregation, though the literature debates precise causal pathways and distinguishing HOLC-map effects from FHA and private underwriting practices.</w:t>
      </w:r>
      <w:r>
        <w:t xml:space="preserve"> </w:t>
      </w:r>
      <w:hyperlink r:id="rId57">
        <w:r>
          <w:rPr>
            <w:rStyle w:val="Hyperlink"/>
          </w:rPr>
          <w:t xml:space="preserve">[47]</w:t>
        </w:r>
      </w:hyperlink>
    </w:p>
    <w:p>
      <w:pPr>
        <w:pStyle w:val="BodyText"/>
      </w:pPr>
      <w:r>
        <w:rPr>
          <w:b/>
          <w:bCs/>
        </w:rPr>
        <w:t xml:space="preserve">Mechanism:</w:t>
      </w:r>
      <w:r>
        <w:t xml:space="preserve"> </w:t>
      </w:r>
      <w:r>
        <w:t xml:space="preserve">exclusion from subsidized/insured mortgage credit and from appreciating suburban property undermined intergenerational wealth building, contributing to durable racial inequality even during a high-growth era.</w:t>
      </w:r>
      <w:r>
        <w:t xml:space="preserve"> </w:t>
      </w:r>
      <w:hyperlink r:id="rId57">
        <w:r>
          <w:rPr>
            <w:rStyle w:val="Hyperlink"/>
          </w:rPr>
          <w:t xml:space="preserve">[48]</w:t>
        </w:r>
      </w:hyperlink>
    </w:p>
    <w:bookmarkEnd w:id="58"/>
    <w:bookmarkStart w:id="60" w:name="X47ce4f02314b16e94dec9f8337598c4b1030a09"/>
    <w:p>
      <w:pPr>
        <w:pStyle w:val="Heading3"/>
      </w:pPr>
      <w:r>
        <w:t xml:space="preserve">Energy prices and the “cheap energy” assumption</w:t>
      </w:r>
    </w:p>
    <w:p>
      <w:pPr>
        <w:pStyle w:val="FirstParagraph"/>
      </w:pPr>
      <w:r>
        <w:t xml:space="preserve">The growth regime implicitly relied on relatively stable, affordable energy—especially as suburbanization and highway investment increased oil exposure. The 1973–1974 oil shock nearly quadrupled oil prices from pre-embargo levels to early 1974 in a Federal Reserve historical account.</w:t>
      </w:r>
      <w:r>
        <w:t xml:space="preserve"> </w:t>
      </w:r>
      <w:hyperlink r:id="rId30">
        <w:r>
          <w:rPr>
            <w:rStyle w:val="Hyperlink"/>
          </w:rPr>
          <w:t xml:space="preserve">[49]</w:t>
        </w:r>
      </w:hyperlink>
      <w:r>
        <w:t xml:space="preserve"> </w:t>
      </w:r>
      <w:r>
        <w:t xml:space="preserve">EIA historical series show the large step-up in U.S. crude oil prices between the earlier 1970s and later in the decade.</w:t>
      </w:r>
      <w:r>
        <w:t xml:space="preserve"> </w:t>
      </w:r>
      <w:hyperlink r:id="rId59">
        <w:r>
          <w:rPr>
            <w:rStyle w:val="Hyperlink"/>
          </w:rPr>
          <w:t xml:space="preserve">[50]</w:t>
        </w:r>
      </w:hyperlink>
    </w:p>
    <w:p>
      <w:pPr>
        <w:pStyle w:val="BodyText"/>
      </w:pPr>
      <w:r>
        <w:rPr>
          <w:b/>
          <w:bCs/>
        </w:rPr>
        <w:t xml:space="preserve">Mechanism:</w:t>
      </w:r>
      <w:r>
        <w:t xml:space="preserve"> </w:t>
      </w:r>
      <w:r>
        <w:t xml:space="preserve">when energy became much more expensive, it raised production costs economy-wide and challenged an inflation-control framework built around the earlier cost structure, contributing to stagflation pressures that helped end the era’s “absurdly good” macro mix.</w:t>
      </w:r>
      <w:r>
        <w:t xml:space="preserve"> </w:t>
      </w:r>
      <w:hyperlink r:id="rId30">
        <w:r>
          <w:rPr>
            <w:rStyle w:val="Hyperlink"/>
          </w:rPr>
          <w:t xml:space="preserve">[51]</w:t>
        </w:r>
      </w:hyperlink>
    </w:p>
    <w:bookmarkEnd w:id="60"/>
    <w:bookmarkStart w:id="61" w:name="tax-policy-and-after-tax-distribution"/>
    <w:p>
      <w:pPr>
        <w:pStyle w:val="Heading3"/>
      </w:pPr>
      <w:r>
        <w:t xml:space="preserve">Tax policy and after-tax distribution</w:t>
      </w:r>
    </w:p>
    <w:p>
      <w:pPr>
        <w:pStyle w:val="FirstParagraph"/>
      </w:pPr>
      <w:r>
        <w:t xml:space="preserve">Top statutory marginal income tax rates were very high in the immediate postwar decades, according to IRS historical tables and related Treasury/IRS series.</w:t>
      </w:r>
      <w:r>
        <w:t xml:space="preserve"> </w:t>
      </w:r>
      <w:hyperlink r:id="rId39">
        <w:r>
          <w:rPr>
            <w:rStyle w:val="Hyperlink"/>
          </w:rPr>
          <w:t xml:space="preserve">[52]</w:t>
        </w:r>
      </w:hyperlink>
    </w:p>
    <w:p>
      <w:pPr>
        <w:pStyle w:val="BodyText"/>
      </w:pPr>
      <w:r>
        <w:rPr>
          <w:b/>
          <w:bCs/>
        </w:rPr>
        <w:t xml:space="preserve">Mechanism (carefully stated):</w:t>
      </w:r>
      <w:r>
        <w:t xml:space="preserve"> </w:t>
      </w:r>
      <w:r>
        <w:t xml:space="preserve">high statutory top rates—alongside other institutions (unions, corporate wage norms, wartime legacies, and later civil-rights/anti-discrimination enforcement)—are frequently argued to have supported a more compressed income distribution than in later eras, though statutory rates do not equal effective rates, and causality remains contested.</w:t>
      </w:r>
      <w:r>
        <w:t xml:space="preserve"> </w:t>
      </w:r>
      <w:hyperlink r:id="rId39">
        <w:r>
          <w:rPr>
            <w:rStyle w:val="Hyperlink"/>
          </w:rPr>
          <w:t xml:space="preserve">[53]</w:t>
        </w:r>
      </w:hyperlink>
    </w:p>
    <w:bookmarkEnd w:id="61"/>
    <w:bookmarkEnd w:id="62"/>
    <w:bookmarkStart w:id="76" w:name="case-studies-and-geographic-patterns"/>
    <w:p>
      <w:pPr>
        <w:pStyle w:val="Heading2"/>
      </w:pPr>
      <w:r>
        <w:t xml:space="preserve">Case studies and geographic patterns</w:t>
      </w:r>
    </w:p>
    <w:bookmarkStart w:id="64" w:name="housing-and-suburbs"/>
    <w:p>
      <w:pPr>
        <w:pStyle w:val="Heading3"/>
      </w:pPr>
      <w:r>
        <w:t xml:space="preserve">Housing and suburbs</w:t>
      </w:r>
    </w:p>
    <w:p>
      <w:pPr>
        <w:pStyle w:val="FirstParagraph"/>
      </w:pPr>
      <w:r>
        <w:rPr>
          <w:b/>
          <w:bCs/>
        </w:rPr>
        <w:t xml:space="preserve">Levittown as a mechanism in miniature</w:t>
      </w:r>
      <w:r>
        <w:br/>
      </w:r>
      <w:r>
        <w:t xml:space="preserve">Levittown, New York</w:t>
      </w:r>
      <w:hyperlink r:id="rId33">
        <w:r>
          <w:rPr>
            <w:rStyle w:val="Hyperlink"/>
          </w:rPr>
          <w:t xml:space="preserve">[54]</w:t>
        </w:r>
      </w:hyperlink>
      <w:r>
        <w:t xml:space="preserve"> </w:t>
      </w:r>
      <w:r>
        <w:t xml:space="preserve">is a useful case because it directly exposes the production logic and the institutional scaffolding: mass production methods, standardized designs, mortgage availability, and rapid household formation. A Smithsonian overview describes Levittown’s rapid build-out from 1947 and completion within four years at more than 17,000 homes and over 80,000 residents.</w:t>
      </w:r>
      <w:r>
        <w:t xml:space="preserve"> </w:t>
      </w:r>
      <w:hyperlink r:id="rId63">
        <w:r>
          <w:rPr>
            <w:rStyle w:val="Hyperlink"/>
          </w:rPr>
          <w:t xml:space="preserve">[55]</w:t>
        </w:r>
      </w:hyperlink>
      <w:r>
        <w:t xml:space="preserve"> </w:t>
      </w:r>
      <w:r>
        <w:t xml:space="preserve">This was emblematic of how housing policy and finance translated pent-up demand into construction scale, and then into consumer durables demand.</w:t>
      </w:r>
      <w:r>
        <w:t xml:space="preserve"> </w:t>
      </w:r>
      <w:hyperlink r:id="rId63">
        <w:r>
          <w:rPr>
            <w:rStyle w:val="Hyperlink"/>
          </w:rPr>
          <w:t xml:space="preserve">[56]</w:t>
        </w:r>
      </w:hyperlink>
    </w:p>
    <w:p>
      <w:pPr>
        <w:pStyle w:val="BodyText"/>
      </w:pPr>
      <w:r>
        <w:rPr>
          <w:b/>
          <w:bCs/>
        </w:rPr>
        <w:t xml:space="preserve">Key interaction:</w:t>
      </w:r>
      <w:r>
        <w:t xml:space="preserve"> </w:t>
      </w:r>
      <w:r>
        <w:t xml:space="preserve">mass suburban homebuilding increased car dependence and demand for highways; highways made suburban living more feasible; the resulting metro form increased long-run oil exposure.</w:t>
      </w:r>
      <w:r>
        <w:t xml:space="preserve"> </w:t>
      </w:r>
      <w:hyperlink r:id="rId55">
        <w:r>
          <w:rPr>
            <w:rStyle w:val="Hyperlink"/>
          </w:rPr>
          <w:t xml:space="preserve">[57]</w:t>
        </w:r>
      </w:hyperlink>
    </w:p>
    <w:bookmarkEnd w:id="64"/>
    <w:bookmarkStart w:id="65" w:name="highways-as-economic-and-spatial-policy"/>
    <w:p>
      <w:pPr>
        <w:pStyle w:val="Heading3"/>
      </w:pPr>
      <w:r>
        <w:t xml:space="preserve">Highways as economic and spatial policy</w:t>
      </w:r>
    </w:p>
    <w:p>
      <w:pPr>
        <w:pStyle w:val="FirstParagraph"/>
      </w:pPr>
      <w:r>
        <w:t xml:space="preserve">The Interstate system’s origin is tightly associated with 1956 legislation. The FHWA history notes that President Eisenhower signed the Federal-Aid Highway Act of 1956, launching the Interstate era.</w:t>
      </w:r>
      <w:r>
        <w:t xml:space="preserve"> </w:t>
      </w:r>
      <w:hyperlink r:id="rId55">
        <w:r>
          <w:rPr>
            <w:rStyle w:val="Hyperlink"/>
          </w:rPr>
          <w:t xml:space="preserve">[43]</w:t>
        </w:r>
      </w:hyperlink>
      <w:r>
        <w:t xml:space="preserve"> </w:t>
      </w:r>
      <w:r>
        <w:t xml:space="preserve">The U.S. Senate’s historical minute similarly frames the act as authorizing construction on the order of ~41,000 miles and as the largest public works program up to that time.</w:t>
      </w:r>
      <w:r>
        <w:t xml:space="preserve"> </w:t>
      </w:r>
      <w:hyperlink r:id="rId37">
        <w:r>
          <w:rPr>
            <w:rStyle w:val="Hyperlink"/>
          </w:rPr>
          <w:t xml:space="preserve">[58]</w:t>
        </w:r>
      </w:hyperlink>
    </w:p>
    <w:p>
      <w:pPr>
        <w:pStyle w:val="BodyText"/>
      </w:pPr>
      <w:r>
        <w:rPr>
          <w:b/>
          <w:bCs/>
        </w:rPr>
        <w:t xml:space="preserve">Mechanism:</w:t>
      </w:r>
      <w:r>
        <w:t xml:space="preserve"> </w:t>
      </w:r>
      <w:r>
        <w:t xml:space="preserve">highways are both demand stimulus (construction) and a long-lived productivity input (logistics, commuting), but also a driver of metro decentralization (suburbanization, retail relocation, and later fiscal stress in some urban cores).</w:t>
      </w:r>
      <w:r>
        <w:t xml:space="preserve"> </w:t>
      </w:r>
      <w:hyperlink r:id="rId55">
        <w:r>
          <w:rPr>
            <w:rStyle w:val="Hyperlink"/>
          </w:rPr>
          <w:t xml:space="preserve">[59]</w:t>
        </w:r>
      </w:hyperlink>
    </w:p>
    <w:bookmarkEnd w:id="65"/>
    <w:bookmarkStart w:id="68" w:name="Xd98e2dd57212f92aeda146dfa2983190b72dfba"/>
    <w:p>
      <w:pPr>
        <w:pStyle w:val="Heading3"/>
      </w:pPr>
      <w:r>
        <w:t xml:space="preserve">Auto industry, wage bargains, and mass consumption</w:t>
      </w:r>
    </w:p>
    <w:p>
      <w:pPr>
        <w:pStyle w:val="FirstParagraph"/>
      </w:pPr>
      <w:r>
        <w:t xml:space="preserve">A classic linkage in the mid-century political economy is the relationship between large manufacturers and unions in setting wages and benefits in ways that supported consumption. The “Treaty of Detroit” framing (1950 UAW–GM agreement) is often cited as establishing multi-year labor peace alongside wage/benefit improvements; a MotorCities account describes wage increases and pension provisions as central components.</w:t>
      </w:r>
      <w:r>
        <w:t xml:space="preserve"> </w:t>
      </w:r>
      <w:hyperlink r:id="rId66">
        <w:r>
          <w:rPr>
            <w:rStyle w:val="Hyperlink"/>
          </w:rPr>
          <w:t xml:space="preserve">[60]</w:t>
        </w:r>
      </w:hyperlink>
    </w:p>
    <w:p>
      <w:pPr>
        <w:pStyle w:val="BodyText"/>
      </w:pPr>
      <w:r>
        <w:t xml:space="preserve">In feedback-loop terms: (high employment + rising wages/benefits) → (robust consumer demand) → (high volume production) → (productivity gains and profits) → (capacity to fund wages and investment), at least while global competition remained limited and energy remained cheap.</w:t>
      </w:r>
      <w:r>
        <w:t xml:space="preserve"> </w:t>
      </w:r>
      <w:hyperlink r:id="rId66">
        <w:r>
          <w:rPr>
            <w:rStyle w:val="Hyperlink"/>
          </w:rPr>
          <w:t xml:space="preserve">[61]</w:t>
        </w:r>
      </w:hyperlink>
    </w:p>
    <w:p>
      <w:pPr>
        <w:pStyle w:val="BodyText"/>
      </w:pPr>
      <w:r>
        <w:t xml:space="preserve">Relevant corporate actors that symbolize this system include General Motors</w:t>
      </w:r>
      <w:hyperlink r:id="rId67">
        <w:r>
          <w:rPr>
            <w:rStyle w:val="Hyperlink"/>
          </w:rPr>
          <w:t xml:space="preserve">[62]</w:t>
        </w:r>
      </w:hyperlink>
      <w:r>
        <w:t xml:space="preserve"> </w:t>
      </w:r>
      <w:r>
        <w:t xml:space="preserve">and the United Auto Workers</w:t>
      </w:r>
      <w:hyperlink r:id="rId52">
        <w:r>
          <w:rPr>
            <w:rStyle w:val="Hyperlink"/>
          </w:rPr>
          <w:t xml:space="preserve">[63]</w:t>
        </w:r>
      </w:hyperlink>
      <w:r>
        <w:t xml:space="preserve">.</w:t>
      </w:r>
      <w:r>
        <w:t xml:space="preserve"> </w:t>
      </w:r>
      <w:hyperlink r:id="rId66">
        <w:r>
          <w:rPr>
            <w:rStyle w:val="Hyperlink"/>
          </w:rPr>
          <w:t xml:space="preserve">[60]</w:t>
        </w:r>
      </w:hyperlink>
    </w:p>
    <w:bookmarkEnd w:id="68"/>
    <w:bookmarkStart w:id="71" w:name="Xedd73cdf25b97c37f95fb5133c64b242507aa15"/>
    <w:p>
      <w:pPr>
        <w:pStyle w:val="Heading3"/>
      </w:pPr>
      <w:r>
        <w:t xml:space="preserve">Aerospace, defense demand, and regional growth</w:t>
      </w:r>
    </w:p>
    <w:p>
      <w:pPr>
        <w:pStyle w:val="FirstParagraph"/>
      </w:pPr>
      <w:r>
        <w:t xml:space="preserve">Defense-linked manufacturing and R&amp;D supported advanced industrial regions. A simple illustration is the postwar scale and continuity of aerospace procurement and its ties to commercial aviation development. A corporate chronology documents key contract and program milestones for Boeing</w:t>
      </w:r>
      <w:hyperlink r:id="rId69">
        <w:r>
          <w:rPr>
            <w:rStyle w:val="Hyperlink"/>
          </w:rPr>
          <w:t xml:space="preserve">[64]</w:t>
        </w:r>
      </w:hyperlink>
      <w:r>
        <w:t xml:space="preserve"> </w:t>
      </w:r>
      <w:r>
        <w:t xml:space="preserve">across the postwar decades.</w:t>
      </w:r>
      <w:r>
        <w:t xml:space="preserve"> </w:t>
      </w:r>
      <w:hyperlink r:id="rId70">
        <w:r>
          <w:rPr>
            <w:rStyle w:val="Hyperlink"/>
          </w:rPr>
          <w:t xml:space="preserve">[65]</w:t>
        </w:r>
      </w:hyperlink>
      <w:r>
        <w:t xml:space="preserve"> </w:t>
      </w:r>
      <w:r>
        <w:t xml:space="preserve">The wider mechanism—defense demand shaping industrial geography and capability—aligns with modern productivity-by-industry approaches that treat postwar growth as industry-structured rather than purely aggregate.</w:t>
      </w:r>
      <w:r>
        <w:t xml:space="preserve"> </w:t>
      </w:r>
      <w:hyperlink r:id="rId42">
        <w:r>
          <w:rPr>
            <w:rStyle w:val="Hyperlink"/>
          </w:rPr>
          <w:t xml:space="preserve">[24]</w:t>
        </w:r>
      </w:hyperlink>
    </w:p>
    <w:bookmarkEnd w:id="71"/>
    <w:bookmarkStart w:id="73" w:name="higher-education-expansion"/>
    <w:p>
      <w:pPr>
        <w:pStyle w:val="Heading3"/>
      </w:pPr>
      <w:r>
        <w:t xml:space="preserve">Higher education expansion</w:t>
      </w:r>
    </w:p>
    <w:p>
      <w:pPr>
        <w:pStyle w:val="FirstParagraph"/>
      </w:pPr>
      <w:r>
        <w:t xml:space="preserve">NCES historical tables show total fall enrollment in degree-granting postsecondary institutions rising from</w:t>
      </w:r>
      <w:r>
        <w:t xml:space="preserve"> </w:t>
      </w:r>
      <w:r>
        <w:rPr>
          <w:b/>
          <w:bCs/>
        </w:rPr>
        <w:t xml:space="preserve">2.34 million (1947)</w:t>
      </w:r>
      <w:r>
        <w:t xml:space="preserve"> </w:t>
      </w:r>
      <w:r>
        <w:t xml:space="preserve">to</w:t>
      </w:r>
      <w:r>
        <w:t xml:space="preserve"> </w:t>
      </w:r>
      <w:r>
        <w:rPr>
          <w:b/>
          <w:bCs/>
        </w:rPr>
        <w:t xml:space="preserve">11.18 million (1975)</w:t>
      </w:r>
      <w:r>
        <w:t xml:space="preserve">—a several-fold increase within the broader 1945–1975 window.</w:t>
      </w:r>
      <w:r>
        <w:t xml:space="preserve"> </w:t>
      </w:r>
      <w:hyperlink r:id="rId72">
        <w:r>
          <w:rPr>
            <w:rStyle w:val="Hyperlink"/>
          </w:rPr>
          <w:t xml:space="preserve">[66]</w:t>
        </w:r>
      </w:hyperlink>
      <w:r>
        <w:t xml:space="preserve"> </w:t>
      </w:r>
      <w:r>
        <w:t xml:space="preserve">This aligns with the GI Bill’s massive utilization (7.8 million WWII veterans in education/training by 1956), which boosted demand for higher education capacity and the skilled workforce pipeline.</w:t>
      </w:r>
      <w:r>
        <w:t xml:space="preserve"> </w:t>
      </w:r>
      <w:hyperlink r:id="rId28">
        <w:r>
          <w:rPr>
            <w:rStyle w:val="Hyperlink"/>
          </w:rPr>
          <w:t xml:space="preserve">[67]</w:t>
        </w:r>
      </w:hyperlink>
    </w:p>
    <w:bookmarkEnd w:id="73"/>
    <w:bookmarkStart w:id="75" w:name="regional-patterns"/>
    <w:p>
      <w:pPr>
        <w:pStyle w:val="Heading3"/>
      </w:pPr>
      <w:r>
        <w:t xml:space="preserve">Regional patterns</w:t>
      </w:r>
    </w:p>
    <w:p>
      <w:pPr>
        <w:pStyle w:val="FirstParagraph"/>
      </w:pPr>
      <w:r>
        <w:t xml:space="preserve">A stylized map of the era has two interacting patterns:</w:t>
      </w:r>
      <w:r>
        <w:br/>
      </w:r>
      <w:r>
        <w:t xml:space="preserve">- A “Rust Belt” core of heavy manufacturing and union strength that benefited early, then became exposed to later competition and cost shocks.</w:t>
      </w:r>
      <w:r>
        <w:t xml:space="preserve"> </w:t>
      </w:r>
      <w:hyperlink r:id="rId52">
        <w:r>
          <w:rPr>
            <w:rStyle w:val="Hyperlink"/>
          </w:rPr>
          <w:t xml:space="preserve">[68]</w:t>
        </w:r>
      </w:hyperlink>
      <w:r>
        <w:br/>
      </w:r>
      <w:r>
        <w:t xml:space="preserve">- A set of “Sunbelt” and coastal growth poles tied to defense, aerospace, and newer industries, supported by federal procurement, migration, and housing expansion.</w:t>
      </w:r>
      <w:r>
        <w:t xml:space="preserve"> </w:t>
      </w:r>
      <w:hyperlink r:id="rId74">
        <w:r>
          <w:rPr>
            <w:rStyle w:val="Hyperlink"/>
          </w:rPr>
          <w:t xml:space="preserve">[69]</w:t>
        </w:r>
      </w:hyperlink>
    </w:p>
    <w:p>
      <w:pPr>
        <w:pStyle w:val="BodyText"/>
      </w:pPr>
      <w:r>
        <w:t xml:space="preserve">(These are broad patterns; the report does not assume a specific city focus beyond illustrative examples.)</w:t>
      </w:r>
    </w:p>
    <w:bookmarkEnd w:id="75"/>
    <w:bookmarkEnd w:id="76"/>
    <w:bookmarkStart w:id="88" w:name="quantified-outcomes"/>
    <w:p>
      <w:pPr>
        <w:pStyle w:val="Heading2"/>
      </w:pPr>
      <w:r>
        <w:t xml:space="preserve">Quantified outcomes</w:t>
      </w:r>
    </w:p>
    <w:bookmarkStart w:id="78" w:name="notes-on-data-and-comparability"/>
    <w:p>
      <w:pPr>
        <w:pStyle w:val="Heading3"/>
      </w:pPr>
      <w:r>
        <w:t xml:space="preserve">Notes on data and comparability</w:t>
      </w:r>
    </w:p>
    <w:p>
      <w:pPr>
        <w:pStyle w:val="FirstParagraph"/>
      </w:pPr>
      <w:r>
        <w:t xml:space="preserve">The indicators below prioritize government data as disseminated through FRED (Federal Reserve Bank of St. Louis) for BEA/BLS/Census series and direct agency publications for housing, life expectancy, and education.</w:t>
      </w:r>
      <w:r>
        <w:t xml:space="preserve"> </w:t>
      </w:r>
      <w:hyperlink r:id="rId77">
        <w:r>
          <w:rPr>
            <w:rStyle w:val="Hyperlink"/>
          </w:rPr>
          <w:t xml:space="preserve">[70]</w:t>
        </w:r>
      </w:hyperlink>
      <w:r>
        <w:br/>
      </w:r>
      <w:r>
        <w:t xml:space="preserve">Some series are</w:t>
      </w:r>
      <w:r>
        <w:t xml:space="preserve"> </w:t>
      </w:r>
      <w:r>
        <w:rPr>
          <w:b/>
          <w:bCs/>
        </w:rPr>
        <w:t xml:space="preserve">quarterly indexes</w:t>
      </w:r>
      <w:r>
        <w:t xml:space="preserve"> </w:t>
      </w:r>
      <w:r>
        <w:t xml:space="preserve">(productivity, compensation, GDP per capita) and are shown at</w:t>
      </w:r>
      <w:r>
        <w:t xml:space="preserve"> </w:t>
      </w:r>
      <w:r>
        <w:rPr>
          <w:b/>
          <w:bCs/>
        </w:rPr>
        <w:t xml:space="preserve">selected quarters</w:t>
      </w:r>
      <w:r>
        <w:t xml:space="preserve"> </w:t>
      </w:r>
      <w:r>
        <w:t xml:space="preserve">for readability; homeownership includes</w:t>
      </w:r>
      <w:r>
        <w:t xml:space="preserve"> </w:t>
      </w:r>
      <w:r>
        <w:rPr>
          <w:b/>
          <w:bCs/>
        </w:rPr>
        <w:t xml:space="preserve">decennial Census benchmarks</w:t>
      </w:r>
      <w:r>
        <w:t xml:space="preserve"> </w:t>
      </w:r>
      <w:r>
        <w:t xml:space="preserve">plus mid-1970s quarterly estimates.</w:t>
      </w:r>
      <w:r>
        <w:t xml:space="preserve"> </w:t>
      </w:r>
      <w:hyperlink r:id="rId23">
        <w:r>
          <w:rPr>
            <w:rStyle w:val="Hyperlink"/>
          </w:rPr>
          <w:t xml:space="preserve">[71]</w:t>
        </w:r>
      </w:hyperlink>
    </w:p>
    <w:bookmarkEnd w:id="78"/>
    <w:bookmarkStart w:id="81" w:name="snapshot-table-of-key-indicators"/>
    <w:p>
      <w:pPr>
        <w:pStyle w:val="Heading3"/>
      </w:pPr>
      <w:r>
        <w:t xml:space="preserve">Snapshot table of key indicators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Indicator (units)</w:t>
            </w:r>
          </w:p>
        </w:tc>
        <w:tc>
          <w:tcPr/>
          <w:p>
            <w:pPr>
              <w:pStyle w:val="Compact"/>
              <w:jc w:val="right"/>
            </w:pPr>
            <w:r>
              <w:t xml:space="preserve">Early postwar benchmark</w:t>
            </w:r>
          </w:p>
        </w:tc>
        <w:tc>
          <w:tcPr/>
          <w:p>
            <w:pPr>
              <w:pStyle w:val="Compact"/>
              <w:jc w:val="right"/>
            </w:pPr>
            <w:r>
              <w:t xml:space="preserve">Early-1970s high / mid-1970s</w:t>
            </w:r>
          </w:p>
        </w:tc>
        <w:tc>
          <w:tcPr/>
          <w:p>
            <w:pPr>
              <w:pStyle w:val="Compact"/>
            </w:pPr>
            <w:r>
              <w:t xml:space="preserve">What it implies</w:t>
            </w:r>
          </w:p>
        </w:tc>
      </w:tr>
      <w:tr>
        <w:tc>
          <w:tcPr/>
          <w:p>
            <w:pPr>
              <w:pStyle w:val="Compact"/>
            </w:pPr>
            <w:r>
              <w:t xml:space="preserve">Real GDP per capita (2017$; selected quarters)</w:t>
            </w:r>
          </w:p>
        </w:tc>
        <w:tc>
          <w:tcPr/>
          <w:p>
            <w:pPr>
              <w:pStyle w:val="Compact"/>
              <w:jc w:val="right"/>
            </w:pPr>
            <w:r>
              <w:t xml:space="preserve">15,248 (1947Q1)</w:t>
            </w:r>
            <w:r>
              <w:t xml:space="preserve"> </w:t>
            </w:r>
            <w:hyperlink r:id="rId77">
              <w:r>
                <w:rPr>
                  <w:rStyle w:val="Hyperlink"/>
                </w:rPr>
                <w:t xml:space="preserve">[72]</w:t>
              </w:r>
            </w:hyperlink>
          </w:p>
        </w:tc>
        <w:tc>
          <w:tcPr/>
          <w:p>
            <w:pPr>
              <w:pStyle w:val="Compact"/>
              <w:jc w:val="right"/>
            </w:pPr>
            <w:r>
              <w:t xml:space="preserve">28,913 (1973Q4)</w:t>
            </w:r>
            <w:r>
              <w:t xml:space="preserve"> </w:t>
            </w:r>
            <w:hyperlink r:id="rId77">
              <w:r>
                <w:rPr>
                  <w:rStyle w:val="Hyperlink"/>
                </w:rPr>
                <w:t xml:space="preserve">[73]</w:t>
              </w:r>
            </w:hyperlink>
          </w:p>
        </w:tc>
        <w:tc>
          <w:tcPr/>
          <w:p>
            <w:pPr>
              <w:pStyle w:val="Compact"/>
            </w:pPr>
            <w:r>
              <w:t xml:space="preserve">Roughly +89.6% from 1947Q1 to 1973Q4 (selected-quarter comparison)</w:t>
            </w:r>
            <w:r>
              <w:t xml:space="preserve"> </w:t>
            </w:r>
            <w:hyperlink r:id="rId77">
              <w:r>
                <w:rPr>
                  <w:rStyle w:val="Hyperlink"/>
                </w:rPr>
                <w:t xml:space="preserve">[74]</w:t>
              </w:r>
            </w:hyperlink>
          </w:p>
        </w:tc>
      </w:tr>
      <w:tr>
        <w:tc>
          <w:tcPr/>
          <w:p>
            <w:pPr>
              <w:pStyle w:val="Compact"/>
            </w:pPr>
            <w:r>
              <w:t xml:space="preserve">Nonfarm labor productivity index (2017=100/implicit; OPPHNFB)</w:t>
            </w:r>
          </w:p>
        </w:tc>
        <w:tc>
          <w:tcPr/>
          <w:p>
            <w:pPr>
              <w:pStyle w:val="Compact"/>
              <w:jc w:val="right"/>
            </w:pPr>
            <w:r>
              <w:t xml:space="preserve">22.256 (1947Q1)</w:t>
            </w:r>
            <w:r>
              <w:t xml:space="preserve"> </w:t>
            </w:r>
            <w:hyperlink r:id="rId45">
              <w:r>
                <w:rPr>
                  <w:rStyle w:val="Hyperlink"/>
                </w:rPr>
                <w:t xml:space="preserve">[75]</w:t>
              </w:r>
            </w:hyperlink>
          </w:p>
        </w:tc>
        <w:tc>
          <w:tcPr/>
          <w:p>
            <w:pPr>
              <w:pStyle w:val="Compact"/>
              <w:jc w:val="right"/>
            </w:pPr>
            <w:r>
              <w:t xml:space="preserve">45.570 (1973Q4); 46.936 (1975Q4)</w:t>
            </w:r>
            <w:r>
              <w:t xml:space="preserve"> </w:t>
            </w:r>
            <w:hyperlink r:id="rId45">
              <w:r>
                <w:rPr>
                  <w:rStyle w:val="Hyperlink"/>
                </w:rPr>
                <w:t xml:space="preserve">[76]</w:t>
              </w:r>
            </w:hyperlink>
          </w:p>
        </w:tc>
        <w:tc>
          <w:tcPr/>
          <w:p>
            <w:pPr>
              <w:pStyle w:val="Compact"/>
            </w:pPr>
            <w:r>
              <w:t xml:space="preserve">Large gains through early 1970s; consistent with the “pre-1973 high-growth” narrative</w:t>
            </w:r>
            <w:r>
              <w:t xml:space="preserve"> </w:t>
            </w:r>
            <w:hyperlink r:id="rId29">
              <w:r>
                <w:rPr>
                  <w:rStyle w:val="Hyperlink"/>
                </w:rPr>
                <w:t xml:space="preserve">[77]</w:t>
              </w:r>
            </w:hyperlink>
          </w:p>
        </w:tc>
      </w:tr>
      <w:tr>
        <w:tc>
          <w:tcPr/>
          <w:p>
            <w:pPr>
              <w:pStyle w:val="Compact"/>
            </w:pPr>
            <w:r>
              <w:t xml:space="preserve">Real hourly compensation index (COMPRNFB)</w:t>
            </w:r>
          </w:p>
        </w:tc>
        <w:tc>
          <w:tcPr/>
          <w:p>
            <w:pPr>
              <w:pStyle w:val="Compact"/>
              <w:jc w:val="right"/>
            </w:pPr>
            <w:r>
              <w:t xml:space="preserve">34.386 (1947Q1)</w:t>
            </w:r>
            <w:r>
              <w:t xml:space="preserve"> </w:t>
            </w:r>
            <w:hyperlink r:id="rId79">
              <w:r>
                <w:rPr>
                  <w:rStyle w:val="Hyperlink"/>
                </w:rPr>
                <w:t xml:space="preserve">[78]</w:t>
              </w:r>
            </w:hyperlink>
          </w:p>
        </w:tc>
        <w:tc>
          <w:tcPr/>
          <w:p>
            <w:pPr>
              <w:pStyle w:val="Compact"/>
              <w:jc w:val="right"/>
            </w:pPr>
            <w:r>
              <w:t xml:space="preserve">66.509 (1973Q4); 66.737 (1975Q4)</w:t>
            </w:r>
            <w:r>
              <w:t xml:space="preserve"> </w:t>
            </w:r>
            <w:hyperlink r:id="rId79">
              <w:r>
                <w:rPr>
                  <w:rStyle w:val="Hyperlink"/>
                </w:rPr>
                <w:t xml:space="preserve">[79]</w:t>
              </w:r>
            </w:hyperlink>
          </w:p>
        </w:tc>
        <w:tc>
          <w:tcPr/>
          <w:p>
            <w:pPr>
              <w:pStyle w:val="Compact"/>
            </w:pPr>
            <w:r>
              <w:t xml:space="preserve">Real earnings tracked productivity fairly closely through early 1970s in this aggregate measure</w:t>
            </w:r>
            <w:r>
              <w:t xml:space="preserve"> </w:t>
            </w:r>
            <w:hyperlink r:id="rId79">
              <w:r>
                <w:rPr>
                  <w:rStyle w:val="Hyperlink"/>
                </w:rPr>
                <w:t xml:space="preserve">[80]</w:t>
              </w:r>
            </w:hyperlink>
          </w:p>
        </w:tc>
      </w:tr>
      <w:tr>
        <w:tc>
          <w:tcPr/>
          <w:p>
            <w:pPr>
              <w:pStyle w:val="Compact"/>
            </w:pPr>
            <w:r>
              <w:t xml:space="preserve">Homeownership rate (%)</w:t>
            </w:r>
          </w:p>
        </w:tc>
        <w:tc>
          <w:tcPr/>
          <w:p>
            <w:pPr>
              <w:pStyle w:val="Compact"/>
              <w:jc w:val="right"/>
            </w:pPr>
            <w:r>
              <w:t xml:space="preserve">43.6 (1940); 55.0 (1950)</w:t>
            </w:r>
            <w:r>
              <w:t xml:space="preserve"> </w:t>
            </w:r>
            <w:hyperlink r:id="rId23">
              <w:r>
                <w:rPr>
                  <w:rStyle w:val="Hyperlink"/>
                </w:rPr>
                <w:t xml:space="preserve">[81]</w:t>
              </w:r>
            </w:hyperlink>
          </w:p>
        </w:tc>
        <w:tc>
          <w:tcPr/>
          <w:p>
            <w:pPr>
              <w:pStyle w:val="Compact"/>
              <w:jc w:val="right"/>
            </w:pPr>
            <w:r>
              <w:t xml:space="preserve">62.9 (1970); ~64.9 (1975Q2)</w:t>
            </w:r>
            <w:r>
              <w:t xml:space="preserve"> </w:t>
            </w:r>
            <w:hyperlink r:id="rId23">
              <w:r>
                <w:rPr>
                  <w:rStyle w:val="Hyperlink"/>
                </w:rPr>
                <w:t xml:space="preserve">[71]</w:t>
              </w:r>
            </w:hyperlink>
          </w:p>
        </w:tc>
        <w:tc>
          <w:tcPr/>
          <w:p>
            <w:pPr>
              <w:pStyle w:val="Compact"/>
            </w:pPr>
            <w:r>
              <w:t xml:space="preserve">A structurally higher owner-occupancy society, with the caveat of exclusionary credit patterns</w:t>
            </w:r>
            <w:r>
              <w:t xml:space="preserve"> </w:t>
            </w:r>
            <w:hyperlink r:id="rId23">
              <w:r>
                <w:rPr>
                  <w:rStyle w:val="Hyperlink"/>
                </w:rPr>
                <w:t xml:space="preserve">[82]</w:t>
              </w:r>
            </w:hyperlink>
          </w:p>
        </w:tc>
      </w:tr>
      <w:tr>
        <w:tc>
          <w:tcPr/>
          <w:p>
            <w:pPr>
              <w:pStyle w:val="Compact"/>
            </w:pPr>
            <w:r>
              <w:t xml:space="preserve">Total fall postsecondary enrollment (persons)</w:t>
            </w:r>
          </w:p>
        </w:tc>
        <w:tc>
          <w:tcPr/>
          <w:p>
            <w:pPr>
              <w:pStyle w:val="Compact"/>
              <w:jc w:val="right"/>
            </w:pPr>
            <w:r>
              <w:t xml:space="preserve">2,338,226 (1947)</w:t>
            </w:r>
            <w:r>
              <w:t xml:space="preserve"> </w:t>
            </w:r>
            <w:hyperlink r:id="rId72">
              <w:r>
                <w:rPr>
                  <w:rStyle w:val="Hyperlink"/>
                </w:rPr>
                <w:t xml:space="preserve">[66]</w:t>
              </w:r>
            </w:hyperlink>
          </w:p>
        </w:tc>
        <w:tc>
          <w:tcPr/>
          <w:p>
            <w:pPr>
              <w:pStyle w:val="Compact"/>
              <w:jc w:val="right"/>
            </w:pPr>
            <w:r>
              <w:t xml:space="preserve">11,184,859 (1975)</w:t>
            </w:r>
            <w:r>
              <w:t xml:space="preserve"> </w:t>
            </w:r>
            <w:hyperlink r:id="rId72">
              <w:r>
                <w:rPr>
                  <w:rStyle w:val="Hyperlink"/>
                </w:rPr>
                <w:t xml:space="preserve">[66]</w:t>
              </w:r>
            </w:hyperlink>
          </w:p>
        </w:tc>
        <w:tc>
          <w:tcPr/>
          <w:p>
            <w:pPr>
              <w:pStyle w:val="Compact"/>
            </w:pPr>
            <w:r>
              <w:t xml:space="preserve">Nearly +378% from 1947 to 1975; higher education became mass-scale</w:t>
            </w:r>
            <w:r>
              <w:t xml:space="preserve"> </w:t>
            </w:r>
            <w:hyperlink r:id="rId72">
              <w:r>
                <w:rPr>
                  <w:rStyle w:val="Hyperlink"/>
                </w:rPr>
                <w:t xml:space="preserve">[66]</w:t>
              </w:r>
            </w:hyperlink>
          </w:p>
        </w:tc>
      </w:tr>
      <w:tr>
        <w:tc>
          <w:tcPr/>
          <w:p>
            <w:pPr>
              <w:pStyle w:val="Compact"/>
            </w:pPr>
            <w:r>
              <w:t xml:space="preserve">Unemployment rate (annual avg, %)</w:t>
            </w:r>
          </w:p>
        </w:tc>
        <w:tc>
          <w:tcPr/>
          <w:p>
            <w:pPr>
              <w:pStyle w:val="Compact"/>
              <w:jc w:val="right"/>
            </w:pPr>
            <w:r>
              <w:t xml:space="preserve">—</w:t>
            </w:r>
          </w:p>
        </w:tc>
        <w:tc>
          <w:tcPr/>
          <w:p>
            <w:pPr>
              <w:pStyle w:val="Compact"/>
              <w:jc w:val="right"/>
            </w:pPr>
            <w:r>
              <w:t xml:space="preserve">5.64 (1974 avg); 8.48 (1975 avg)</w:t>
            </w:r>
            <w:r>
              <w:t xml:space="preserve"> </w:t>
            </w:r>
            <w:hyperlink r:id="rId31">
              <w:r>
                <w:rPr>
                  <w:rStyle w:val="Hyperlink"/>
                </w:rPr>
                <w:t xml:space="preserve">[12]</w:t>
              </w:r>
            </w:hyperlink>
          </w:p>
        </w:tc>
        <w:tc>
          <w:tcPr/>
          <w:p>
            <w:pPr>
              <w:pStyle w:val="Compact"/>
            </w:pPr>
            <w:r>
              <w:t xml:space="preserve">The 1973–75 recession marks a clear deterioration relative to the long expansion</w:t>
            </w:r>
            <w:r>
              <w:t xml:space="preserve"> </w:t>
            </w:r>
            <w:hyperlink r:id="rId31">
              <w:r>
                <w:rPr>
                  <w:rStyle w:val="Hyperlink"/>
                </w:rPr>
                <w:t xml:space="preserve">[12]</w:t>
              </w:r>
            </w:hyperlink>
          </w:p>
        </w:tc>
      </w:tr>
      <w:tr>
        <w:tc>
          <w:tcPr/>
          <w:p>
            <w:pPr>
              <w:pStyle w:val="Compact"/>
            </w:pPr>
            <w:r>
              <w:t xml:space="preserve">Life expectancy at birth (years, both sexes)</w:t>
            </w:r>
          </w:p>
        </w:tc>
        <w:tc>
          <w:tcPr/>
          <w:p>
            <w:pPr>
              <w:pStyle w:val="Compact"/>
              <w:jc w:val="right"/>
            </w:pPr>
            <w:r>
              <w:t xml:space="preserve">68.2 (1950); 69.7 (1960)</w:t>
            </w:r>
            <w:r>
              <w:t xml:space="preserve"> </w:t>
            </w:r>
            <w:hyperlink r:id="rId80">
              <w:r>
                <w:rPr>
                  <w:rStyle w:val="Hyperlink"/>
                </w:rPr>
                <w:t xml:space="preserve">[83]</w:t>
              </w:r>
            </w:hyperlink>
          </w:p>
        </w:tc>
        <w:tc>
          <w:tcPr/>
          <w:p>
            <w:pPr>
              <w:pStyle w:val="Compact"/>
              <w:jc w:val="right"/>
            </w:pPr>
            <w:r>
              <w:t xml:space="preserve">70.8 (1970); 72.6 (1975)</w:t>
            </w:r>
            <w:r>
              <w:t xml:space="preserve"> </w:t>
            </w:r>
            <w:hyperlink r:id="rId80">
              <w:r>
                <w:rPr>
                  <w:rStyle w:val="Hyperlink"/>
                </w:rPr>
                <w:t xml:space="preserve">[83]</w:t>
              </w:r>
            </w:hyperlink>
          </w:p>
        </w:tc>
        <w:tc>
          <w:tcPr/>
          <w:p>
            <w:pPr>
              <w:pStyle w:val="Compact"/>
            </w:pPr>
            <w:r>
              <w:t xml:space="preserve">Public health, income, and medical gains translated into longer lifespans overall</w:t>
            </w:r>
            <w:r>
              <w:t xml:space="preserve"> </w:t>
            </w:r>
            <w:hyperlink r:id="rId80">
              <w:r>
                <w:rPr>
                  <w:rStyle w:val="Hyperlink"/>
                </w:rPr>
                <w:t xml:space="preserve">[83]</w:t>
              </w:r>
            </w:hyperlink>
          </w:p>
        </w:tc>
      </w:tr>
      <w:tr>
        <w:tc>
          <w:tcPr/>
          <w:p>
            <w:pPr>
              <w:pStyle w:val="Compact"/>
            </w:pPr>
            <w:r>
              <w:t xml:space="preserve">Official poverty rate (%, where available)</w:t>
            </w:r>
          </w:p>
        </w:tc>
        <w:tc>
          <w:tcPr/>
          <w:p>
            <w:pPr>
              <w:pStyle w:val="Compact"/>
              <w:jc w:val="right"/>
            </w:pPr>
            <w:r>
              <w:t xml:space="preserve">22% (1959)</w:t>
            </w:r>
            <w:r>
              <w:t xml:space="preserve"> </w:t>
            </w:r>
            <w:hyperlink r:id="rId54">
              <w:r>
                <w:rPr>
                  <w:rStyle w:val="Hyperlink"/>
                </w:rPr>
                <w:t xml:space="preserve">[84]</w:t>
              </w:r>
            </w:hyperlink>
          </w:p>
        </w:tc>
        <w:tc>
          <w:tcPr/>
          <w:p>
            <w:pPr>
              <w:pStyle w:val="Compact"/>
              <w:jc w:val="right"/>
            </w:pPr>
            <w:r>
              <w:t xml:space="preserve">12.1% (1969); 12.5% (1971)</w:t>
            </w:r>
            <w:r>
              <w:t xml:space="preserve"> </w:t>
            </w:r>
            <w:hyperlink r:id="rId54">
              <w:r>
                <w:rPr>
                  <w:rStyle w:val="Hyperlink"/>
                </w:rPr>
                <w:t xml:space="preserve">[84]</w:t>
              </w:r>
            </w:hyperlink>
          </w:p>
        </w:tc>
        <w:tc>
          <w:tcPr/>
          <w:p>
            <w:pPr>
              <w:pStyle w:val="Compact"/>
            </w:pPr>
            <w:r>
              <w:t xml:space="preserve">Large poverty reduction in the 1960s; macro weakening begins to show by early 1970s</w:t>
            </w:r>
            <w:r>
              <w:t xml:space="preserve"> </w:t>
            </w:r>
            <w:hyperlink r:id="rId54">
              <w:r>
                <w:rPr>
                  <w:rStyle w:val="Hyperlink"/>
                </w:rPr>
                <w:t xml:space="preserve">[85]</w:t>
              </w:r>
            </w:hyperlink>
          </w:p>
        </w:tc>
      </w:tr>
    </w:tbl>
    <w:bookmarkEnd w:id="81"/>
    <w:bookmarkStart w:id="87" w:name="charts"/>
    <w:p>
      <w:pPr>
        <w:pStyle w:val="Heading3"/>
      </w:pPr>
      <w:r>
        <w:t xml:space="preserve">Charts</w:t>
      </w:r>
    </w:p>
    <w:bookmarkStart w:id="82" w:name="real-gdp-per-capita"/>
    <w:p>
      <w:pPr>
        <w:pStyle w:val="Heading4"/>
      </w:pPr>
      <w:r>
        <w:t xml:space="preserve">Real GDP per capita</w:t>
      </w:r>
    </w:p>
    <w:p>
      <w:pPr>
        <w:pStyle w:val="SourceCode"/>
      </w:pPr>
      <w:r>
        <w:rPr>
          <w:rStyle w:val="VerbatimChar"/>
        </w:rPr>
        <w:t xml:space="preserve">xychart-beta</w:t>
      </w:r>
      <w:r>
        <w:br/>
      </w:r>
      <w:r>
        <w:rPr>
          <w:rStyle w:val="VerbatimChar"/>
        </w:rPr>
        <w:t xml:space="preserve">  title "Real GDP per capita (2017$), selected quarters"</w:t>
      </w:r>
      <w:r>
        <w:br/>
      </w:r>
      <w:r>
        <w:rPr>
          <w:rStyle w:val="VerbatimChar"/>
        </w:rPr>
        <w:t xml:space="preserve">  x-axis ["1947Q1","1950Q4","1955Q4","1958Q2","1971Q4","1973Q4","1974Q4","1975Q4"]</w:t>
      </w:r>
      <w:r>
        <w:br/>
      </w:r>
      <w:r>
        <w:rPr>
          <w:rStyle w:val="VerbatimChar"/>
        </w:rPr>
        <w:t xml:space="preserve">  y-axis "Dollars" 14000 --&gt; 30000</w:t>
      </w:r>
      <w:r>
        <w:br/>
      </w:r>
      <w:r>
        <w:rPr>
          <w:rStyle w:val="VerbatimChar"/>
        </w:rPr>
        <w:t xml:space="preserve">  line [15248,16764,18808,18081,26510,28913,28088,28520]</w:t>
      </w:r>
    </w:p>
    <w:p>
      <w:pPr>
        <w:pStyle w:val="FirstParagraph"/>
      </w:pPr>
      <w:r>
        <w:t xml:space="preserve">(Data: BEA via FRED series “Real GDP per capita,” shown at selected quarters for readability.)</w:t>
      </w:r>
      <w:r>
        <w:t xml:space="preserve"> </w:t>
      </w:r>
      <w:hyperlink r:id="rId77">
        <w:r>
          <w:rPr>
            <w:rStyle w:val="Hyperlink"/>
          </w:rPr>
          <w:t xml:space="preserve">[74]</w:t>
        </w:r>
      </w:hyperlink>
    </w:p>
    <w:bookmarkEnd w:id="82"/>
    <w:bookmarkStart w:id="83" w:name="X06409b264e800cd217fb792387e6587eab96825"/>
    <w:p>
      <w:pPr>
        <w:pStyle w:val="Heading4"/>
      </w:pPr>
      <w:r>
        <w:t xml:space="preserve">Productivity and real hourly compensation</w:t>
      </w:r>
    </w:p>
    <w:p>
      <w:pPr>
        <w:pStyle w:val="SourceCode"/>
      </w:pPr>
      <w:r>
        <w:rPr>
          <w:rStyle w:val="VerbatimChar"/>
        </w:rPr>
        <w:t xml:space="preserve">xychart-beta</w:t>
      </w:r>
      <w:r>
        <w:br/>
      </w:r>
      <w:r>
        <w:rPr>
          <w:rStyle w:val="VerbatimChar"/>
        </w:rPr>
        <w:t xml:space="preserve">  title "Productivity vs. real hourly compensation (nonfarm business), selected quarters"</w:t>
      </w:r>
      <w:r>
        <w:br/>
      </w:r>
      <w:r>
        <w:rPr>
          <w:rStyle w:val="VerbatimChar"/>
        </w:rPr>
        <w:t xml:space="preserve">  x-axis ["1947Q1","1950Q4","1955Q4","1960Q4","1973Q4","1975Q4"]</w:t>
      </w:r>
      <w:r>
        <w:br/>
      </w:r>
      <w:r>
        <w:rPr>
          <w:rStyle w:val="VerbatimChar"/>
        </w:rPr>
        <w:t xml:space="preserve">  y-axis "Index (series units)" 20 --&gt; 70</w:t>
      </w:r>
      <w:r>
        <w:br/>
      </w:r>
      <w:r>
        <w:rPr>
          <w:rStyle w:val="VerbatimChar"/>
        </w:rPr>
        <w:t xml:space="preserve">  line "Labor productivity (OPHNFB)" [22.256,25.799,28.941,31.277,45.570,46.936]</w:t>
      </w:r>
      <w:r>
        <w:br/>
      </w:r>
      <w:r>
        <w:rPr>
          <w:rStyle w:val="VerbatimChar"/>
        </w:rPr>
        <w:t xml:space="preserve">  line "Real hourly comp (COMPRNFB)" [34.386,38.438,45.072,50.867,66.509,66.737]</w:t>
      </w:r>
    </w:p>
    <w:p>
      <w:pPr>
        <w:pStyle w:val="FirstParagraph"/>
      </w:pPr>
      <w:r>
        <w:t xml:space="preserve">These series are commonly used to summarize how labor productivity and compensation moved together in the high-growth postwar decades; the broader literature identifies a structural productivity break around 1973.</w:t>
      </w:r>
      <w:r>
        <w:t xml:space="preserve"> </w:t>
      </w:r>
      <w:hyperlink r:id="rId45">
        <w:r>
          <w:rPr>
            <w:rStyle w:val="Hyperlink"/>
          </w:rPr>
          <w:t xml:space="preserve">[86]</w:t>
        </w:r>
      </w:hyperlink>
    </w:p>
    <w:bookmarkEnd w:id="83"/>
    <w:bookmarkStart w:id="84" w:name="homeownership"/>
    <w:p>
      <w:pPr>
        <w:pStyle w:val="Heading4"/>
      </w:pPr>
      <w:r>
        <w:t xml:space="preserve">Homeownership</w:t>
      </w:r>
    </w:p>
    <w:p>
      <w:pPr>
        <w:pStyle w:val="SourceCode"/>
      </w:pPr>
      <w:r>
        <w:rPr>
          <w:rStyle w:val="VerbatimChar"/>
        </w:rPr>
        <w:t xml:space="preserve">xychart-beta</w:t>
      </w:r>
      <w:r>
        <w:br/>
      </w:r>
      <w:r>
        <w:rPr>
          <w:rStyle w:val="VerbatimChar"/>
        </w:rPr>
        <w:t xml:space="preserve">  title "Homeownership rate: decennial benchmarks and mid-1970s level"</w:t>
      </w:r>
      <w:r>
        <w:br/>
      </w:r>
      <w:r>
        <w:rPr>
          <w:rStyle w:val="VerbatimChar"/>
        </w:rPr>
        <w:t xml:space="preserve">  x-axis ["1940","1950","1960","1970","1975Q2"]</w:t>
      </w:r>
      <w:r>
        <w:br/>
      </w:r>
      <w:r>
        <w:rPr>
          <w:rStyle w:val="VerbatimChar"/>
        </w:rPr>
        <w:t xml:space="preserve">  y-axis "Percent" 40 --&gt; 70</w:t>
      </w:r>
      <w:r>
        <w:br/>
      </w:r>
      <w:r>
        <w:rPr>
          <w:rStyle w:val="VerbatimChar"/>
        </w:rPr>
        <w:t xml:space="preserve">  line [43.6,55.0,61.9,62.9,64.9]</w:t>
      </w:r>
    </w:p>
    <w:p>
      <w:pPr>
        <w:pStyle w:val="FirstParagraph"/>
      </w:pPr>
      <w:r>
        <w:t xml:space="preserve">Decennial levels are from the Census long-run table; the 1975 value is a quarterly estimate shown as a mid-1970s anchor.</w:t>
      </w:r>
      <w:r>
        <w:t xml:space="preserve"> </w:t>
      </w:r>
      <w:hyperlink r:id="rId23">
        <w:r>
          <w:rPr>
            <w:rStyle w:val="Hyperlink"/>
          </w:rPr>
          <w:t xml:space="preserve">[71]</w:t>
        </w:r>
      </w:hyperlink>
    </w:p>
    <w:bookmarkEnd w:id="84"/>
    <w:bookmarkStart w:id="85" w:name="union-density"/>
    <w:p>
      <w:pPr>
        <w:pStyle w:val="Heading4"/>
      </w:pPr>
      <w:r>
        <w:t xml:space="preserve">Union density</w:t>
      </w:r>
    </w:p>
    <w:p>
      <w:pPr>
        <w:pStyle w:val="SourceCode"/>
      </w:pPr>
      <w:r>
        <w:rPr>
          <w:rStyle w:val="VerbatimChar"/>
        </w:rPr>
        <w:t xml:space="preserve">xychart-beta</w:t>
      </w:r>
      <w:r>
        <w:br/>
      </w:r>
      <w:r>
        <w:rPr>
          <w:rStyle w:val="VerbatimChar"/>
        </w:rPr>
        <w:t xml:space="preserve">  title "Union membership as % of nonagricultural employees (selected years)"</w:t>
      </w:r>
      <w:r>
        <w:br/>
      </w:r>
      <w:r>
        <w:rPr>
          <w:rStyle w:val="VerbatimChar"/>
        </w:rPr>
        <w:t xml:space="preserve">  x-axis ["1945","1950","1955","1960","1965","1970","1972"]</w:t>
      </w:r>
      <w:r>
        <w:br/>
      </w:r>
      <w:r>
        <w:rPr>
          <w:rStyle w:val="VerbatimChar"/>
        </w:rPr>
        <w:t xml:space="preserve">  y-axis "Percent" 20 --&gt; 40</w:t>
      </w:r>
      <w:r>
        <w:br/>
      </w:r>
      <w:r>
        <w:rPr>
          <w:rStyle w:val="VerbatimChar"/>
        </w:rPr>
        <w:t xml:space="preserve">  line [35.50,30.27,33.17,31.40,30.34,27.92,26.98]</w:t>
      </w:r>
    </w:p>
    <w:p>
      <w:pPr>
        <w:pStyle w:val="FirstParagraph"/>
      </w:pPr>
      <w:r>
        <w:t xml:space="preserve">Union density remained high by historical standards, though it drifted downward into the early 1970s, an early warning of institutional change later in the century.</w:t>
      </w:r>
      <w:r>
        <w:t xml:space="preserve"> </w:t>
      </w:r>
      <w:hyperlink r:id="rId52">
        <w:r>
          <w:rPr>
            <w:rStyle w:val="Hyperlink"/>
          </w:rPr>
          <w:t xml:space="preserve">[38]</w:t>
        </w:r>
      </w:hyperlink>
    </w:p>
    <w:bookmarkEnd w:id="85"/>
    <w:bookmarkStart w:id="86" w:name="Xdd2896535a450eb8331e9ef923e42fcfe09737b"/>
    <w:p>
      <w:pPr>
        <w:pStyle w:val="Heading4"/>
      </w:pPr>
      <w:r>
        <w:t xml:space="preserve">Inflation and unemployment during the 1973–75 break</w:t>
      </w:r>
    </w:p>
    <w:p>
      <w:pPr>
        <w:pStyle w:val="SourceCode"/>
      </w:pPr>
      <w:r>
        <w:rPr>
          <w:rStyle w:val="VerbatimChar"/>
        </w:rPr>
        <w:t xml:space="preserve">xychart-beta</w:t>
      </w:r>
      <w:r>
        <w:br/>
      </w:r>
      <w:r>
        <w:rPr>
          <w:rStyle w:val="VerbatimChar"/>
        </w:rPr>
        <w:t xml:space="preserve">  title "Stagflation pressure at the end of the era (1974–1975)"</w:t>
      </w:r>
      <w:r>
        <w:br/>
      </w:r>
      <w:r>
        <w:rPr>
          <w:rStyle w:val="VerbatimChar"/>
        </w:rPr>
        <w:t xml:space="preserve">  x-axis ["1974","1975"]</w:t>
      </w:r>
      <w:r>
        <w:br/>
      </w:r>
      <w:r>
        <w:rPr>
          <w:rStyle w:val="VerbatimChar"/>
        </w:rPr>
        <w:t xml:space="preserve">  y-axis "Percent" 0 --&gt; 15</w:t>
      </w:r>
      <w:r>
        <w:br/>
      </w:r>
      <w:r>
        <w:rPr>
          <w:rStyle w:val="VerbatimChar"/>
        </w:rPr>
        <w:t xml:space="preserve">  line "Unemployment (annual avg)" [5.64,8.48]</w:t>
      </w:r>
      <w:r>
        <w:br/>
      </w:r>
      <w:r>
        <w:rPr>
          <w:rStyle w:val="VerbatimChar"/>
        </w:rPr>
        <w:t xml:space="preserve">  line "Inflation (CPI, Dec/Dec)" [12.10,7.13]</w:t>
      </w:r>
    </w:p>
    <w:p>
      <w:pPr>
        <w:pStyle w:val="FirstParagraph"/>
      </w:pPr>
      <w:r>
        <w:t xml:space="preserve">Unemployment is computed from monthly unemployment rates in 1974–1975; inflation from CPI December-to-December changes (1974 vs 1973; 1975 vs 1974).</w:t>
      </w:r>
      <w:r>
        <w:t xml:space="preserve"> </w:t>
      </w:r>
      <w:hyperlink r:id="rId31">
        <w:r>
          <w:rPr>
            <w:rStyle w:val="Hyperlink"/>
          </w:rPr>
          <w:t xml:space="preserve">[87]</w:t>
        </w:r>
      </w:hyperlink>
    </w:p>
    <w:bookmarkEnd w:id="86"/>
    <w:bookmarkEnd w:id="87"/>
    <w:bookmarkEnd w:id="88"/>
    <w:bookmarkStart w:id="93" w:name="why-the-era-weakened-and-ended"/>
    <w:p>
      <w:pPr>
        <w:pStyle w:val="Heading2"/>
      </w:pPr>
      <w:r>
        <w:t xml:space="preserve">Why the era weakened and ended</w:t>
      </w:r>
    </w:p>
    <w:bookmarkStart w:id="89" w:name="X239a262b6324b4e0d2042c8214f181bbca73150"/>
    <w:p>
      <w:pPr>
        <w:pStyle w:val="Heading3"/>
      </w:pPr>
      <w:r>
        <w:t xml:space="preserve">Monetary-regime change and macro constraints</w:t>
      </w:r>
    </w:p>
    <w:p>
      <w:pPr>
        <w:pStyle w:val="FirstParagraph"/>
      </w:pPr>
      <w:r>
        <w:t xml:space="preserve">Two official histories capture the Bretton Woods rupture: the State Department milestone describes Nixon’s August 1971 decision to suspend gold convertibility and the subsequent 1973 move toward floating rates; the Federal Reserve historical essay similarly frames the 1971 actions as bringing an end to Bretton Woods.</w:t>
      </w:r>
      <w:r>
        <w:t xml:space="preserve"> </w:t>
      </w:r>
      <w:hyperlink r:id="rId25">
        <w:r>
          <w:rPr>
            <w:rStyle w:val="Hyperlink"/>
          </w:rPr>
          <w:t xml:space="preserve">[88]</w:t>
        </w:r>
      </w:hyperlink>
    </w:p>
    <w:p>
      <w:pPr>
        <w:pStyle w:val="BodyText"/>
      </w:pPr>
      <w:r>
        <w:rPr>
          <w:b/>
          <w:bCs/>
        </w:rPr>
        <w:t xml:space="preserve">Mechanism:</w:t>
      </w:r>
      <w:r>
        <w:t xml:space="preserve"> </w:t>
      </w:r>
      <w:r>
        <w:t xml:space="preserve">once the fixed-rate system eroded, countries faced new inflation/competitiveness dynamics; the U.S. confronted constraints from balance-of-payments pressures and changing global competitiveness, while domestic price stability became harder to maintain under simultaneous commodity shocks.</w:t>
      </w:r>
      <w:r>
        <w:t xml:space="preserve"> </w:t>
      </w:r>
      <w:hyperlink r:id="rId25">
        <w:r>
          <w:rPr>
            <w:rStyle w:val="Hyperlink"/>
          </w:rPr>
          <w:t xml:space="preserve">[89]</w:t>
        </w:r>
      </w:hyperlink>
    </w:p>
    <w:bookmarkEnd w:id="89"/>
    <w:bookmarkStart w:id="90" w:name="Xcc8a7358d2b00f08fbda2d5dfd45bb4918e19dd"/>
    <w:p>
      <w:pPr>
        <w:pStyle w:val="Heading3"/>
      </w:pPr>
      <w:r>
        <w:t xml:space="preserve">The 1973–74 oil shock as a systemic stress test</w:t>
      </w:r>
    </w:p>
    <w:p>
      <w:pPr>
        <w:pStyle w:val="FirstParagraph"/>
      </w:pPr>
      <w:r>
        <w:t xml:space="preserve">The Federal Reserve history of the 1973–74 oil shock documents a near quadrupling of oil prices during the embargo period, and EIA data show the broader shift in crude oil prices across the decade.</w:t>
      </w:r>
      <w:r>
        <w:t xml:space="preserve"> </w:t>
      </w:r>
      <w:hyperlink r:id="rId30">
        <w:r>
          <w:rPr>
            <w:rStyle w:val="Hyperlink"/>
          </w:rPr>
          <w:t xml:space="preserve">[11]</w:t>
        </w:r>
      </w:hyperlink>
    </w:p>
    <w:p>
      <w:pPr>
        <w:pStyle w:val="BodyText"/>
      </w:pPr>
      <w:r>
        <w:rPr>
          <w:b/>
          <w:bCs/>
        </w:rPr>
        <w:t xml:space="preserve">Mechanism:</w:t>
      </w:r>
      <w:r>
        <w:t xml:space="preserve"> </w:t>
      </w:r>
      <w:r>
        <w:t xml:space="preserve">oil is a pervasive intermediate input. A sudden price jump raises production costs and redistributes income from consumers to producers, often depressing demand while simultaneously raising measured inflation—exactly the combination that destabilizes a growth regime built on stable real wages and predictable costs.</w:t>
      </w:r>
      <w:r>
        <w:t xml:space="preserve"> </w:t>
      </w:r>
      <w:hyperlink r:id="rId30">
        <w:r>
          <w:rPr>
            <w:rStyle w:val="Hyperlink"/>
          </w:rPr>
          <w:t xml:space="preserve">[51]</w:t>
        </w:r>
      </w:hyperlink>
    </w:p>
    <w:bookmarkEnd w:id="90"/>
    <w:bookmarkStart w:id="91" w:name="Xbbf40f3f1aa820bfe08898b789277ba868b4709"/>
    <w:p>
      <w:pPr>
        <w:pStyle w:val="Heading3"/>
      </w:pPr>
      <w:r>
        <w:t xml:space="preserve">The productivity slowdown and the end of the “easy” growth mix</w:t>
      </w:r>
    </w:p>
    <w:p>
      <w:pPr>
        <w:pStyle w:val="FirstParagraph"/>
      </w:pPr>
      <w:r>
        <w:t xml:space="preserve">A BLS analysis of productivity slowdowns emphasizes that the 1970s slowdown was apparent beginning in 1973 and marked a clear shift from earlier high growth to lower growth.</w:t>
      </w:r>
      <w:r>
        <w:t xml:space="preserve"> </w:t>
      </w:r>
      <w:hyperlink r:id="rId29">
        <w:r>
          <w:rPr>
            <w:rStyle w:val="Hyperlink"/>
          </w:rPr>
          <w:t xml:space="preserve">[90]</w:t>
        </w:r>
      </w:hyperlink>
      <w:r>
        <w:t xml:space="preserve"> </w:t>
      </w:r>
      <w:r>
        <w:t xml:space="preserve">This timing matches the macro breakpoints from 1971–1975 (monetary regime change, oil shock, recession).</w:t>
      </w:r>
      <w:r>
        <w:t xml:space="preserve"> </w:t>
      </w:r>
      <w:hyperlink r:id="rId25">
        <w:r>
          <w:rPr>
            <w:rStyle w:val="Hyperlink"/>
          </w:rPr>
          <w:t xml:space="preserve">[91]</w:t>
        </w:r>
      </w:hyperlink>
    </w:p>
    <w:p>
      <w:pPr>
        <w:pStyle w:val="BodyText"/>
      </w:pPr>
      <w:r>
        <w:rPr>
          <w:b/>
          <w:bCs/>
        </w:rPr>
        <w:t xml:space="preserve">Mechanism:</w:t>
      </w:r>
      <w:r>
        <w:t xml:space="preserve"> </w:t>
      </w:r>
      <w:r>
        <w:t xml:space="preserve">when productivity growth slows, sustaining rapid real wage growth becomes harder without triggering inflation or compressing profits—raising the salience of distributional conflict, monetary policy tradeoffs, and international competition.</w:t>
      </w:r>
      <w:r>
        <w:t xml:space="preserve"> </w:t>
      </w:r>
      <w:hyperlink r:id="rId29">
        <w:r>
          <w:rPr>
            <w:rStyle w:val="Hyperlink"/>
          </w:rPr>
          <w:t xml:space="preserve">[92]</w:t>
        </w:r>
      </w:hyperlink>
    </w:p>
    <w:bookmarkEnd w:id="91"/>
    <w:bookmarkStart w:id="92" w:name="X28f9e48fa0bd2f8b2418cf4c5f2de0c204bfd4c"/>
    <w:p>
      <w:pPr>
        <w:pStyle w:val="Heading3"/>
      </w:pPr>
      <w:r>
        <w:t xml:space="preserve">Distributional and institutional strains that became more visible</w:t>
      </w:r>
    </w:p>
    <w:p>
      <w:pPr>
        <w:pStyle w:val="FirstParagraph"/>
      </w:pPr>
      <w:r>
        <w:t xml:space="preserve">Several dynamics that existed earlier became more binding by the 1970s:</w:t>
      </w:r>
    </w:p>
    <w:p>
      <w:pPr>
        <w:pStyle w:val="Compact"/>
        <w:numPr>
          <w:ilvl w:val="0"/>
          <w:numId w:val="1001"/>
        </w:numPr>
      </w:pPr>
      <w:r>
        <w:rPr>
          <w:b/>
          <w:bCs/>
        </w:rPr>
        <w:t xml:space="preserve">Urban-suburban divergence and durable racial inequality:</w:t>
      </w:r>
      <w:r>
        <w:t xml:space="preserve"> </w:t>
      </w:r>
      <w:r>
        <w:t xml:space="preserve">credit access and neighborhood investment patterns were not neutral; later scholarship finds persistent neighborhood effects linked to redlining-era practices, while official histories emphasize that legal prohibitions and enforcement frameworks arrived late (e.g., post-1968).</w:t>
      </w:r>
      <w:r>
        <w:t xml:space="preserve"> </w:t>
      </w:r>
      <w:hyperlink r:id="rId24">
        <w:r>
          <w:rPr>
            <w:rStyle w:val="Hyperlink"/>
          </w:rPr>
          <w:t xml:space="preserve">[5]</w:t>
        </w:r>
      </w:hyperlink>
    </w:p>
    <w:p>
      <w:pPr>
        <w:pStyle w:val="Compact"/>
        <w:numPr>
          <w:ilvl w:val="0"/>
          <w:numId w:val="1001"/>
        </w:numPr>
      </w:pPr>
      <w:r>
        <w:rPr>
          <w:b/>
          <w:bCs/>
        </w:rPr>
        <w:t xml:space="preserve">Union drift and changing bargaining power:</w:t>
      </w:r>
      <w:r>
        <w:t xml:space="preserve"> </w:t>
      </w:r>
      <w:r>
        <w:t xml:space="preserve">even before the steep post-1980 decline, union density as a share of nonagricultural employees was already trending down by the early 1970s.</w:t>
      </w:r>
      <w:r>
        <w:t xml:space="preserve"> </w:t>
      </w:r>
      <w:hyperlink r:id="rId52">
        <w:r>
          <w:rPr>
            <w:rStyle w:val="Hyperlink"/>
          </w:rPr>
          <w:t xml:space="preserve">[38]</w:t>
        </w:r>
      </w:hyperlink>
    </w:p>
    <w:p>
      <w:pPr>
        <w:pStyle w:val="Compact"/>
        <w:numPr>
          <w:ilvl w:val="0"/>
          <w:numId w:val="1001"/>
        </w:numPr>
      </w:pPr>
      <w:r>
        <w:rPr>
          <w:b/>
          <w:bCs/>
        </w:rPr>
        <w:t xml:space="preserve">Demographic transition:</w:t>
      </w:r>
      <w:r>
        <w:t xml:space="preserve"> </w:t>
      </w:r>
      <w:r>
        <w:t xml:space="preserve">the Census defines baby boomers as those born 1946–1964, implying that by the 1970s the age structure was shifting toward a larger young-adult cohort, with consequences for labor markets, housing demand, and later social spending.</w:t>
      </w:r>
      <w:r>
        <w:t xml:space="preserve"> </w:t>
      </w:r>
      <w:hyperlink r:id="rId74">
        <w:r>
          <w:rPr>
            <w:rStyle w:val="Hyperlink"/>
          </w:rPr>
          <w:t xml:space="preserve">[93]</w:t>
        </w:r>
      </w:hyperlink>
    </w:p>
    <w:p>
      <w:pPr>
        <w:pStyle w:val="FirstParagraph"/>
      </w:pPr>
      <w:r>
        <w:t xml:space="preserve">These strains did not “end” prosperity instantly, but they helped shift the postwar regime away from its earlier, unusually favorable configuration.</w:t>
      </w:r>
      <w:r>
        <w:t xml:space="preserve"> </w:t>
      </w:r>
      <w:hyperlink r:id="rId29">
        <w:r>
          <w:rPr>
            <w:rStyle w:val="Hyperlink"/>
          </w:rPr>
          <w:t xml:space="preserve">[94]</w:t>
        </w:r>
      </w:hyperlink>
    </w:p>
    <w:bookmarkEnd w:id="92"/>
    <w:bookmarkEnd w:id="93"/>
    <w:bookmarkStart w:id="100" w:name="Xfd8e5007f1828d4c73b29fc0417f73f77428393"/>
    <w:p>
      <w:pPr>
        <w:pStyle w:val="Heading2"/>
      </w:pPr>
      <w:r>
        <w:t xml:space="preserve">Contested interpretations and key sources</w:t>
      </w:r>
    </w:p>
    <w:bookmarkStart w:id="95" w:name="major-debates-and-uncertainties"/>
    <w:p>
      <w:pPr>
        <w:pStyle w:val="Heading3"/>
      </w:pPr>
      <w:r>
        <w:t xml:space="preserve">Major debates and uncertainties</w:t>
      </w:r>
    </w:p>
    <w:p>
      <w:pPr>
        <w:pStyle w:val="FirstParagraph"/>
      </w:pPr>
      <w:r>
        <w:rPr>
          <w:b/>
          <w:bCs/>
        </w:rPr>
        <w:t xml:space="preserve">How much did “destroyed competitors” matter versus domestic institutions?</w:t>
      </w:r>
      <w:r>
        <w:br/>
      </w:r>
      <w:r>
        <w:t xml:space="preserve">The U.S. starting position is clear in broad strokes (industrial and reserve dominance).</w:t>
      </w:r>
      <w:r>
        <w:t xml:space="preserve"> </w:t>
      </w:r>
      <w:hyperlink r:id="rId21">
        <w:r>
          <w:rPr>
            <w:rStyle w:val="Hyperlink"/>
          </w:rPr>
          <w:t xml:space="preserve">[95]</w:t>
        </w:r>
      </w:hyperlink>
      <w:r>
        <w:t xml:space="preserve"> </w:t>
      </w:r>
      <w:r>
        <w:t xml:space="preserve">The debate concerns magnitudes and counterfactuals—how much of mid-century prosperity would have occurred under different global rebuilding paths or different domestic policy choices.</w:t>
      </w:r>
      <w:r>
        <w:t xml:space="preserve"> </w:t>
      </w:r>
      <w:hyperlink r:id="rId40">
        <w:r>
          <w:rPr>
            <w:rStyle w:val="Hyperlink"/>
          </w:rPr>
          <w:t xml:space="preserve">[96]</w:t>
        </w:r>
      </w:hyperlink>
    </w:p>
    <w:p>
      <w:pPr>
        <w:pStyle w:val="BodyText"/>
      </w:pPr>
      <w:r>
        <w:rPr>
          <w:b/>
          <w:bCs/>
        </w:rPr>
        <w:t xml:space="preserve">Did wartime mobilization</w:t>
      </w:r>
      <w:r>
        <w:rPr>
          <w:b/>
          <w:bCs/>
        </w:rPr>
        <w:t xml:space="preserve"> </w:t>
      </w:r>
      <w:r>
        <w:rPr>
          <w:b/>
          <w:bCs/>
          <w:i/>
          <w:iCs/>
        </w:rPr>
        <w:t xml:space="preserve">cause</w:t>
      </w:r>
      <w:r>
        <w:rPr>
          <w:b/>
          <w:bCs/>
        </w:rPr>
        <w:t xml:space="preserve"> </w:t>
      </w:r>
      <w:r>
        <w:rPr>
          <w:b/>
          <w:bCs/>
        </w:rPr>
        <w:t xml:space="preserve">postwar productivity, or was it orthogonal?</w:t>
      </w:r>
      <w:r>
        <w:br/>
      </w:r>
      <w:r>
        <w:t xml:space="preserve">Some scholarship argues against simplistic “wartime production created postwar productivity” narratives, emphasizing differences in output mix and factor pricing.</w:t>
      </w:r>
      <w:r>
        <w:t xml:space="preserve"> </w:t>
      </w:r>
      <w:hyperlink r:id="rId94">
        <w:r>
          <w:rPr>
            <w:rStyle w:val="Hyperlink"/>
          </w:rPr>
          <w:t xml:space="preserve">[97]</w:t>
        </w:r>
      </w:hyperlink>
    </w:p>
    <w:p>
      <w:pPr>
        <w:pStyle w:val="BodyText"/>
      </w:pPr>
      <w:r>
        <w:rPr>
          <w:b/>
          <w:bCs/>
        </w:rPr>
        <w:t xml:space="preserve">What is the correct causal story about redlining mechanisms?</w:t>
      </w:r>
      <w:r>
        <w:br/>
      </w:r>
      <w:r>
        <w:t xml:space="preserve">The literature agrees that racially patterned credit and underwriting mattered; disagreement centers on whether HOLC maps were a central causal channel or whether FHA/private underwriting practices created similar exclusion independently.</w:t>
      </w:r>
      <w:r>
        <w:t xml:space="preserve"> </w:t>
      </w:r>
      <w:hyperlink r:id="rId57">
        <w:r>
          <w:rPr>
            <w:rStyle w:val="Hyperlink"/>
          </w:rPr>
          <w:t xml:space="preserve">[47]</w:t>
        </w:r>
      </w:hyperlink>
    </w:p>
    <w:p>
      <w:pPr>
        <w:pStyle w:val="BodyText"/>
      </w:pPr>
      <w:r>
        <w:rPr>
          <w:b/>
          <w:bCs/>
        </w:rPr>
        <w:t xml:space="preserve">How much did high statutory tax rates compress inequality?</w:t>
      </w:r>
      <w:r>
        <w:br/>
      </w:r>
      <w:r>
        <w:t xml:space="preserve">Statutory top rates were high according to IRS tables, but effective rates varied with deductions, bases, and enforcement; inequality trends can be documented, but causal attribution remains debated.</w:t>
      </w:r>
      <w:r>
        <w:t xml:space="preserve"> </w:t>
      </w:r>
      <w:hyperlink r:id="rId39">
        <w:r>
          <w:rPr>
            <w:rStyle w:val="Hyperlink"/>
          </w:rPr>
          <w:t xml:space="preserve">[53]</w:t>
        </w:r>
      </w:hyperlink>
    </w:p>
    <w:bookmarkEnd w:id="95"/>
    <w:bookmarkStart w:id="97" w:name="core-primary-and-official-sources"/>
    <w:p>
      <w:pPr>
        <w:pStyle w:val="Heading3"/>
      </w:pPr>
      <w:r>
        <w:t xml:space="preserve">Core primary and official sources</w:t>
      </w:r>
    </w:p>
    <w:p>
      <w:pPr>
        <w:pStyle w:val="FirstParagraph"/>
      </w:pPr>
      <w:r>
        <w:t xml:space="preserve">Government and quasi-government sources used directly in this report:</w:t>
      </w:r>
    </w:p>
    <w:p>
      <w:pPr>
        <w:pStyle w:val="Compact"/>
        <w:numPr>
          <w:ilvl w:val="0"/>
          <w:numId w:val="1002"/>
        </w:numPr>
      </w:pPr>
      <w:r>
        <w:t xml:space="preserve">Macroeconomic output and consumption: Bureau of Economic Analysis</w:t>
      </w:r>
      <w:hyperlink r:id="rId42">
        <w:r>
          <w:rPr>
            <w:rStyle w:val="Hyperlink"/>
          </w:rPr>
          <w:t xml:space="preserve">[98]</w:t>
        </w:r>
      </w:hyperlink>
      <w:r>
        <w:t xml:space="preserve"> </w:t>
      </w:r>
      <w:r>
        <w:t xml:space="preserve">series as disseminated by FRED (e.g., real GDP per capita; PCE per capita and shares).</w:t>
      </w:r>
      <w:r>
        <w:t xml:space="preserve"> </w:t>
      </w:r>
      <w:hyperlink r:id="rId77">
        <w:r>
          <w:rPr>
            <w:rStyle w:val="Hyperlink"/>
          </w:rPr>
          <w:t xml:space="preserve">[99]</w:t>
        </w:r>
      </w:hyperlink>
    </w:p>
    <w:p>
      <w:pPr>
        <w:pStyle w:val="Compact"/>
        <w:numPr>
          <w:ilvl w:val="0"/>
          <w:numId w:val="1002"/>
        </w:numPr>
      </w:pPr>
      <w:r>
        <w:t xml:space="preserve">Prices, unemployment, productivity, compensation: Bureau of Labor Statistics</w:t>
      </w:r>
      <w:hyperlink r:id="rId45">
        <w:r>
          <w:rPr>
            <w:rStyle w:val="Hyperlink"/>
          </w:rPr>
          <w:t xml:space="preserve">[100]</w:t>
        </w:r>
      </w:hyperlink>
      <w:r>
        <w:t xml:space="preserve"> </w:t>
      </w:r>
      <w:r>
        <w:t xml:space="preserve">series via FRED (CPI, unemployment rate; nonfarm productivity/compensation).</w:t>
      </w:r>
      <w:r>
        <w:t xml:space="preserve"> </w:t>
      </w:r>
      <w:hyperlink r:id="rId96">
        <w:r>
          <w:rPr>
            <w:rStyle w:val="Hyperlink"/>
          </w:rPr>
          <w:t xml:space="preserve">[101]</w:t>
        </w:r>
      </w:hyperlink>
    </w:p>
    <w:p>
      <w:pPr>
        <w:pStyle w:val="Compact"/>
        <w:numPr>
          <w:ilvl w:val="0"/>
          <w:numId w:val="1002"/>
        </w:numPr>
      </w:pPr>
      <w:r>
        <w:t xml:space="preserve">Housing and homeownership: U.S. Census Bureau</w:t>
      </w:r>
      <w:hyperlink r:id="rId69">
        <w:r>
          <w:rPr>
            <w:rStyle w:val="Hyperlink"/>
          </w:rPr>
          <w:t xml:space="preserve">[102]</w:t>
        </w:r>
      </w:hyperlink>
      <w:r>
        <w:t xml:space="preserve"> </w:t>
      </w:r>
      <w:r>
        <w:t xml:space="preserve">long-run homeownership table and quarterly homeownership series.</w:t>
      </w:r>
      <w:r>
        <w:t xml:space="preserve"> </w:t>
      </w:r>
      <w:hyperlink r:id="rId23">
        <w:r>
          <w:rPr>
            <w:rStyle w:val="Hyperlink"/>
          </w:rPr>
          <w:t xml:space="preserve">[71]</w:t>
        </w:r>
      </w:hyperlink>
    </w:p>
    <w:p>
      <w:pPr>
        <w:pStyle w:val="Compact"/>
        <w:numPr>
          <w:ilvl w:val="0"/>
          <w:numId w:val="1002"/>
        </w:numPr>
      </w:pPr>
      <w:r>
        <w:t xml:space="preserve">Life expectancy: CDC/NCHS (Table 8 life expectancy benchmarks 1940–1975).</w:t>
      </w:r>
      <w:r>
        <w:t xml:space="preserve"> </w:t>
      </w:r>
      <w:hyperlink r:id="rId80">
        <w:r>
          <w:rPr>
            <w:rStyle w:val="Hyperlink"/>
          </w:rPr>
          <w:t xml:space="preserve">[83]</w:t>
        </w:r>
      </w:hyperlink>
    </w:p>
    <w:p>
      <w:pPr>
        <w:pStyle w:val="Compact"/>
        <w:numPr>
          <w:ilvl w:val="0"/>
          <w:numId w:val="1002"/>
        </w:numPr>
      </w:pPr>
      <w:r>
        <w:t xml:space="preserve">Education enrollment: NCES historical enrollment table (1947–1975).</w:t>
      </w:r>
      <w:r>
        <w:t xml:space="preserve"> </w:t>
      </w:r>
      <w:hyperlink r:id="rId72">
        <w:r>
          <w:rPr>
            <w:rStyle w:val="Hyperlink"/>
          </w:rPr>
          <w:t xml:space="preserve">[66]</w:t>
        </w:r>
      </w:hyperlink>
    </w:p>
    <w:p>
      <w:pPr>
        <w:pStyle w:val="Compact"/>
        <w:numPr>
          <w:ilvl w:val="0"/>
          <w:numId w:val="1002"/>
        </w:numPr>
      </w:pPr>
      <w:r>
        <w:t xml:space="preserve">Institutional histories: NLRA/NLRB, FDIC, SSA, SEC; FHA history; VA GI Bill usage; official foreign-relations histories for Marshall Plan and Bretton Woods end; FHWA on Interstate origins.</w:t>
      </w:r>
      <w:r>
        <w:t xml:space="preserve"> </w:t>
      </w:r>
      <w:hyperlink r:id="rId46">
        <w:r>
          <w:rPr>
            <w:rStyle w:val="Hyperlink"/>
          </w:rPr>
          <w:t xml:space="preserve">[103]</w:t>
        </w:r>
      </w:hyperlink>
    </w:p>
    <w:bookmarkEnd w:id="97"/>
    <w:bookmarkStart w:id="99" w:name="X9b5fcf74fe3af987958ef1fe916ac0b24993b4e"/>
    <w:p>
      <w:pPr>
        <w:pStyle w:val="Heading3"/>
      </w:pPr>
      <w:r>
        <w:t xml:space="preserve">Seminal academic works and interpretive anchors</w:t>
      </w:r>
    </w:p>
    <w:p>
      <w:pPr>
        <w:pStyle w:val="FirstParagraph"/>
      </w:pPr>
      <w:r>
        <w:t xml:space="preserve">A compact set of widely cited scholarly anchors (selected to match the user’s requested authors and themes):</w:t>
      </w:r>
    </w:p>
    <w:p>
      <w:pPr>
        <w:pStyle w:val="Compact"/>
        <w:numPr>
          <w:ilvl w:val="0"/>
          <w:numId w:val="1003"/>
        </w:numPr>
      </w:pPr>
      <w:r>
        <w:t xml:space="preserve">Inequality measurement and long-run top shares: Piketty &amp; Saez (2003).</w:t>
      </w:r>
      <w:r>
        <w:t xml:space="preserve"> </w:t>
      </w:r>
      <w:hyperlink r:id="rId67">
        <w:r>
          <w:rPr>
            <w:rStyle w:val="Hyperlink"/>
          </w:rPr>
          <w:t xml:space="preserve">[104]</w:t>
        </w:r>
      </w:hyperlink>
    </w:p>
    <w:p>
      <w:pPr>
        <w:pStyle w:val="Compact"/>
        <w:numPr>
          <w:ilvl w:val="0"/>
          <w:numId w:val="1003"/>
        </w:numPr>
      </w:pPr>
      <w:r>
        <w:t xml:space="preserve">Mid-century wage compression (“Great Compression”): Goldin &amp; Margo (NBER working paper version).</w:t>
      </w:r>
      <w:r>
        <w:t xml:space="preserve"> </w:t>
      </w:r>
      <w:hyperlink r:id="rId69">
        <w:r>
          <w:rPr>
            <w:rStyle w:val="Hyperlink"/>
          </w:rPr>
          <w:t xml:space="preserve">[105]</w:t>
        </w:r>
      </w:hyperlink>
    </w:p>
    <w:p>
      <w:pPr>
        <w:pStyle w:val="Compact"/>
        <w:numPr>
          <w:ilvl w:val="0"/>
          <w:numId w:val="1003"/>
        </w:numPr>
      </w:pPr>
      <w:r>
        <w:t xml:space="preserve">Education–technology dynamics (human capital framing): Goldin &amp; Katz (NBER working paper version).</w:t>
      </w:r>
      <w:r>
        <w:t xml:space="preserve"> </w:t>
      </w:r>
      <w:hyperlink r:id="rId98">
        <w:r>
          <w:rPr>
            <w:rStyle w:val="Hyperlink"/>
          </w:rPr>
          <w:t xml:space="preserve">[106]</w:t>
        </w:r>
      </w:hyperlink>
    </w:p>
    <w:p>
      <w:pPr>
        <w:pStyle w:val="Compact"/>
        <w:numPr>
          <w:ilvl w:val="0"/>
          <w:numId w:val="1003"/>
        </w:numPr>
      </w:pPr>
      <w:r>
        <w:t xml:space="preserve">Productivity regime breaks: BLS productivity slowdown analysis; Gordon’s long-run productivity framing (as supporting context for the 1973 break).</w:t>
      </w:r>
      <w:r>
        <w:t xml:space="preserve"> </w:t>
      </w:r>
      <w:hyperlink r:id="rId29">
        <w:r>
          <w:rPr>
            <w:rStyle w:val="Hyperlink"/>
          </w:rPr>
          <w:t xml:space="preserve">[107]</w:t>
        </w:r>
      </w:hyperlink>
    </w:p>
    <w:p>
      <w:pPr>
        <w:pStyle w:val="FirstParagraph"/>
      </w:pPr>
      <w:r>
        <w:t xml:space="preserve">These sources do not remove uncertainty, but they give a rigorous scaffold:</w:t>
      </w:r>
      <w:r>
        <w:t xml:space="preserve"> </w:t>
      </w:r>
      <w:r>
        <w:rPr>
          <w:b/>
          <w:bCs/>
        </w:rPr>
        <w:t xml:space="preserve">measurement of outcomes (distribution and productivity)</w:t>
      </w:r>
      <w:r>
        <w:t xml:space="preserve">, plus</w:t>
      </w:r>
      <w:r>
        <w:t xml:space="preserve"> </w:t>
      </w:r>
      <w:r>
        <w:rPr>
          <w:b/>
          <w:bCs/>
        </w:rPr>
        <w:t xml:space="preserve">mechanisms (education, institutions, and regime breaks)</w:t>
      </w:r>
      <w:r>
        <w:t xml:space="preserve"> </w:t>
      </w:r>
      <w:r>
        <w:t xml:space="preserve">that align closely with the observed 1945–1975 arc.</w:t>
      </w:r>
      <w:r>
        <w:t xml:space="preserve"> </w:t>
      </w:r>
      <w:hyperlink r:id="rId67">
        <w:r>
          <w:rPr>
            <w:rStyle w:val="Hyperlink"/>
          </w:rPr>
          <w:t xml:space="preserve">[108]</w:t>
        </w:r>
      </w:hyperlink>
    </w:p>
    <w:bookmarkEnd w:id="99"/>
    <w:bookmarkEnd w:id="100"/>
    <w:bookmarkEnd w:id="101"/>
    <w:bookmarkEnd w:id="102"/>
    <w:p>
      <w:r>
        <w:pict>
          <v:rect style="width:0;height:1.5pt" o:hralign="center" o:hrstd="t" o:hr="t"/>
        </w:pict>
      </w:r>
    </w:p>
    <w:bookmarkStart w:id="103"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[14]</w:t>
        </w:r>
      </w:hyperlink>
      <w:r>
        <w:t xml:space="preserve"> </w:t>
      </w:r>
      <w:hyperlink r:id="rId21">
        <w:r>
          <w:rPr>
            <w:rStyle w:val="Hyperlink"/>
          </w:rPr>
          <w:t xml:space="preserve">[95]</w:t>
        </w:r>
      </w:hyperlink>
      <w:r>
        <w:t xml:space="preserve"> </w:t>
      </w:r>
      <w:r>
        <w:t xml:space="preserve">https://www.nationalww2museum.org/war/articles/new-global-power-after-world-war-ii-1945</w:t>
      </w:r>
    </w:p>
    <w:p>
      <w:pPr>
        <w:pStyle w:val="BodyText"/>
      </w:pPr>
      <w:hyperlink r:id="rId21">
        <w:r>
          <w:rPr>
            <w:rStyle w:val="Hyperlink"/>
          </w:rPr>
          <w:t xml:space="preserve">https://www.nationalww2museum.org/war/articles/new-global-power-after-world-war-ii-1945</w:t>
        </w:r>
      </w:hyperlink>
    </w:p>
    <w:p>
      <w:pPr>
        <w:pStyle w:val="BodyText"/>
      </w:pPr>
      <w:hyperlink r:id="rId22">
        <w:r>
          <w:rPr>
            <w:rStyle w:val="Hyperlink"/>
          </w:rPr>
          <w:t xml:space="preserve">[2]</w:t>
        </w:r>
      </w:hyperlink>
      <w:r>
        <w:t xml:space="preserve"> </w:t>
      </w:r>
      <w:hyperlink r:id="rId22">
        <w:r>
          <w:rPr>
            <w:rStyle w:val="Hyperlink"/>
          </w:rPr>
          <w:t xml:space="preserve">[10]</w:t>
        </w:r>
      </w:hyperlink>
      <w:r>
        <w:t xml:space="preserve"> </w:t>
      </w:r>
      <w:hyperlink r:id="rId22">
        <w:r>
          <w:rPr>
            <w:rStyle w:val="Hyperlink"/>
          </w:rPr>
          <w:t xml:space="preserve">[15]</w:t>
        </w:r>
      </w:hyperlink>
      <w:r>
        <w:t xml:space="preserve"> </w:t>
      </w:r>
      <w:hyperlink r:id="rId22">
        <w:r>
          <w:rPr>
            <w:rStyle w:val="Hyperlink"/>
          </w:rPr>
          <w:t xml:space="preserve">[16]</w:t>
        </w:r>
      </w:hyperlink>
      <w:r>
        <w:t xml:space="preserve"> </w:t>
      </w:r>
      <w:hyperlink r:id="rId22">
        <w:r>
          <w:rPr>
            <w:rStyle w:val="Hyperlink"/>
          </w:rPr>
          <w:t xml:space="preserve">[20]</w:t>
        </w:r>
      </w:hyperlink>
      <w:r>
        <w:t xml:space="preserve"> </w:t>
      </w:r>
      <w:r>
        <w:t xml:space="preserve">https://www.federalreservehistory.org/essays/gold-convertibility-ends</w:t>
      </w:r>
    </w:p>
    <w:p>
      <w:pPr>
        <w:pStyle w:val="BodyText"/>
      </w:pPr>
      <w:hyperlink r:id="rId22">
        <w:r>
          <w:rPr>
            <w:rStyle w:val="Hyperlink"/>
          </w:rPr>
          <w:t xml:space="preserve">https://www.federalreservehistory.org/essays/gold-convertibility-ends</w:t>
        </w:r>
      </w:hyperlink>
    </w:p>
    <w:p>
      <w:pPr>
        <w:pStyle w:val="BodyText"/>
      </w:pPr>
      <w:hyperlink r:id="rId23">
        <w:r>
          <w:rPr>
            <w:rStyle w:val="Hyperlink"/>
          </w:rPr>
          <w:t xml:space="preserve">[4]</w:t>
        </w:r>
      </w:hyperlink>
      <w:r>
        <w:t xml:space="preserve"> </w:t>
      </w:r>
      <w:hyperlink r:id="rId23">
        <w:r>
          <w:rPr>
            <w:rStyle w:val="Hyperlink"/>
          </w:rPr>
          <w:t xml:space="preserve">[18]</w:t>
        </w:r>
      </w:hyperlink>
      <w:r>
        <w:t xml:space="preserve"> </w:t>
      </w:r>
      <w:hyperlink r:id="rId23">
        <w:r>
          <w:rPr>
            <w:rStyle w:val="Hyperlink"/>
          </w:rPr>
          <w:t xml:space="preserve">[27]</w:t>
        </w:r>
      </w:hyperlink>
      <w:r>
        <w:t xml:space="preserve"> </w:t>
      </w:r>
      <w:hyperlink r:id="rId23">
        <w:r>
          <w:rPr>
            <w:rStyle w:val="Hyperlink"/>
          </w:rPr>
          <w:t xml:space="preserve">[71]</w:t>
        </w:r>
      </w:hyperlink>
      <w:r>
        <w:t xml:space="preserve"> </w:t>
      </w:r>
      <w:hyperlink r:id="rId23">
        <w:r>
          <w:rPr>
            <w:rStyle w:val="Hyperlink"/>
          </w:rPr>
          <w:t xml:space="preserve">[81]</w:t>
        </w:r>
      </w:hyperlink>
      <w:r>
        <w:t xml:space="preserve"> </w:t>
      </w:r>
      <w:hyperlink r:id="rId23">
        <w:r>
          <w:rPr>
            <w:rStyle w:val="Hyperlink"/>
          </w:rPr>
          <w:t xml:space="preserve">[82]</w:t>
        </w:r>
      </w:hyperlink>
      <w:r>
        <w:t xml:space="preserve"> </w:t>
      </w:r>
      <w:r>
        <w:t xml:space="preserve">www2.census.gov</w:t>
      </w:r>
    </w:p>
    <w:p>
      <w:pPr>
        <w:pStyle w:val="BodyText"/>
      </w:pPr>
      <w:hyperlink r:id="rId23">
        <w:r>
          <w:rPr>
            <w:rStyle w:val="Hyperlink"/>
          </w:rPr>
          <w:t xml:space="preserve">https://www2.census.gov/programs-surveys/decennial/tables/time-series/coh-owner/owner-tab.txt</w:t>
        </w:r>
      </w:hyperlink>
    </w:p>
    <w:p>
      <w:pPr>
        <w:pStyle w:val="BodyText"/>
      </w:pPr>
      <w:hyperlink r:id="rId24">
        <w:r>
          <w:rPr>
            <w:rStyle w:val="Hyperlink"/>
          </w:rPr>
          <w:t xml:space="preserve">[5]</w:t>
        </w:r>
      </w:hyperlink>
      <w:r>
        <w:t xml:space="preserve"> </w:t>
      </w:r>
      <w:hyperlink r:id="rId24">
        <w:r>
          <w:rPr>
            <w:rStyle w:val="Hyperlink"/>
          </w:rPr>
          <w:t xml:space="preserve">[40]</w:t>
        </w:r>
      </w:hyperlink>
      <w:r>
        <w:t xml:space="preserve"> </w:t>
      </w:r>
      <w:hyperlink r:id="rId24">
        <w:r>
          <w:rPr>
            <w:rStyle w:val="Hyperlink"/>
          </w:rPr>
          <w:t xml:space="preserve">[46]</w:t>
        </w:r>
      </w:hyperlink>
      <w:r>
        <w:t xml:space="preserve"> </w:t>
      </w:r>
      <w:r>
        <w:t xml:space="preserve">https://www.federalreservehistory.org/essays/redlining</w:t>
      </w:r>
    </w:p>
    <w:p>
      <w:pPr>
        <w:pStyle w:val="BodyText"/>
      </w:pPr>
      <w:hyperlink r:id="rId24">
        <w:r>
          <w:rPr>
            <w:rStyle w:val="Hyperlink"/>
          </w:rPr>
          <w:t xml:space="preserve">https://www.federalreservehistory.org/essays/redlining</w:t>
        </w:r>
      </w:hyperlink>
    </w:p>
    <w:p>
      <w:pPr>
        <w:pStyle w:val="BodyText"/>
      </w:pPr>
      <w:hyperlink r:id="rId25">
        <w:r>
          <w:rPr>
            <w:rStyle w:val="Hyperlink"/>
          </w:rPr>
          <w:t xml:space="preserve">[6]</w:t>
        </w:r>
      </w:hyperlink>
      <w:r>
        <w:t xml:space="preserve"> </w:t>
      </w:r>
      <w:hyperlink r:id="rId25">
        <w:r>
          <w:rPr>
            <w:rStyle w:val="Hyperlink"/>
          </w:rPr>
          <w:t xml:space="preserve">[88]</w:t>
        </w:r>
      </w:hyperlink>
      <w:r>
        <w:t xml:space="preserve"> </w:t>
      </w:r>
      <w:hyperlink r:id="rId25">
        <w:r>
          <w:rPr>
            <w:rStyle w:val="Hyperlink"/>
          </w:rPr>
          <w:t xml:space="preserve">[89]</w:t>
        </w:r>
      </w:hyperlink>
      <w:r>
        <w:t xml:space="preserve"> </w:t>
      </w:r>
      <w:hyperlink r:id="rId25">
        <w:r>
          <w:rPr>
            <w:rStyle w:val="Hyperlink"/>
          </w:rPr>
          <w:t xml:space="preserve">[91]</w:t>
        </w:r>
      </w:hyperlink>
      <w:r>
        <w:t xml:space="preserve"> </w:t>
      </w:r>
      <w:r>
        <w:t xml:space="preserve">https://history.state.gov/milestones/1969-1976/nixon-shock</w:t>
      </w:r>
    </w:p>
    <w:p>
      <w:pPr>
        <w:pStyle w:val="BodyText"/>
      </w:pPr>
      <w:hyperlink r:id="rId25">
        <w:r>
          <w:rPr>
            <w:rStyle w:val="Hyperlink"/>
          </w:rPr>
          <w:t xml:space="preserve">https://history.state.gov/milestones/1969-1976/nixon-shock</w:t>
        </w:r>
      </w:hyperlink>
    </w:p>
    <w:p>
      <w:pPr>
        <w:pStyle w:val="BodyText"/>
      </w:pPr>
      <w:hyperlink r:id="rId27">
        <w:r>
          <w:rPr>
            <w:rStyle w:val="Hyperlink"/>
          </w:rPr>
          <w:t xml:space="preserve">[7]</w:t>
        </w:r>
      </w:hyperlink>
      <w:r>
        <w:t xml:space="preserve"> </w:t>
      </w:r>
      <w:hyperlink r:id="rId27">
        <w:r>
          <w:rPr>
            <w:rStyle w:val="Hyperlink"/>
          </w:rPr>
          <w:t xml:space="preserve">[26]</w:t>
        </w:r>
      </w:hyperlink>
      <w:r>
        <w:t xml:space="preserve"> </w:t>
      </w:r>
      <w:r>
        <w:t xml:space="preserve">https://www.archives.gov/milestone-documents/servicemens-readjustment-act</w:t>
      </w:r>
    </w:p>
    <w:p>
      <w:pPr>
        <w:pStyle w:val="BodyText"/>
      </w:pPr>
      <w:hyperlink r:id="rId27">
        <w:r>
          <w:rPr>
            <w:rStyle w:val="Hyperlink"/>
          </w:rPr>
          <w:t xml:space="preserve">https://www.archives.gov/milestone-documents/servicemens-readjustment-act</w:t>
        </w:r>
      </w:hyperlink>
    </w:p>
    <w:p>
      <w:pPr>
        <w:pStyle w:val="BodyText"/>
      </w:pPr>
      <w:hyperlink r:id="rId28">
        <w:r>
          <w:rPr>
            <w:rStyle w:val="Hyperlink"/>
          </w:rPr>
          <w:t xml:space="preserve">[8]</w:t>
        </w:r>
      </w:hyperlink>
      <w:r>
        <w:t xml:space="preserve"> </w:t>
      </w:r>
      <w:hyperlink r:id="rId28">
        <w:r>
          <w:rPr>
            <w:rStyle w:val="Hyperlink"/>
          </w:rPr>
          <w:t xml:space="preserve">[28]</w:t>
        </w:r>
      </w:hyperlink>
      <w:r>
        <w:t xml:space="preserve"> </w:t>
      </w:r>
      <w:hyperlink r:id="rId28">
        <w:r>
          <w:rPr>
            <w:rStyle w:val="Hyperlink"/>
          </w:rPr>
          <w:t xml:space="preserve">[29]</w:t>
        </w:r>
      </w:hyperlink>
      <w:r>
        <w:t xml:space="preserve"> </w:t>
      </w:r>
      <w:hyperlink r:id="rId28">
        <w:r>
          <w:rPr>
            <w:rStyle w:val="Hyperlink"/>
          </w:rPr>
          <w:t xml:space="preserve">[67]</w:t>
        </w:r>
      </w:hyperlink>
      <w:r>
        <w:t xml:space="preserve"> </w:t>
      </w:r>
      <w:r>
        <w:t xml:space="preserve">https://www.va.gov/opa/publications/celebrate/gi-bill.pdf</w:t>
      </w:r>
    </w:p>
    <w:p>
      <w:pPr>
        <w:pStyle w:val="BodyText"/>
      </w:pPr>
      <w:hyperlink r:id="rId28">
        <w:r>
          <w:rPr>
            <w:rStyle w:val="Hyperlink"/>
          </w:rPr>
          <w:t xml:space="preserve">https://www.va.gov/opa/publications/celebrate/gi-bill.pdf</w:t>
        </w:r>
      </w:hyperlink>
    </w:p>
    <w:p>
      <w:pPr>
        <w:pStyle w:val="BodyText"/>
      </w:pPr>
      <w:hyperlink r:id="rId29">
        <w:r>
          <w:rPr>
            <w:rStyle w:val="Hyperlink"/>
          </w:rPr>
          <w:t xml:space="preserve">[9]</w:t>
        </w:r>
      </w:hyperlink>
      <w:r>
        <w:t xml:space="preserve"> </w:t>
      </w:r>
      <w:hyperlink r:id="rId29">
        <w:r>
          <w:rPr>
            <w:rStyle w:val="Hyperlink"/>
          </w:rPr>
          <w:t xml:space="preserve">[23]</w:t>
        </w:r>
      </w:hyperlink>
      <w:r>
        <w:t xml:space="preserve"> </w:t>
      </w:r>
      <w:hyperlink r:id="rId29">
        <w:r>
          <w:rPr>
            <w:rStyle w:val="Hyperlink"/>
          </w:rPr>
          <w:t xml:space="preserve">[77]</w:t>
        </w:r>
      </w:hyperlink>
      <w:r>
        <w:t xml:space="preserve"> </w:t>
      </w:r>
      <w:hyperlink r:id="rId29">
        <w:r>
          <w:rPr>
            <w:rStyle w:val="Hyperlink"/>
          </w:rPr>
          <w:t xml:space="preserve">[90]</w:t>
        </w:r>
      </w:hyperlink>
      <w:r>
        <w:t xml:space="preserve"> </w:t>
      </w:r>
      <w:hyperlink r:id="rId29">
        <w:r>
          <w:rPr>
            <w:rStyle w:val="Hyperlink"/>
          </w:rPr>
          <w:t xml:space="preserve">[92]</w:t>
        </w:r>
      </w:hyperlink>
      <w:r>
        <w:t xml:space="preserve"> </w:t>
      </w:r>
      <w:hyperlink r:id="rId29">
        <w:r>
          <w:rPr>
            <w:rStyle w:val="Hyperlink"/>
          </w:rPr>
          <w:t xml:space="preserve">[94]</w:t>
        </w:r>
      </w:hyperlink>
      <w:r>
        <w:t xml:space="preserve"> </w:t>
      </w:r>
      <w:hyperlink r:id="rId29">
        <w:r>
          <w:rPr>
            <w:rStyle w:val="Hyperlink"/>
          </w:rPr>
          <w:t xml:space="preserve">[107]</w:t>
        </w:r>
      </w:hyperlink>
      <w:r>
        <w:t xml:space="preserve"> </w:t>
      </w:r>
      <w:r>
        <w:t xml:space="preserve">https://www.bls.gov/opub/mlr/2021/article/the-us-productivity-slowdown-the-economy-wide-and-industry-level-analysis.htm</w:t>
      </w:r>
    </w:p>
    <w:p>
      <w:pPr>
        <w:pStyle w:val="BodyText"/>
      </w:pPr>
      <w:hyperlink r:id="rId29">
        <w:r>
          <w:rPr>
            <w:rStyle w:val="Hyperlink"/>
          </w:rPr>
          <w:t xml:space="preserve">https://www.bls.gov/opub/mlr/2021/article/the-us-productivity-slowdown-the-economy-wide-and-industry-level-analysis.htm</w:t>
        </w:r>
      </w:hyperlink>
    </w:p>
    <w:p>
      <w:pPr>
        <w:pStyle w:val="BodyText"/>
      </w:pPr>
      <w:hyperlink r:id="rId30">
        <w:r>
          <w:rPr>
            <w:rStyle w:val="Hyperlink"/>
          </w:rPr>
          <w:t xml:space="preserve">[11]</w:t>
        </w:r>
      </w:hyperlink>
      <w:r>
        <w:t xml:space="preserve"> </w:t>
      </w:r>
      <w:hyperlink r:id="rId30">
        <w:r>
          <w:rPr>
            <w:rStyle w:val="Hyperlink"/>
          </w:rPr>
          <w:t xml:space="preserve">[49]</w:t>
        </w:r>
      </w:hyperlink>
      <w:r>
        <w:t xml:space="preserve"> </w:t>
      </w:r>
      <w:hyperlink r:id="rId30">
        <w:r>
          <w:rPr>
            <w:rStyle w:val="Hyperlink"/>
          </w:rPr>
          <w:t xml:space="preserve">[51]</w:t>
        </w:r>
      </w:hyperlink>
      <w:r>
        <w:t xml:space="preserve"> </w:t>
      </w:r>
      <w:r>
        <w:t xml:space="preserve">https://www.federalreservehistory.org/essays/oil-shock-of-1973-74</w:t>
      </w:r>
    </w:p>
    <w:p>
      <w:pPr>
        <w:pStyle w:val="BodyText"/>
      </w:pPr>
      <w:hyperlink r:id="rId30">
        <w:r>
          <w:rPr>
            <w:rStyle w:val="Hyperlink"/>
          </w:rPr>
          <w:t xml:space="preserve">https://www.federalreservehistory.org/essays/oil-shock-of-1973-74</w:t>
        </w:r>
      </w:hyperlink>
    </w:p>
    <w:p>
      <w:pPr>
        <w:pStyle w:val="BodyText"/>
      </w:pPr>
      <w:hyperlink r:id="rId31">
        <w:r>
          <w:rPr>
            <w:rStyle w:val="Hyperlink"/>
          </w:rPr>
          <w:t xml:space="preserve">[12]</w:t>
        </w:r>
      </w:hyperlink>
      <w:r>
        <w:t xml:space="preserve"> </w:t>
      </w:r>
      <w:hyperlink r:id="rId31">
        <w:r>
          <w:rPr>
            <w:rStyle w:val="Hyperlink"/>
          </w:rPr>
          <w:t xml:space="preserve">[32]</w:t>
        </w:r>
      </w:hyperlink>
      <w:r>
        <w:t xml:space="preserve"> </w:t>
      </w:r>
      <w:hyperlink r:id="rId31">
        <w:r>
          <w:rPr>
            <w:rStyle w:val="Hyperlink"/>
          </w:rPr>
          <w:t xml:space="preserve">[87]</w:t>
        </w:r>
      </w:hyperlink>
      <w:r>
        <w:t xml:space="preserve"> </w:t>
      </w:r>
      <w:r>
        <w:t xml:space="preserve">https://fred.stlouisfed.org/data/unrate</w:t>
      </w:r>
    </w:p>
    <w:p>
      <w:pPr>
        <w:pStyle w:val="BodyText"/>
      </w:pPr>
      <w:hyperlink r:id="rId31">
        <w:r>
          <w:rPr>
            <w:rStyle w:val="Hyperlink"/>
          </w:rPr>
          <w:t xml:space="preserve">https://fred.stlouisfed.org/data/unrate</w:t>
        </w:r>
      </w:hyperlink>
    </w:p>
    <w:p>
      <w:pPr>
        <w:pStyle w:val="BodyText"/>
      </w:pPr>
      <w:hyperlink r:id="rId33">
        <w:r>
          <w:rPr>
            <w:rStyle w:val="Hyperlink"/>
          </w:rPr>
          <w:t xml:space="preserve">[13]</w:t>
        </w:r>
      </w:hyperlink>
      <w:r>
        <w:t xml:space="preserve"> </w:t>
      </w:r>
      <w:hyperlink r:id="rId33">
        <w:r>
          <w:rPr>
            <w:rStyle w:val="Hyperlink"/>
          </w:rPr>
          <w:t xml:space="preserve">[19]</w:t>
        </w:r>
      </w:hyperlink>
      <w:r>
        <w:t xml:space="preserve"> </w:t>
      </w:r>
      <w:hyperlink r:id="rId33">
        <w:r>
          <w:rPr>
            <w:rStyle w:val="Hyperlink"/>
          </w:rPr>
          <w:t xml:space="preserve">[54]</w:t>
        </w:r>
      </w:hyperlink>
      <w:r>
        <w:t xml:space="preserve"> </w:t>
      </w:r>
      <w:r>
        <w:t xml:space="preserve">https://www.federalreservehistory.org/essays/bretton-woods-created</w:t>
      </w:r>
    </w:p>
    <w:p>
      <w:pPr>
        <w:pStyle w:val="BodyText"/>
      </w:pPr>
      <w:hyperlink r:id="rId33">
        <w:r>
          <w:rPr>
            <w:rStyle w:val="Hyperlink"/>
          </w:rPr>
          <w:t xml:space="preserve">https://www.federalreservehistory.org/essays/bretton-woods-created</w:t>
        </w:r>
      </w:hyperlink>
    </w:p>
    <w:p>
      <w:pPr>
        <w:pStyle w:val="BodyText"/>
      </w:pPr>
      <w:hyperlink r:id="rId37">
        <w:r>
          <w:rPr>
            <w:rStyle w:val="Hyperlink"/>
          </w:rPr>
          <w:t xml:space="preserve">[17]</w:t>
        </w:r>
      </w:hyperlink>
      <w:r>
        <w:t xml:space="preserve"> </w:t>
      </w:r>
      <w:hyperlink r:id="rId37">
        <w:r>
          <w:rPr>
            <w:rStyle w:val="Hyperlink"/>
          </w:rPr>
          <w:t xml:space="preserve">[58]</w:t>
        </w:r>
      </w:hyperlink>
      <w:r>
        <w:t xml:space="preserve"> </w:t>
      </w:r>
      <w:r>
        <w:t xml:space="preserve">https://www.senate.gov/artandhistory/history/minute/Federal_Highway_Act.htm</w:t>
      </w:r>
    </w:p>
    <w:p>
      <w:pPr>
        <w:pStyle w:val="BodyText"/>
      </w:pPr>
      <w:hyperlink r:id="rId37">
        <w:r>
          <w:rPr>
            <w:rStyle w:val="Hyperlink"/>
          </w:rPr>
          <w:t xml:space="preserve">https://www.senate.gov/artandhistory/history/minute/Federal_Highway_Act.htm</w:t>
        </w:r>
      </w:hyperlink>
    </w:p>
    <w:p>
      <w:pPr>
        <w:pStyle w:val="BodyText"/>
      </w:pPr>
      <w:hyperlink r:id="rId39">
        <w:r>
          <w:rPr>
            <w:rStyle w:val="Hyperlink"/>
          </w:rPr>
          <w:t xml:space="preserve">[21]</w:t>
        </w:r>
      </w:hyperlink>
      <w:r>
        <w:t xml:space="preserve"> </w:t>
      </w:r>
      <w:hyperlink r:id="rId39">
        <w:r>
          <w:rPr>
            <w:rStyle w:val="Hyperlink"/>
          </w:rPr>
          <w:t xml:space="preserve">[52]</w:t>
        </w:r>
      </w:hyperlink>
      <w:r>
        <w:t xml:space="preserve"> </w:t>
      </w:r>
      <w:hyperlink r:id="rId39">
        <w:r>
          <w:rPr>
            <w:rStyle w:val="Hyperlink"/>
          </w:rPr>
          <w:t xml:space="preserve">[53]</w:t>
        </w:r>
      </w:hyperlink>
      <w:r>
        <w:t xml:space="preserve"> </w:t>
      </w:r>
      <w:r>
        <w:t xml:space="preserve">https://www.irs.gov/statistics/soi-tax-stats-historical-table-23</w:t>
      </w:r>
    </w:p>
    <w:p>
      <w:pPr>
        <w:pStyle w:val="BodyText"/>
      </w:pPr>
      <w:hyperlink r:id="rId39">
        <w:r>
          <w:rPr>
            <w:rStyle w:val="Hyperlink"/>
          </w:rPr>
          <w:t xml:space="preserve">https://www.irs.gov/statistics/soi-tax-stats-historical-table-23</w:t>
        </w:r>
      </w:hyperlink>
    </w:p>
    <w:p>
      <w:pPr>
        <w:pStyle w:val="BodyText"/>
      </w:pPr>
      <w:hyperlink r:id="rId40">
        <w:r>
          <w:rPr>
            <w:rStyle w:val="Hyperlink"/>
          </w:rPr>
          <w:t xml:space="preserve">[22]</w:t>
        </w:r>
      </w:hyperlink>
      <w:r>
        <w:t xml:space="preserve"> </w:t>
      </w:r>
      <w:hyperlink r:id="rId40">
        <w:r>
          <w:rPr>
            <w:rStyle w:val="Hyperlink"/>
          </w:rPr>
          <w:t xml:space="preserve">[25]</w:t>
        </w:r>
      </w:hyperlink>
      <w:r>
        <w:t xml:space="preserve"> </w:t>
      </w:r>
      <w:hyperlink r:id="rId40">
        <w:r>
          <w:rPr>
            <w:rStyle w:val="Hyperlink"/>
          </w:rPr>
          <w:t xml:space="preserve">[96]</w:t>
        </w:r>
      </w:hyperlink>
      <w:r>
        <w:t xml:space="preserve"> </w:t>
      </w:r>
      <w:r>
        <w:t xml:space="preserve">https://history.state.gov/milestones/1945-1952/marshall-plan</w:t>
      </w:r>
    </w:p>
    <w:p>
      <w:pPr>
        <w:pStyle w:val="BodyText"/>
      </w:pPr>
      <w:hyperlink r:id="rId40">
        <w:r>
          <w:rPr>
            <w:rStyle w:val="Hyperlink"/>
          </w:rPr>
          <w:t xml:space="preserve">https://history.state.gov/milestones/1945-1952/marshall-plan</w:t>
        </w:r>
      </w:hyperlink>
    </w:p>
    <w:p>
      <w:pPr>
        <w:pStyle w:val="BodyText"/>
      </w:pPr>
      <w:hyperlink r:id="rId42">
        <w:r>
          <w:rPr>
            <w:rStyle w:val="Hyperlink"/>
          </w:rPr>
          <w:t xml:space="preserve">[24]</w:t>
        </w:r>
      </w:hyperlink>
      <w:r>
        <w:t xml:space="preserve"> </w:t>
      </w:r>
      <w:hyperlink r:id="rId42">
        <w:r>
          <w:rPr>
            <w:rStyle w:val="Hyperlink"/>
          </w:rPr>
          <w:t xml:space="preserve">[98]</w:t>
        </w:r>
      </w:hyperlink>
      <w:r>
        <w:t xml:space="preserve"> </w:t>
      </w:r>
      <w:r>
        <w:t xml:space="preserve">https://www.nber.org/system/files/chapters/c3912/c3912.pdf</w:t>
      </w:r>
    </w:p>
    <w:p>
      <w:pPr>
        <w:pStyle w:val="BodyText"/>
      </w:pPr>
      <w:hyperlink r:id="rId42">
        <w:r>
          <w:rPr>
            <w:rStyle w:val="Hyperlink"/>
          </w:rPr>
          <w:t xml:space="preserve">https://www.nber.org/system/files/chapters/c3912/c3912.pdf</w:t>
        </w:r>
      </w:hyperlink>
    </w:p>
    <w:p>
      <w:pPr>
        <w:pStyle w:val="BodyText"/>
      </w:pPr>
      <w:hyperlink r:id="rId45">
        <w:r>
          <w:rPr>
            <w:rStyle w:val="Hyperlink"/>
          </w:rPr>
          <w:t xml:space="preserve">[30]</w:t>
        </w:r>
      </w:hyperlink>
      <w:r>
        <w:t xml:space="preserve"> </w:t>
      </w:r>
      <w:hyperlink r:id="rId45">
        <w:r>
          <w:rPr>
            <w:rStyle w:val="Hyperlink"/>
          </w:rPr>
          <w:t xml:space="preserve">[75]</w:t>
        </w:r>
      </w:hyperlink>
      <w:r>
        <w:t xml:space="preserve"> </w:t>
      </w:r>
      <w:hyperlink r:id="rId45">
        <w:r>
          <w:rPr>
            <w:rStyle w:val="Hyperlink"/>
          </w:rPr>
          <w:t xml:space="preserve">[76]</w:t>
        </w:r>
      </w:hyperlink>
      <w:r>
        <w:t xml:space="preserve"> </w:t>
      </w:r>
      <w:hyperlink r:id="rId45">
        <w:r>
          <w:rPr>
            <w:rStyle w:val="Hyperlink"/>
          </w:rPr>
          <w:t xml:space="preserve">[86]</w:t>
        </w:r>
      </w:hyperlink>
      <w:r>
        <w:t xml:space="preserve"> </w:t>
      </w:r>
      <w:hyperlink r:id="rId45">
        <w:r>
          <w:rPr>
            <w:rStyle w:val="Hyperlink"/>
          </w:rPr>
          <w:t xml:space="preserve">[100]</w:t>
        </w:r>
      </w:hyperlink>
      <w:r>
        <w:t xml:space="preserve"> </w:t>
      </w:r>
      <w:r>
        <w:t xml:space="preserve">https://fred.stlouisfed.org/data/OPHNFB</w:t>
      </w:r>
    </w:p>
    <w:p>
      <w:pPr>
        <w:pStyle w:val="BodyText"/>
      </w:pPr>
      <w:hyperlink r:id="rId45">
        <w:r>
          <w:rPr>
            <w:rStyle w:val="Hyperlink"/>
          </w:rPr>
          <w:t xml:space="preserve">https://fred.stlouisfed.org/data/OPHNFB</w:t>
        </w:r>
      </w:hyperlink>
    </w:p>
    <w:p>
      <w:pPr>
        <w:pStyle w:val="BodyText"/>
      </w:pPr>
      <w:hyperlink r:id="rId46">
        <w:r>
          <w:rPr>
            <w:rStyle w:val="Hyperlink"/>
          </w:rPr>
          <w:t xml:space="preserve">[31]</w:t>
        </w:r>
      </w:hyperlink>
      <w:r>
        <w:t xml:space="preserve"> </w:t>
      </w:r>
      <w:hyperlink r:id="rId46">
        <w:r>
          <w:rPr>
            <w:rStyle w:val="Hyperlink"/>
          </w:rPr>
          <w:t xml:space="preserve">[37]</w:t>
        </w:r>
      </w:hyperlink>
      <w:r>
        <w:t xml:space="preserve"> </w:t>
      </w:r>
      <w:hyperlink r:id="rId46">
        <w:r>
          <w:rPr>
            <w:rStyle w:val="Hyperlink"/>
          </w:rPr>
          <w:t xml:space="preserve">[103]</w:t>
        </w:r>
      </w:hyperlink>
      <w:r>
        <w:t xml:space="preserve"> </w:t>
      </w:r>
      <w:r>
        <w:t xml:space="preserve">https://www.nlrb.gov/guidance/key-reference-materials/national-labor-relations-act</w:t>
      </w:r>
    </w:p>
    <w:p>
      <w:pPr>
        <w:pStyle w:val="BodyText"/>
      </w:pPr>
      <w:hyperlink r:id="rId46">
        <w:r>
          <w:rPr>
            <w:rStyle w:val="Hyperlink"/>
          </w:rPr>
          <w:t xml:space="preserve">https://www.nlrb.gov/guidance/key-reference-materials/national-labor-relations-act</w:t>
        </w:r>
      </w:hyperlink>
    </w:p>
    <w:p>
      <w:pPr>
        <w:pStyle w:val="BodyText"/>
      </w:pPr>
      <w:hyperlink r:id="rId47">
        <w:r>
          <w:rPr>
            <w:rStyle w:val="Hyperlink"/>
          </w:rPr>
          <w:t xml:space="preserve">[33]</w:t>
        </w:r>
      </w:hyperlink>
      <w:r>
        <w:t xml:space="preserve"> </w:t>
      </w:r>
      <w:r>
        <w:t xml:space="preserve">https://www.fdic.gov/90years</w:t>
      </w:r>
    </w:p>
    <w:p>
      <w:pPr>
        <w:pStyle w:val="BodyText"/>
      </w:pPr>
      <w:hyperlink r:id="rId47">
        <w:r>
          <w:rPr>
            <w:rStyle w:val="Hyperlink"/>
          </w:rPr>
          <w:t xml:space="preserve">https://www.fdic.gov/90years</w:t>
        </w:r>
      </w:hyperlink>
    </w:p>
    <w:p>
      <w:pPr>
        <w:pStyle w:val="BodyText"/>
      </w:pPr>
      <w:hyperlink r:id="rId48">
        <w:r>
          <w:rPr>
            <w:rStyle w:val="Hyperlink"/>
          </w:rPr>
          <w:t xml:space="preserve">[34]</w:t>
        </w:r>
      </w:hyperlink>
      <w:r>
        <w:t xml:space="preserve"> </w:t>
      </w:r>
      <w:hyperlink r:id="rId48">
        <w:r>
          <w:rPr>
            <w:rStyle w:val="Hyperlink"/>
          </w:rPr>
          <w:t xml:space="preserve">[41]</w:t>
        </w:r>
      </w:hyperlink>
      <w:r>
        <w:t xml:space="preserve"> </w:t>
      </w:r>
      <w:r>
        <w:t xml:space="preserve">https://www.hud.gov/aboutus/fhahistory</w:t>
      </w:r>
    </w:p>
    <w:p>
      <w:pPr>
        <w:pStyle w:val="BodyText"/>
      </w:pPr>
      <w:hyperlink r:id="rId48">
        <w:r>
          <w:rPr>
            <w:rStyle w:val="Hyperlink"/>
          </w:rPr>
          <w:t xml:space="preserve">https://www.hud.gov/aboutus/fhahistory</w:t>
        </w:r>
      </w:hyperlink>
    </w:p>
    <w:p>
      <w:pPr>
        <w:pStyle w:val="BodyText"/>
      </w:pPr>
      <w:hyperlink r:id="rId49">
        <w:r>
          <w:rPr>
            <w:rStyle w:val="Hyperlink"/>
          </w:rPr>
          <w:t xml:space="preserve">[35]</w:t>
        </w:r>
      </w:hyperlink>
      <w:r>
        <w:t xml:space="preserve"> </w:t>
      </w:r>
      <w:r>
        <w:t xml:space="preserve">https://www.sec.gov/rules-regulations/statutes-regulations</w:t>
      </w:r>
    </w:p>
    <w:p>
      <w:pPr>
        <w:pStyle w:val="BodyText"/>
      </w:pPr>
      <w:hyperlink r:id="rId49">
        <w:r>
          <w:rPr>
            <w:rStyle w:val="Hyperlink"/>
          </w:rPr>
          <w:t xml:space="preserve">https://www.sec.gov/rules-regulations/statutes-regulations</w:t>
        </w:r>
      </w:hyperlink>
    </w:p>
    <w:p>
      <w:pPr>
        <w:pStyle w:val="BodyText"/>
      </w:pPr>
      <w:hyperlink r:id="rId50">
        <w:r>
          <w:rPr>
            <w:rStyle w:val="Hyperlink"/>
          </w:rPr>
          <w:t xml:space="preserve">[36]</w:t>
        </w:r>
      </w:hyperlink>
      <w:r>
        <w:t xml:space="preserve"> </w:t>
      </w:r>
      <w:r>
        <w:t xml:space="preserve">https://www.ssa.gov/history/35act.html</w:t>
      </w:r>
    </w:p>
    <w:p>
      <w:pPr>
        <w:pStyle w:val="BodyText"/>
      </w:pPr>
      <w:hyperlink r:id="rId50">
        <w:r>
          <w:rPr>
            <w:rStyle w:val="Hyperlink"/>
          </w:rPr>
          <w:t xml:space="preserve">https://www.ssa.gov/history/35act.html</w:t>
        </w:r>
      </w:hyperlink>
    </w:p>
    <w:p>
      <w:pPr>
        <w:pStyle w:val="BodyText"/>
      </w:pPr>
      <w:hyperlink r:id="rId52">
        <w:r>
          <w:rPr>
            <w:rStyle w:val="Hyperlink"/>
          </w:rPr>
          <w:t xml:space="preserve">[38]</w:t>
        </w:r>
      </w:hyperlink>
      <w:r>
        <w:t xml:space="preserve"> </w:t>
      </w:r>
      <w:hyperlink r:id="rId52">
        <w:r>
          <w:rPr>
            <w:rStyle w:val="Hyperlink"/>
          </w:rPr>
          <w:t xml:space="preserve">[39]</w:t>
        </w:r>
      </w:hyperlink>
      <w:r>
        <w:t xml:space="preserve"> </w:t>
      </w:r>
      <w:hyperlink r:id="rId52">
        <w:r>
          <w:rPr>
            <w:rStyle w:val="Hyperlink"/>
          </w:rPr>
          <w:t xml:space="preserve">[45]</w:t>
        </w:r>
      </w:hyperlink>
      <w:r>
        <w:t xml:space="preserve"> </w:t>
      </w:r>
      <w:hyperlink r:id="rId52">
        <w:r>
          <w:rPr>
            <w:rStyle w:val="Hyperlink"/>
          </w:rPr>
          <w:t xml:space="preserve">[63]</w:t>
        </w:r>
      </w:hyperlink>
      <w:r>
        <w:t xml:space="preserve"> </w:t>
      </w:r>
      <w:hyperlink r:id="rId52">
        <w:r>
          <w:rPr>
            <w:rStyle w:val="Hyperlink"/>
          </w:rPr>
          <w:t xml:space="preserve">[68]</w:t>
        </w:r>
      </w:hyperlink>
      <w:r>
        <w:t xml:space="preserve"> </w:t>
      </w:r>
      <w:r>
        <w:t xml:space="preserve">https://fraser.stlouisfed.org/title/handbook-labor-statistics-4025/handbook-labor-statistics-1975-reference-edition-499170/fulltext</w:t>
      </w:r>
    </w:p>
    <w:p>
      <w:pPr>
        <w:pStyle w:val="BodyText"/>
      </w:pPr>
      <w:hyperlink r:id="rId52">
        <w:r>
          <w:rPr>
            <w:rStyle w:val="Hyperlink"/>
          </w:rPr>
          <w:t xml:space="preserve">https://fraser.stlouisfed.org/title/handbook-labor-statistics-4025/handbook-labor-statistics-1975-reference-edition-499170/fulltext</w:t>
        </w:r>
      </w:hyperlink>
    </w:p>
    <w:p>
      <w:pPr>
        <w:pStyle w:val="BodyText"/>
      </w:pPr>
      <w:hyperlink r:id="rId54">
        <w:r>
          <w:rPr>
            <w:rStyle w:val="Hyperlink"/>
          </w:rPr>
          <w:t xml:space="preserve">[42]</w:t>
        </w:r>
      </w:hyperlink>
      <w:r>
        <w:t xml:space="preserve"> </w:t>
      </w:r>
      <w:hyperlink r:id="rId54">
        <w:r>
          <w:rPr>
            <w:rStyle w:val="Hyperlink"/>
          </w:rPr>
          <w:t xml:space="preserve">[84]</w:t>
        </w:r>
      </w:hyperlink>
      <w:r>
        <w:t xml:space="preserve"> </w:t>
      </w:r>
      <w:hyperlink r:id="rId54">
        <w:r>
          <w:rPr>
            <w:rStyle w:val="Hyperlink"/>
          </w:rPr>
          <w:t xml:space="preserve">[85]</w:t>
        </w:r>
      </w:hyperlink>
      <w:r>
        <w:t xml:space="preserve"> </w:t>
      </w:r>
      <w:r>
        <w:t xml:space="preserve">https://www.govinfo.gov/content/pkg/GPO-CPRT-108WPRT108-6/pdf/GPO-CPRT-108WPRT108-6-3-8.pdf</w:t>
      </w:r>
    </w:p>
    <w:p>
      <w:pPr>
        <w:pStyle w:val="BodyText"/>
      </w:pPr>
      <w:hyperlink r:id="rId54">
        <w:r>
          <w:rPr>
            <w:rStyle w:val="Hyperlink"/>
          </w:rPr>
          <w:t xml:space="preserve">https://www.govinfo.gov/content/pkg/GPO-CPRT-108WPRT108-6/pdf/GPO-CPRT-108WPRT108-6-3-8.pdf</w:t>
        </w:r>
      </w:hyperlink>
    </w:p>
    <w:p>
      <w:pPr>
        <w:pStyle w:val="BodyText"/>
      </w:pPr>
      <w:hyperlink r:id="rId55">
        <w:r>
          <w:rPr>
            <w:rStyle w:val="Hyperlink"/>
          </w:rPr>
          <w:t xml:space="preserve">[43]</w:t>
        </w:r>
      </w:hyperlink>
      <w:r>
        <w:t xml:space="preserve"> </w:t>
      </w:r>
      <w:hyperlink r:id="rId55">
        <w:r>
          <w:rPr>
            <w:rStyle w:val="Hyperlink"/>
          </w:rPr>
          <w:t xml:space="preserve">[44]</w:t>
        </w:r>
      </w:hyperlink>
      <w:r>
        <w:t xml:space="preserve"> </w:t>
      </w:r>
      <w:hyperlink r:id="rId55">
        <w:r>
          <w:rPr>
            <w:rStyle w:val="Hyperlink"/>
          </w:rPr>
          <w:t xml:space="preserve">[57]</w:t>
        </w:r>
      </w:hyperlink>
      <w:r>
        <w:t xml:space="preserve"> </w:t>
      </w:r>
      <w:hyperlink r:id="rId55">
        <w:r>
          <w:rPr>
            <w:rStyle w:val="Hyperlink"/>
          </w:rPr>
          <w:t xml:space="preserve">[59]</w:t>
        </w:r>
      </w:hyperlink>
      <w:r>
        <w:t xml:space="preserve"> </w:t>
      </w:r>
      <w:r>
        <w:t xml:space="preserve">https://highways.dot.gov/highway-history/interstate-system/50th-anniversary/history-interstate-highway-system</w:t>
      </w:r>
    </w:p>
    <w:p>
      <w:pPr>
        <w:pStyle w:val="BodyText"/>
      </w:pPr>
      <w:hyperlink r:id="rId55">
        <w:r>
          <w:rPr>
            <w:rStyle w:val="Hyperlink"/>
          </w:rPr>
          <w:t xml:space="preserve">https://highways.dot.gov/highway-history/interstate-system/50th-anniversary/history-interstate-highway-system</w:t>
        </w:r>
      </w:hyperlink>
    </w:p>
    <w:p>
      <w:pPr>
        <w:pStyle w:val="BodyText"/>
      </w:pPr>
      <w:hyperlink r:id="rId57">
        <w:r>
          <w:rPr>
            <w:rStyle w:val="Hyperlink"/>
          </w:rPr>
          <w:t xml:space="preserve">[47]</w:t>
        </w:r>
      </w:hyperlink>
      <w:r>
        <w:t xml:space="preserve"> </w:t>
      </w:r>
      <w:hyperlink r:id="rId57">
        <w:r>
          <w:rPr>
            <w:rStyle w:val="Hyperlink"/>
          </w:rPr>
          <w:t xml:space="preserve">[48]</w:t>
        </w:r>
      </w:hyperlink>
      <w:r>
        <w:t xml:space="preserve"> </w:t>
      </w:r>
      <w:r>
        <w:t xml:space="preserve">https://www.chicagofed.org/-/media/publications/working-papers/2017/wp2017-12-pdf.pdf?sc_lang=en</w:t>
      </w:r>
    </w:p>
    <w:p>
      <w:pPr>
        <w:pStyle w:val="BodyText"/>
      </w:pPr>
      <w:hyperlink r:id="rId57">
        <w:r>
          <w:rPr>
            <w:rStyle w:val="Hyperlink"/>
          </w:rPr>
          <w:t xml:space="preserve">https://www.chicagofed.org/-/media/publications/working-papers/2017/wp2017-12-pdf.pdf?sc_lang=en</w:t>
        </w:r>
      </w:hyperlink>
    </w:p>
    <w:p>
      <w:pPr>
        <w:pStyle w:val="BodyText"/>
      </w:pPr>
      <w:hyperlink r:id="rId59">
        <w:r>
          <w:rPr>
            <w:rStyle w:val="Hyperlink"/>
          </w:rPr>
          <w:t xml:space="preserve">[50]</w:t>
        </w:r>
      </w:hyperlink>
      <w:r>
        <w:t xml:space="preserve"> </w:t>
      </w:r>
      <w:r>
        <w:t xml:space="preserve">https://www.eia.gov/dnav/pet/hist/LeafHandler.ashx?f=a&amp;n=pet&amp;s=f000000__3</w:t>
      </w:r>
    </w:p>
    <w:p>
      <w:pPr>
        <w:pStyle w:val="BodyText"/>
      </w:pPr>
      <w:hyperlink r:id="rId59">
        <w:r>
          <w:rPr>
            <w:rStyle w:val="Hyperlink"/>
          </w:rPr>
          <w:t xml:space="preserve">https://www.eia.gov/dnav/pet/hist/LeafHandler.ashx?f=a&amp;n=pet&amp;s=f000000__3</w:t>
        </w:r>
      </w:hyperlink>
    </w:p>
    <w:p>
      <w:pPr>
        <w:pStyle w:val="BodyText"/>
      </w:pPr>
      <w:hyperlink r:id="rId63">
        <w:r>
          <w:rPr>
            <w:rStyle w:val="Hyperlink"/>
          </w:rPr>
          <w:t xml:space="preserve">[55]</w:t>
        </w:r>
      </w:hyperlink>
      <w:r>
        <w:t xml:space="preserve"> </w:t>
      </w:r>
      <w:hyperlink r:id="rId63">
        <w:r>
          <w:rPr>
            <w:rStyle w:val="Hyperlink"/>
          </w:rPr>
          <w:t xml:space="preserve">[56]</w:t>
        </w:r>
      </w:hyperlink>
      <w:r>
        <w:t xml:space="preserve"> </w:t>
      </w:r>
      <w:r>
        <w:t xml:space="preserve">https://smithsonianassociates.org/ticketing/programs/levittown</w:t>
      </w:r>
    </w:p>
    <w:p>
      <w:pPr>
        <w:pStyle w:val="BodyText"/>
      </w:pPr>
      <w:hyperlink r:id="rId63">
        <w:r>
          <w:rPr>
            <w:rStyle w:val="Hyperlink"/>
          </w:rPr>
          <w:t xml:space="preserve">https://smithsonianassociates.org/ticketing/programs/levittown</w:t>
        </w:r>
      </w:hyperlink>
    </w:p>
    <w:p>
      <w:pPr>
        <w:pStyle w:val="BodyText"/>
      </w:pPr>
      <w:hyperlink r:id="rId66">
        <w:r>
          <w:rPr>
            <w:rStyle w:val="Hyperlink"/>
          </w:rPr>
          <w:t xml:space="preserve">[60]</w:t>
        </w:r>
      </w:hyperlink>
      <w:r>
        <w:t xml:space="preserve"> </w:t>
      </w:r>
      <w:hyperlink r:id="rId66">
        <w:r>
          <w:rPr>
            <w:rStyle w:val="Hyperlink"/>
          </w:rPr>
          <w:t xml:space="preserve">[61]</w:t>
        </w:r>
      </w:hyperlink>
      <w:r>
        <w:t xml:space="preserve"> </w:t>
      </w:r>
      <w:r>
        <w:t xml:space="preserve">https://motorcities.org/making-tracks/1950/reuther-s-treaty-of-detroit</w:t>
      </w:r>
    </w:p>
    <w:p>
      <w:pPr>
        <w:pStyle w:val="BodyText"/>
      </w:pPr>
      <w:hyperlink r:id="rId66">
        <w:r>
          <w:rPr>
            <w:rStyle w:val="Hyperlink"/>
          </w:rPr>
          <w:t xml:space="preserve">https://motorcities.org/making-tracks/1950/reuther-s-treaty-of-detroit</w:t>
        </w:r>
      </w:hyperlink>
    </w:p>
    <w:p>
      <w:pPr>
        <w:pStyle w:val="BodyText"/>
      </w:pPr>
      <w:hyperlink r:id="rId67">
        <w:r>
          <w:rPr>
            <w:rStyle w:val="Hyperlink"/>
          </w:rPr>
          <w:t xml:space="preserve">[62]</w:t>
        </w:r>
      </w:hyperlink>
      <w:r>
        <w:t xml:space="preserve"> </w:t>
      </w:r>
      <w:hyperlink r:id="rId67">
        <w:r>
          <w:rPr>
            <w:rStyle w:val="Hyperlink"/>
          </w:rPr>
          <w:t xml:space="preserve">[104]</w:t>
        </w:r>
      </w:hyperlink>
      <w:r>
        <w:t xml:space="preserve"> </w:t>
      </w:r>
      <w:hyperlink r:id="rId67">
        <w:r>
          <w:rPr>
            <w:rStyle w:val="Hyperlink"/>
          </w:rPr>
          <w:t xml:space="preserve">[108]</w:t>
        </w:r>
      </w:hyperlink>
      <w:r>
        <w:t xml:space="preserve"> </w:t>
      </w:r>
      <w:r>
        <w:t xml:space="preserve">https://eml.berkeley.edu/~saez/pikettyqje.pdf</w:t>
      </w:r>
    </w:p>
    <w:p>
      <w:pPr>
        <w:pStyle w:val="BodyText"/>
      </w:pPr>
      <w:hyperlink r:id="rId67">
        <w:r>
          <w:rPr>
            <w:rStyle w:val="Hyperlink"/>
          </w:rPr>
          <w:t xml:space="preserve">https://eml.berkeley.edu/~saez/pikettyqje.pdf</w:t>
        </w:r>
      </w:hyperlink>
    </w:p>
    <w:p>
      <w:pPr>
        <w:pStyle w:val="BodyText"/>
      </w:pPr>
      <w:hyperlink r:id="rId69">
        <w:r>
          <w:rPr>
            <w:rStyle w:val="Hyperlink"/>
          </w:rPr>
          <w:t xml:space="preserve">[64]</w:t>
        </w:r>
      </w:hyperlink>
      <w:r>
        <w:t xml:space="preserve"> </w:t>
      </w:r>
      <w:hyperlink r:id="rId69">
        <w:r>
          <w:rPr>
            <w:rStyle w:val="Hyperlink"/>
          </w:rPr>
          <w:t xml:space="preserve">[102]</w:t>
        </w:r>
      </w:hyperlink>
      <w:r>
        <w:t xml:space="preserve"> </w:t>
      </w:r>
      <w:hyperlink r:id="rId69">
        <w:r>
          <w:rPr>
            <w:rStyle w:val="Hyperlink"/>
          </w:rPr>
          <w:t xml:space="preserve">[105]</w:t>
        </w:r>
      </w:hyperlink>
      <w:r>
        <w:t xml:space="preserve"> </w:t>
      </w:r>
      <w:r>
        <w:t xml:space="preserve">https://www.nber.org/system/files/working_papers/w3817/w3817.pdf</w:t>
      </w:r>
    </w:p>
    <w:p>
      <w:pPr>
        <w:pStyle w:val="BodyText"/>
      </w:pPr>
      <w:hyperlink r:id="rId69">
        <w:r>
          <w:rPr>
            <w:rStyle w:val="Hyperlink"/>
          </w:rPr>
          <w:t xml:space="preserve">https://www.nber.org/system/files/working_papers/w3817/w3817.pdf</w:t>
        </w:r>
      </w:hyperlink>
    </w:p>
    <w:p>
      <w:pPr>
        <w:pStyle w:val="BodyText"/>
      </w:pPr>
      <w:hyperlink r:id="rId70">
        <w:r>
          <w:rPr>
            <w:rStyle w:val="Hyperlink"/>
          </w:rPr>
          <w:t xml:space="preserve">[65]</w:t>
        </w:r>
      </w:hyperlink>
      <w:r>
        <w:t xml:space="preserve"> </w:t>
      </w:r>
      <w:r>
        <w:t xml:space="preserve">https://www.boeing.com/content/dam/boeing/v2/company/history/pdf/Boeing-Chronology.pdf</w:t>
      </w:r>
    </w:p>
    <w:p>
      <w:pPr>
        <w:pStyle w:val="BodyText"/>
      </w:pPr>
      <w:hyperlink r:id="rId70">
        <w:r>
          <w:rPr>
            <w:rStyle w:val="Hyperlink"/>
          </w:rPr>
          <w:t xml:space="preserve">https://www.boeing.com/content/dam/boeing/v2/company/history/pdf/Boeing-Chronology.pdf</w:t>
        </w:r>
      </w:hyperlink>
    </w:p>
    <w:p>
      <w:pPr>
        <w:pStyle w:val="BodyText"/>
      </w:pPr>
      <w:hyperlink r:id="rId72">
        <w:r>
          <w:rPr>
            <w:rStyle w:val="Hyperlink"/>
          </w:rPr>
          <w:t xml:space="preserve">[66]</w:t>
        </w:r>
      </w:hyperlink>
      <w:r>
        <w:t xml:space="preserve"> </w:t>
      </w:r>
      <w:r>
        <w:t xml:space="preserve">https://nces.ed.gov/programs/digest/d19/tables/dt19_303.10.asp</w:t>
      </w:r>
    </w:p>
    <w:p>
      <w:pPr>
        <w:pStyle w:val="BodyText"/>
      </w:pPr>
      <w:hyperlink r:id="rId72">
        <w:r>
          <w:rPr>
            <w:rStyle w:val="Hyperlink"/>
          </w:rPr>
          <w:t xml:space="preserve">https://nces.ed.gov/programs/digest/d19/tables/dt19_303.10.asp</w:t>
        </w:r>
      </w:hyperlink>
    </w:p>
    <w:p>
      <w:pPr>
        <w:pStyle w:val="BodyText"/>
      </w:pPr>
      <w:hyperlink r:id="rId74">
        <w:r>
          <w:rPr>
            <w:rStyle w:val="Hyperlink"/>
          </w:rPr>
          <w:t xml:space="preserve">[69]</w:t>
        </w:r>
      </w:hyperlink>
      <w:r>
        <w:t xml:space="preserve"> </w:t>
      </w:r>
      <w:hyperlink r:id="rId74">
        <w:r>
          <w:rPr>
            <w:rStyle w:val="Hyperlink"/>
          </w:rPr>
          <w:t xml:space="preserve">[93]</w:t>
        </w:r>
      </w:hyperlink>
      <w:r>
        <w:t xml:space="preserve"> </w:t>
      </w:r>
      <w:r>
        <w:t xml:space="preserve">https://www.census.gov/content/dam/Census/library/publications/2014/demo/p25-1141.pdf</w:t>
      </w:r>
    </w:p>
    <w:p>
      <w:pPr>
        <w:pStyle w:val="BodyText"/>
      </w:pPr>
      <w:hyperlink r:id="rId74">
        <w:r>
          <w:rPr>
            <w:rStyle w:val="Hyperlink"/>
          </w:rPr>
          <w:t xml:space="preserve">https://www.census.gov/content/dam/Census/library/publications/2014/demo/p25-1141.pdf</w:t>
        </w:r>
      </w:hyperlink>
    </w:p>
    <w:p>
      <w:pPr>
        <w:pStyle w:val="BodyText"/>
      </w:pPr>
      <w:hyperlink r:id="rId77">
        <w:r>
          <w:rPr>
            <w:rStyle w:val="Hyperlink"/>
          </w:rPr>
          <w:t xml:space="preserve">[70]</w:t>
        </w:r>
      </w:hyperlink>
      <w:r>
        <w:t xml:space="preserve"> </w:t>
      </w:r>
      <w:hyperlink r:id="rId77">
        <w:r>
          <w:rPr>
            <w:rStyle w:val="Hyperlink"/>
          </w:rPr>
          <w:t xml:space="preserve">[72]</w:t>
        </w:r>
      </w:hyperlink>
      <w:r>
        <w:t xml:space="preserve"> </w:t>
      </w:r>
      <w:hyperlink r:id="rId77">
        <w:r>
          <w:rPr>
            <w:rStyle w:val="Hyperlink"/>
          </w:rPr>
          <w:t xml:space="preserve">[73]</w:t>
        </w:r>
      </w:hyperlink>
      <w:r>
        <w:t xml:space="preserve"> </w:t>
      </w:r>
      <w:hyperlink r:id="rId77">
        <w:r>
          <w:rPr>
            <w:rStyle w:val="Hyperlink"/>
          </w:rPr>
          <w:t xml:space="preserve">[74]</w:t>
        </w:r>
      </w:hyperlink>
      <w:r>
        <w:t xml:space="preserve"> </w:t>
      </w:r>
      <w:hyperlink r:id="rId77">
        <w:r>
          <w:rPr>
            <w:rStyle w:val="Hyperlink"/>
          </w:rPr>
          <w:t xml:space="preserve">[99]</w:t>
        </w:r>
      </w:hyperlink>
      <w:r>
        <w:t xml:space="preserve"> </w:t>
      </w:r>
      <w:r>
        <w:t xml:space="preserve">https://fred.stlouisfed.org/data/A939RX0Q048SBEA</w:t>
      </w:r>
    </w:p>
    <w:p>
      <w:pPr>
        <w:pStyle w:val="BodyText"/>
      </w:pPr>
      <w:hyperlink r:id="rId77">
        <w:r>
          <w:rPr>
            <w:rStyle w:val="Hyperlink"/>
          </w:rPr>
          <w:t xml:space="preserve">https://fred.stlouisfed.org/data/A939RX0Q048SBEA</w:t>
        </w:r>
      </w:hyperlink>
    </w:p>
    <w:p>
      <w:pPr>
        <w:pStyle w:val="BodyText"/>
      </w:pPr>
      <w:hyperlink r:id="rId79">
        <w:r>
          <w:rPr>
            <w:rStyle w:val="Hyperlink"/>
          </w:rPr>
          <w:t xml:space="preserve">[78]</w:t>
        </w:r>
      </w:hyperlink>
      <w:r>
        <w:t xml:space="preserve"> </w:t>
      </w:r>
      <w:hyperlink r:id="rId79">
        <w:r>
          <w:rPr>
            <w:rStyle w:val="Hyperlink"/>
          </w:rPr>
          <w:t xml:space="preserve">[79]</w:t>
        </w:r>
      </w:hyperlink>
      <w:r>
        <w:t xml:space="preserve"> </w:t>
      </w:r>
      <w:hyperlink r:id="rId79">
        <w:r>
          <w:rPr>
            <w:rStyle w:val="Hyperlink"/>
          </w:rPr>
          <w:t xml:space="preserve">[80]</w:t>
        </w:r>
      </w:hyperlink>
      <w:r>
        <w:t xml:space="preserve"> </w:t>
      </w:r>
      <w:r>
        <w:t xml:space="preserve">https://fred.stlouisfed.org/data/COMPRNFB</w:t>
      </w:r>
    </w:p>
    <w:p>
      <w:pPr>
        <w:pStyle w:val="BodyText"/>
      </w:pPr>
      <w:hyperlink r:id="rId79">
        <w:r>
          <w:rPr>
            <w:rStyle w:val="Hyperlink"/>
          </w:rPr>
          <w:t xml:space="preserve">https://fred.stlouisfed.org/data/COMPRNFB</w:t>
        </w:r>
      </w:hyperlink>
    </w:p>
    <w:p>
      <w:pPr>
        <w:pStyle w:val="BodyText"/>
      </w:pPr>
      <w:hyperlink r:id="rId80">
        <w:r>
          <w:rPr>
            <w:rStyle w:val="Hyperlink"/>
          </w:rPr>
          <w:t xml:space="preserve">[83]</w:t>
        </w:r>
      </w:hyperlink>
      <w:r>
        <w:t xml:space="preserve"> </w:t>
      </w:r>
      <w:r>
        <w:t xml:space="preserve">https://ftp.cdc.gov/pub/health_statistics/nchs/publications/Provisional/nvsr58_19/Table08.pdf</w:t>
      </w:r>
    </w:p>
    <w:p>
      <w:pPr>
        <w:pStyle w:val="BodyText"/>
      </w:pPr>
      <w:hyperlink r:id="rId80">
        <w:r>
          <w:rPr>
            <w:rStyle w:val="Hyperlink"/>
          </w:rPr>
          <w:t xml:space="preserve">https://ftp.cdc.gov/pub/health_statistics/nchs/publications/Provisional/nvsr58_19/Table08.pdf</w:t>
        </w:r>
      </w:hyperlink>
    </w:p>
    <w:p>
      <w:pPr>
        <w:pStyle w:val="BodyText"/>
      </w:pPr>
      <w:hyperlink r:id="rId94">
        <w:r>
          <w:rPr>
            <w:rStyle w:val="Hyperlink"/>
          </w:rPr>
          <w:t xml:space="preserve">[97]</w:t>
        </w:r>
      </w:hyperlink>
      <w:r>
        <w:t xml:space="preserve"> </w:t>
      </w:r>
      <w:r>
        <w:t xml:space="preserve">https://www.researchgate.net/publication/324546656_THE_IMPACT_OF_WORLD_WAR_II_ON_THE_GROWTH_OF_US_POTENTIAL_OUTPUT</w:t>
      </w:r>
    </w:p>
    <w:p>
      <w:pPr>
        <w:pStyle w:val="BodyText"/>
      </w:pPr>
      <w:hyperlink r:id="rId94">
        <w:r>
          <w:rPr>
            <w:rStyle w:val="Hyperlink"/>
          </w:rPr>
          <w:t xml:space="preserve">https://www.researchgate.net/publication/324546656_THE_IMPACT_OF_WORLD_WAR_II_ON_THE_GROWTH_OF_US_POTENTIAL_OUTPUT</w:t>
        </w:r>
      </w:hyperlink>
    </w:p>
    <w:p>
      <w:pPr>
        <w:pStyle w:val="BodyText"/>
      </w:pPr>
      <w:hyperlink r:id="rId96">
        <w:r>
          <w:rPr>
            <w:rStyle w:val="Hyperlink"/>
          </w:rPr>
          <w:t xml:space="preserve">[101]</w:t>
        </w:r>
      </w:hyperlink>
      <w:r>
        <w:t xml:space="preserve"> </w:t>
      </w:r>
      <w:r>
        <w:t xml:space="preserve">https://fred.stlouisfed.org/data/cpiaucsl</w:t>
      </w:r>
    </w:p>
    <w:p>
      <w:pPr>
        <w:pStyle w:val="BodyText"/>
      </w:pPr>
      <w:hyperlink r:id="rId96">
        <w:r>
          <w:rPr>
            <w:rStyle w:val="Hyperlink"/>
          </w:rPr>
          <w:t xml:space="preserve">https://fred.stlouisfed.org/data/cpiaucsl</w:t>
        </w:r>
      </w:hyperlink>
    </w:p>
    <w:p>
      <w:pPr>
        <w:pStyle w:val="BodyText"/>
      </w:pPr>
      <w:hyperlink r:id="rId98">
        <w:r>
          <w:rPr>
            <w:rStyle w:val="Hyperlink"/>
          </w:rPr>
          <w:t xml:space="preserve">[106]</w:t>
        </w:r>
      </w:hyperlink>
      <w:r>
        <w:t xml:space="preserve"> </w:t>
      </w:r>
      <w:r>
        <w:t xml:space="preserve">https://www.nber.org/system/files/working_papers/w12984/w12984.pdf</w:t>
      </w:r>
    </w:p>
    <w:p>
      <w:pPr>
        <w:pStyle w:val="BodyText"/>
      </w:pPr>
      <w:hyperlink r:id="rId98">
        <w:r>
          <w:rPr>
            <w:rStyle w:val="Hyperlink"/>
          </w:rPr>
          <w:t xml:space="preserve">https://www.nber.org/system/files/working_papers/w12984/w12984.pdf</w:t>
        </w:r>
      </w:hyperlink>
    </w:p>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https://eml.berkeley.edu/~saez/pikettyqje.pdf" TargetMode="External" /><Relationship Type="http://schemas.openxmlformats.org/officeDocument/2006/relationships/hyperlink" Id="rId52" Target="https://fraser.stlouisfed.org/title/handbook-labor-statistics-4025/handbook-labor-statistics-1975-reference-edition-499170/fulltext" TargetMode="External" /><Relationship Type="http://schemas.openxmlformats.org/officeDocument/2006/relationships/hyperlink" Id="rId77" Target="https://fred.stlouisfed.org/data/A939RX0Q048SBEA" TargetMode="External" /><Relationship Type="http://schemas.openxmlformats.org/officeDocument/2006/relationships/hyperlink" Id="rId79" Target="https://fred.stlouisfed.org/data/COMPRNFB" TargetMode="External" /><Relationship Type="http://schemas.openxmlformats.org/officeDocument/2006/relationships/hyperlink" Id="rId45" Target="https://fred.stlouisfed.org/data/OPHNFB" TargetMode="External" /><Relationship Type="http://schemas.openxmlformats.org/officeDocument/2006/relationships/hyperlink" Id="rId96" Target="https://fred.stlouisfed.org/data/cpiaucsl" TargetMode="External" /><Relationship Type="http://schemas.openxmlformats.org/officeDocument/2006/relationships/hyperlink" Id="rId31" Target="https://fred.stlouisfed.org/data/unrate" TargetMode="External" /><Relationship Type="http://schemas.openxmlformats.org/officeDocument/2006/relationships/hyperlink" Id="rId80" Target="https://ftp.cdc.gov/pub/health_statistics/nchs/publications/Provisional/nvsr58_19/Table08.pdf" TargetMode="External" /><Relationship Type="http://schemas.openxmlformats.org/officeDocument/2006/relationships/hyperlink" Id="rId55" Target="https://highways.dot.gov/highway-history/interstate-system/50th-anniversary/history-interstate-highway-system" TargetMode="External" /><Relationship Type="http://schemas.openxmlformats.org/officeDocument/2006/relationships/hyperlink" Id="rId40" Target="https://history.state.gov/milestones/1945-1952/marshall-plan" TargetMode="External" /><Relationship Type="http://schemas.openxmlformats.org/officeDocument/2006/relationships/hyperlink" Id="rId25" Target="https://history.state.gov/milestones/1969-1976/nixon-shock" TargetMode="External" /><Relationship Type="http://schemas.openxmlformats.org/officeDocument/2006/relationships/hyperlink" Id="rId66" Target="https://motorcities.org/making-tracks/1950/reuther-s-treaty-of-detroit" TargetMode="External" /><Relationship Type="http://schemas.openxmlformats.org/officeDocument/2006/relationships/hyperlink" Id="rId72" Target="https://nces.ed.gov/programs/digest/d19/tables/dt19_303.10.asp" TargetMode="External" /><Relationship Type="http://schemas.openxmlformats.org/officeDocument/2006/relationships/hyperlink" Id="rId63" Target="https://smithsonianassociates.org/ticketing/programs/levittown" TargetMode="External" /><Relationship Type="http://schemas.openxmlformats.org/officeDocument/2006/relationships/hyperlink" Id="rId27" Target="https://www.archives.gov/milestone-documents/servicemens-readjustment-act" TargetMode="External" /><Relationship Type="http://schemas.openxmlformats.org/officeDocument/2006/relationships/hyperlink" Id="rId29" Target="https://www.bls.gov/opub/mlr/2021/article/the-us-productivity-slowdown-the-economy-wide-and-industry-level-analysis.htm" TargetMode="External" /><Relationship Type="http://schemas.openxmlformats.org/officeDocument/2006/relationships/hyperlink" Id="rId70" Target="https://www.boeing.com/content/dam/boeing/v2/company/history/pdf/Boeing-Chronology.pdf" TargetMode="External" /><Relationship Type="http://schemas.openxmlformats.org/officeDocument/2006/relationships/hyperlink" Id="rId74" Target="https://www.census.gov/content/dam/Census/library/publications/2014/demo/p25-1141.pdf" TargetMode="External" /><Relationship Type="http://schemas.openxmlformats.org/officeDocument/2006/relationships/hyperlink" Id="rId57" Target="https://www.chicagofed.org/-/media/publications/working-papers/2017/wp2017-12-pdf.pdf?sc_lang=en" TargetMode="External" /><Relationship Type="http://schemas.openxmlformats.org/officeDocument/2006/relationships/hyperlink" Id="rId59" Target="https://www.eia.gov/dnav/pet/hist/LeafHandler.ashx?f=a&amp;n=pet&amp;s=f000000__3" TargetMode="External" /><Relationship Type="http://schemas.openxmlformats.org/officeDocument/2006/relationships/hyperlink" Id="rId47" Target="https://www.fdic.gov/90years" TargetMode="External" /><Relationship Type="http://schemas.openxmlformats.org/officeDocument/2006/relationships/hyperlink" Id="rId33" Target="https://www.federalreservehistory.org/essays/bretton-woods-created" TargetMode="External" /><Relationship Type="http://schemas.openxmlformats.org/officeDocument/2006/relationships/hyperlink" Id="rId22" Target="https://www.federalreservehistory.org/essays/gold-convertibility-ends" TargetMode="External" /><Relationship Type="http://schemas.openxmlformats.org/officeDocument/2006/relationships/hyperlink" Id="rId30" Target="https://www.federalreservehistory.org/essays/oil-shock-of-1973-74" TargetMode="External" /><Relationship Type="http://schemas.openxmlformats.org/officeDocument/2006/relationships/hyperlink" Id="rId24" Target="https://www.federalreservehistory.org/essays/redlining" TargetMode="External" /><Relationship Type="http://schemas.openxmlformats.org/officeDocument/2006/relationships/hyperlink" Id="rId54" Target="https://www.govinfo.gov/content/pkg/GPO-CPRT-108WPRT108-6/pdf/GPO-CPRT-108WPRT108-6-3-8.pdf" TargetMode="External" /><Relationship Type="http://schemas.openxmlformats.org/officeDocument/2006/relationships/hyperlink" Id="rId48" Target="https://www.hud.gov/aboutus/fhahistory" TargetMode="External" /><Relationship Type="http://schemas.openxmlformats.org/officeDocument/2006/relationships/hyperlink" Id="rId39" Target="https://www.irs.gov/statistics/soi-tax-stats-historical-table-23" TargetMode="External" /><Relationship Type="http://schemas.openxmlformats.org/officeDocument/2006/relationships/hyperlink" Id="rId21" Target="https://www.nationalww2museum.org/war/articles/new-global-power-after-world-war-ii-1945" TargetMode="External" /><Relationship Type="http://schemas.openxmlformats.org/officeDocument/2006/relationships/hyperlink" Id="rId42" Target="https://www.nber.org/system/files/chapters/c3912/c3912.pdf" TargetMode="External" /><Relationship Type="http://schemas.openxmlformats.org/officeDocument/2006/relationships/hyperlink" Id="rId98" Target="https://www.nber.org/system/files/working_papers/w12984/w12984.pdf" TargetMode="External" /><Relationship Type="http://schemas.openxmlformats.org/officeDocument/2006/relationships/hyperlink" Id="rId69" Target="https://www.nber.org/system/files/working_papers/w3817/w3817.pdf" TargetMode="External" /><Relationship Type="http://schemas.openxmlformats.org/officeDocument/2006/relationships/hyperlink" Id="rId46" Target="https://www.nlrb.gov/guidance/key-reference-materials/national-labor-relations-act" TargetMode="External" /><Relationship Type="http://schemas.openxmlformats.org/officeDocument/2006/relationships/hyperlink" Id="rId94" Target="https://www.researchgate.net/publication/324546656_THE_IMPACT_OF_WORLD_WAR_II_ON_THE_GROWTH_OF_US_POTENTIAL_OUTPUT" TargetMode="External" /><Relationship Type="http://schemas.openxmlformats.org/officeDocument/2006/relationships/hyperlink" Id="rId49" Target="https://www.sec.gov/rules-regulations/statutes-regulations" TargetMode="External" /><Relationship Type="http://schemas.openxmlformats.org/officeDocument/2006/relationships/hyperlink" Id="rId37" Target="https://www.senate.gov/artandhistory/history/minute/Federal_Highway_Act.htm" TargetMode="External" /><Relationship Type="http://schemas.openxmlformats.org/officeDocument/2006/relationships/hyperlink" Id="rId50" Target="https://www.ssa.gov/history/35act.html" TargetMode="External" /><Relationship Type="http://schemas.openxmlformats.org/officeDocument/2006/relationships/hyperlink" Id="rId28" Target="https://www.va.gov/opa/publications/celebrate/gi-bill.pdf" TargetMode="External" /><Relationship Type="http://schemas.openxmlformats.org/officeDocument/2006/relationships/hyperlink" Id="rId23" Target="https://www2.census.gov/programs-surveys/decennial/tables/time-series/coh-owner/owner-tab.txt" TargetMode="External" /></Relationships>
</file>

<file path=word/_rels/footnotes.xml.rels><?xml version="1.0" encoding="UTF-8"?><Relationships xmlns="http://schemas.openxmlformats.org/package/2006/relationships"><Relationship Type="http://schemas.openxmlformats.org/officeDocument/2006/relationships/hyperlink" Id="rId67" Target="https://eml.berkeley.edu/~saez/pikettyqje.pdf" TargetMode="External" /><Relationship Type="http://schemas.openxmlformats.org/officeDocument/2006/relationships/hyperlink" Id="rId52" Target="https://fraser.stlouisfed.org/title/handbook-labor-statistics-4025/handbook-labor-statistics-1975-reference-edition-499170/fulltext" TargetMode="External" /><Relationship Type="http://schemas.openxmlformats.org/officeDocument/2006/relationships/hyperlink" Id="rId77" Target="https://fred.stlouisfed.org/data/A939RX0Q048SBEA" TargetMode="External" /><Relationship Type="http://schemas.openxmlformats.org/officeDocument/2006/relationships/hyperlink" Id="rId79" Target="https://fred.stlouisfed.org/data/COMPRNFB" TargetMode="External" /><Relationship Type="http://schemas.openxmlformats.org/officeDocument/2006/relationships/hyperlink" Id="rId45" Target="https://fred.stlouisfed.org/data/OPHNFB" TargetMode="External" /><Relationship Type="http://schemas.openxmlformats.org/officeDocument/2006/relationships/hyperlink" Id="rId96" Target="https://fred.stlouisfed.org/data/cpiaucsl" TargetMode="External" /><Relationship Type="http://schemas.openxmlformats.org/officeDocument/2006/relationships/hyperlink" Id="rId31" Target="https://fred.stlouisfed.org/data/unrate" TargetMode="External" /><Relationship Type="http://schemas.openxmlformats.org/officeDocument/2006/relationships/hyperlink" Id="rId80" Target="https://ftp.cdc.gov/pub/health_statistics/nchs/publications/Provisional/nvsr58_19/Table08.pdf" TargetMode="External" /><Relationship Type="http://schemas.openxmlformats.org/officeDocument/2006/relationships/hyperlink" Id="rId55" Target="https://highways.dot.gov/highway-history/interstate-system/50th-anniversary/history-interstate-highway-system" TargetMode="External" /><Relationship Type="http://schemas.openxmlformats.org/officeDocument/2006/relationships/hyperlink" Id="rId40" Target="https://history.state.gov/milestones/1945-1952/marshall-plan" TargetMode="External" /><Relationship Type="http://schemas.openxmlformats.org/officeDocument/2006/relationships/hyperlink" Id="rId25" Target="https://history.state.gov/milestones/1969-1976/nixon-shock" TargetMode="External" /><Relationship Type="http://schemas.openxmlformats.org/officeDocument/2006/relationships/hyperlink" Id="rId66" Target="https://motorcities.org/making-tracks/1950/reuther-s-treaty-of-detroit" TargetMode="External" /><Relationship Type="http://schemas.openxmlformats.org/officeDocument/2006/relationships/hyperlink" Id="rId72" Target="https://nces.ed.gov/programs/digest/d19/tables/dt19_303.10.asp" TargetMode="External" /><Relationship Type="http://schemas.openxmlformats.org/officeDocument/2006/relationships/hyperlink" Id="rId63" Target="https://smithsonianassociates.org/ticketing/programs/levittown" TargetMode="External" /><Relationship Type="http://schemas.openxmlformats.org/officeDocument/2006/relationships/hyperlink" Id="rId27" Target="https://www.archives.gov/milestone-documents/servicemens-readjustment-act" TargetMode="External" /><Relationship Type="http://schemas.openxmlformats.org/officeDocument/2006/relationships/hyperlink" Id="rId29" Target="https://www.bls.gov/opub/mlr/2021/article/the-us-productivity-slowdown-the-economy-wide-and-industry-level-analysis.htm" TargetMode="External" /><Relationship Type="http://schemas.openxmlformats.org/officeDocument/2006/relationships/hyperlink" Id="rId70" Target="https://www.boeing.com/content/dam/boeing/v2/company/history/pdf/Boeing-Chronology.pdf" TargetMode="External" /><Relationship Type="http://schemas.openxmlformats.org/officeDocument/2006/relationships/hyperlink" Id="rId74" Target="https://www.census.gov/content/dam/Census/library/publications/2014/demo/p25-1141.pdf" TargetMode="External" /><Relationship Type="http://schemas.openxmlformats.org/officeDocument/2006/relationships/hyperlink" Id="rId57" Target="https://www.chicagofed.org/-/media/publications/working-papers/2017/wp2017-12-pdf.pdf?sc_lang=en" TargetMode="External" /><Relationship Type="http://schemas.openxmlformats.org/officeDocument/2006/relationships/hyperlink" Id="rId59" Target="https://www.eia.gov/dnav/pet/hist/LeafHandler.ashx?f=a&amp;n=pet&amp;s=f000000__3" TargetMode="External" /><Relationship Type="http://schemas.openxmlformats.org/officeDocument/2006/relationships/hyperlink" Id="rId47" Target="https://www.fdic.gov/90years" TargetMode="External" /><Relationship Type="http://schemas.openxmlformats.org/officeDocument/2006/relationships/hyperlink" Id="rId33" Target="https://www.federalreservehistory.org/essays/bretton-woods-created" TargetMode="External" /><Relationship Type="http://schemas.openxmlformats.org/officeDocument/2006/relationships/hyperlink" Id="rId22" Target="https://www.federalreservehistory.org/essays/gold-convertibility-ends" TargetMode="External" /><Relationship Type="http://schemas.openxmlformats.org/officeDocument/2006/relationships/hyperlink" Id="rId30" Target="https://www.federalreservehistory.org/essays/oil-shock-of-1973-74" TargetMode="External" /><Relationship Type="http://schemas.openxmlformats.org/officeDocument/2006/relationships/hyperlink" Id="rId24" Target="https://www.federalreservehistory.org/essays/redlining" TargetMode="External" /><Relationship Type="http://schemas.openxmlformats.org/officeDocument/2006/relationships/hyperlink" Id="rId54" Target="https://www.govinfo.gov/content/pkg/GPO-CPRT-108WPRT108-6/pdf/GPO-CPRT-108WPRT108-6-3-8.pdf" TargetMode="External" /><Relationship Type="http://schemas.openxmlformats.org/officeDocument/2006/relationships/hyperlink" Id="rId48" Target="https://www.hud.gov/aboutus/fhahistory" TargetMode="External" /><Relationship Type="http://schemas.openxmlformats.org/officeDocument/2006/relationships/hyperlink" Id="rId39" Target="https://www.irs.gov/statistics/soi-tax-stats-historical-table-23" TargetMode="External" /><Relationship Type="http://schemas.openxmlformats.org/officeDocument/2006/relationships/hyperlink" Id="rId21" Target="https://www.nationalww2museum.org/war/articles/new-global-power-after-world-war-ii-1945" TargetMode="External" /><Relationship Type="http://schemas.openxmlformats.org/officeDocument/2006/relationships/hyperlink" Id="rId42" Target="https://www.nber.org/system/files/chapters/c3912/c3912.pdf" TargetMode="External" /><Relationship Type="http://schemas.openxmlformats.org/officeDocument/2006/relationships/hyperlink" Id="rId98" Target="https://www.nber.org/system/files/working_papers/w12984/w12984.pdf" TargetMode="External" /><Relationship Type="http://schemas.openxmlformats.org/officeDocument/2006/relationships/hyperlink" Id="rId69" Target="https://www.nber.org/system/files/working_papers/w3817/w3817.pdf" TargetMode="External" /><Relationship Type="http://schemas.openxmlformats.org/officeDocument/2006/relationships/hyperlink" Id="rId46" Target="https://www.nlrb.gov/guidance/key-reference-materials/national-labor-relations-act" TargetMode="External" /><Relationship Type="http://schemas.openxmlformats.org/officeDocument/2006/relationships/hyperlink" Id="rId94" Target="https://www.researchgate.net/publication/324546656_THE_IMPACT_OF_WORLD_WAR_II_ON_THE_GROWTH_OF_US_POTENTIAL_OUTPUT" TargetMode="External" /><Relationship Type="http://schemas.openxmlformats.org/officeDocument/2006/relationships/hyperlink" Id="rId49" Target="https://www.sec.gov/rules-regulations/statutes-regulations" TargetMode="External" /><Relationship Type="http://schemas.openxmlformats.org/officeDocument/2006/relationships/hyperlink" Id="rId37" Target="https://www.senate.gov/artandhistory/history/minute/Federal_Highway_Act.htm" TargetMode="External" /><Relationship Type="http://schemas.openxmlformats.org/officeDocument/2006/relationships/hyperlink" Id="rId50" Target="https://www.ssa.gov/history/35act.html" TargetMode="External" /><Relationship Type="http://schemas.openxmlformats.org/officeDocument/2006/relationships/hyperlink" Id="rId28" Target="https://www.va.gov/opa/publications/celebrate/gi-bill.pdf" TargetMode="External" /><Relationship Type="http://schemas.openxmlformats.org/officeDocument/2006/relationships/hyperlink" Id="rId23" Target="https://www2.census.gov/programs-surveys/decennial/tables/time-series/coh-owner/owner-tab.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2026-03-21T05:53:17Z</dcterms:created>
  <dcterms:modified xsi:type="dcterms:W3CDTF">2026-03-21T05:53:17Z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