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29" w:name="federal-legal-landscape"/>
    <w:p>
      <w:pPr>
        <w:pStyle w:val="Heading1"/>
      </w:pPr>
      <w:r>
        <w:t xml:space="preserve">Federal Legal Landscape</w:t>
      </w:r>
    </w:p>
    <w:p>
      <w:pPr>
        <w:pStyle w:val="FirstParagraph"/>
      </w:pPr>
      <w:r>
        <w:t xml:space="preserve">Under federal law, cannabis (marijuana) remains a</w:t>
      </w:r>
      <w:r>
        <w:t xml:space="preserve"> </w:t>
      </w:r>
      <w:r>
        <w:rPr>
          <w:b/>
          <w:bCs/>
        </w:rPr>
        <w:t xml:space="preserve">Schedule I</w:t>
      </w:r>
      <w:r>
        <w:t xml:space="preserve"> </w:t>
      </w:r>
      <w:r>
        <w:t xml:space="preserve">controlled substance. The DEA confirms that marijuana has “no currently accepted medical use” and remains illegal to cultivate</w:t>
      </w:r>
      <w:hyperlink r:id="rId21">
        <w:r>
          <w:rPr>
            <w:rStyle w:val="Hyperlink"/>
          </w:rPr>
          <w:t xml:space="preserve">[1]</w:t>
        </w:r>
      </w:hyperlink>
      <w:r>
        <w:t xml:space="preserve">. Although DOJ proposed re-scheduling marijuana from I to III (as of May 2024)</w:t>
      </w:r>
      <w:hyperlink r:id="rId22">
        <w:r>
          <w:rPr>
            <w:rStyle w:val="Hyperlink"/>
          </w:rPr>
          <w:t xml:space="preserve">[2]</w:t>
        </w:r>
      </w:hyperlink>
      <w:r>
        <w:t xml:space="preserve">, no change is in effect, so cultivation is</w:t>
      </w:r>
      <w:r>
        <w:t xml:space="preserve"> </w:t>
      </w:r>
      <w:r>
        <w:rPr>
          <w:b/>
          <w:bCs/>
        </w:rPr>
        <w:t xml:space="preserve">still prohibited</w:t>
      </w:r>
      <w:r>
        <w:t xml:space="preserve"> </w:t>
      </w:r>
      <w:r>
        <w:t xml:space="preserve">by the Controlled Substances Act. Consequently, licensed growers face federal enforcement risk: in theory DEA or DOJ could raid or prosecute operations that violate federal law (most enforcement today targets large unlicensed grows and traffickers</w:t>
      </w:r>
      <w:hyperlink r:id="rId23">
        <w:r>
          <w:rPr>
            <w:rStyle w:val="Hyperlink"/>
          </w:rPr>
          <w:t xml:space="preserve">[3]</w:t>
        </w:r>
      </w:hyperlink>
      <w:r>
        <w:t xml:space="preserve">).</w:t>
      </w:r>
    </w:p>
    <w:p>
      <w:pPr>
        <w:pStyle w:val="BodyText"/>
      </w:pPr>
      <w:r>
        <w:t xml:space="preserve">Because cannabis is federally illegal, growers face special federal-tax and financial risks. The IRS makes clear that</w:t>
      </w:r>
      <w:r>
        <w:t xml:space="preserve"> </w:t>
      </w:r>
      <w:r>
        <w:rPr>
          <w:b/>
          <w:bCs/>
        </w:rPr>
        <w:t xml:space="preserve">Section 280E</w:t>
      </w:r>
      <w:r>
        <w:t xml:space="preserve"> </w:t>
      </w:r>
      <w:r>
        <w:t xml:space="preserve">applies: no deductions or credits are allowed for businesses “illegally trafficking” in Schedule I substances</w:t>
      </w:r>
      <w:hyperlink r:id="rId24">
        <w:r>
          <w:rPr>
            <w:rStyle w:val="Hyperlink"/>
          </w:rPr>
          <w:t xml:space="preserve">[4]</w:t>
        </w:r>
      </w:hyperlink>
      <w:r>
        <w:t xml:space="preserve">. In practice a cannabis cultivator can count cost of goods sold but cannot deduct most ordinary expenses on its federal return</w:t>
      </w:r>
      <w:hyperlink r:id="rId24">
        <w:r>
          <w:rPr>
            <w:rStyle w:val="Hyperlink"/>
          </w:rPr>
          <w:t xml:space="preserve">[4]</w:t>
        </w:r>
      </w:hyperlink>
      <w:r>
        <w:t xml:space="preserve">, resulting in very high effective taxes. Likewise, many banks are unwilling to take cannabis money because of anti–money laundering laws. FinCEN guidance permits banks to serve licensed cannabis businesses only if they file special reports (SARs) and verify full compliance</w:t>
      </w:r>
      <w:hyperlink r:id="rId25">
        <w:r>
          <w:rPr>
            <w:rStyle w:val="Hyperlink"/>
          </w:rPr>
          <w:t xml:space="preserve">[5]</w:t>
        </w:r>
      </w:hyperlink>
      <w:r>
        <w:t xml:space="preserve">. As of 2023 about 800 banks and credit unions nationwide offered cannabis banking services</w:t>
      </w:r>
      <w:hyperlink r:id="rId26">
        <w:r>
          <w:rPr>
            <w:rStyle w:val="Hyperlink"/>
          </w:rPr>
          <w:t xml:space="preserve">[6]</w:t>
        </w:r>
      </w:hyperlink>
      <w:r>
        <w:t xml:space="preserve">, but accounts typically have high fees and burdens.</w:t>
      </w:r>
    </w:p>
    <w:p>
      <w:pPr>
        <w:pStyle w:val="BodyText"/>
      </w:pPr>
      <w:r>
        <w:t xml:space="preserve">Federal law also bars transporting cannabis across state lines: any interstate shipment remains a federal felony</w:t>
      </w:r>
      <w:hyperlink r:id="rId27">
        <w:r>
          <w:rPr>
            <w:rStyle w:val="Hyperlink"/>
          </w:rPr>
          <w:t xml:space="preserve">[7]</w:t>
        </w:r>
      </w:hyperlink>
      <w:r>
        <w:t xml:space="preserve">. Thus cultivators cannot legally ship product to other states, even between two legal states. And as marijuana is federally prohibited, growers cannot access USDA or federal programs: no subsidized crop insurance or farm loans are available (even hemp growers generally cannot get federal insurance</w:t>
      </w:r>
      <w:hyperlink r:id="rId28">
        <w:r>
          <w:rPr>
            <w:rStyle w:val="Hyperlink"/>
          </w:rPr>
          <w:t xml:space="preserve">[8]</w:t>
        </w:r>
      </w:hyperlink>
      <w:r>
        <w:t xml:space="preserve">), nor can cannabis operations receive standard federal agricultural subsidies.</w:t>
      </w:r>
    </w:p>
    <w:bookmarkEnd w:id="29"/>
    <w:bookmarkStart w:id="59" w:name="california-state-regulations"/>
    <w:p>
      <w:pPr>
        <w:pStyle w:val="Heading1"/>
      </w:pPr>
      <w:r>
        <w:t xml:space="preserve">California State Regulations</w:t>
      </w:r>
    </w:p>
    <w:bookmarkStart w:id="37" w:name="license-categories"/>
    <w:p>
      <w:pPr>
        <w:pStyle w:val="Heading2"/>
      </w:pPr>
      <w:r>
        <w:t xml:space="preserve">License Categories</w:t>
      </w:r>
    </w:p>
    <w:p>
      <w:pPr>
        <w:pStyle w:val="FirstParagraph"/>
      </w:pPr>
      <w:r>
        <w:t xml:space="preserve">California’s Department of Cannabis Control (DCC) issues cultivation licenses by size and method. For 2025, categories include</w:t>
      </w:r>
      <w:r>
        <w:t xml:space="preserve"> </w:t>
      </w:r>
      <w:r>
        <w:rPr>
          <w:b/>
          <w:bCs/>
        </w:rPr>
        <w:t xml:space="preserve">Specialty Cottage, Specialty, Small, Medium, Large, Nursery,</w:t>
      </w:r>
      <w:r>
        <w:t xml:space="preserve"> </w:t>
      </w:r>
      <w:r>
        <w:t xml:space="preserve">and</w:t>
      </w:r>
      <w:r>
        <w:t xml:space="preserve"> </w:t>
      </w:r>
      <w:r>
        <w:rPr>
          <w:b/>
          <w:bCs/>
        </w:rPr>
        <w:t xml:space="preserve">Processor</w:t>
      </w:r>
      <w:r>
        <w:t xml:space="preserve"> </w:t>
      </w:r>
      <w:r>
        <w:t xml:space="preserve">(plus a new</w:t>
      </w:r>
      <w:r>
        <w:t xml:space="preserve"> </w:t>
      </w:r>
      <w:r>
        <w:rPr>
          <w:i/>
          <w:iCs/>
        </w:rPr>
        <w:t xml:space="preserve">Combined Activities License</w:t>
      </w:r>
      <w:r>
        <w:t xml:space="preserve"> </w:t>
      </w:r>
      <w:r>
        <w:t xml:space="preserve">to carry out multiple activities on one site)</w:t>
      </w:r>
      <w:hyperlink r:id="rId30">
        <w:r>
          <w:rPr>
            <w:rStyle w:val="Hyperlink"/>
          </w:rPr>
          <w:t xml:space="preserve">[9]</w:t>
        </w:r>
      </w:hyperlink>
      <w:hyperlink r:id="rId31">
        <w:r>
          <w:rPr>
            <w:rStyle w:val="Hyperlink"/>
          </w:rPr>
          <w:t xml:space="preserve">[10]</w:t>
        </w:r>
      </w:hyperlink>
      <w:r>
        <w:t xml:space="preserve">. Briefly:</w:t>
      </w:r>
      <w:r>
        <w:t xml:space="preserve"> </w:t>
      </w:r>
      <w:r>
        <w:rPr>
          <w:b/>
          <w:bCs/>
        </w:rPr>
        <w:t xml:space="preserve">Specialty Cottage</w:t>
      </w:r>
      <w:r>
        <w:t xml:space="preserve"> </w:t>
      </w:r>
      <w:r>
        <w:t xml:space="preserve">(limited) allows up to 25 outdoor plants (2,500 sq ft canopy) or up to 500 sq ft indoor (mixed-light up to 2,500 sq ft)</w:t>
      </w:r>
      <w:hyperlink r:id="rId31">
        <w:r>
          <w:rPr>
            <w:rStyle w:val="Hyperlink"/>
          </w:rPr>
          <w:t xml:space="preserve">[10]</w:t>
        </w:r>
      </w:hyperlink>
      <w:r>
        <w:t xml:space="preserve">.</w:t>
      </w:r>
      <w:r>
        <w:t xml:space="preserve"> </w:t>
      </w:r>
      <w:r>
        <w:rPr>
          <w:b/>
          <w:bCs/>
        </w:rPr>
        <w:t xml:space="preserve">Specialty</w:t>
      </w:r>
      <w:r>
        <w:t xml:space="preserve"> </w:t>
      </w:r>
      <w:r>
        <w:t xml:space="preserve">grows allow up to 50 outdoor plants (5,000 sq ft canopy) or 501–5,000 sq ft indoor</w:t>
      </w:r>
      <w:hyperlink r:id="rId32">
        <w:r>
          <w:rPr>
            <w:rStyle w:val="Hyperlink"/>
          </w:rPr>
          <w:t xml:space="preserve">[11]</w:t>
        </w:r>
      </w:hyperlink>
      <w:r>
        <w:t xml:space="preserve">.</w:t>
      </w:r>
      <w:r>
        <w:t xml:space="preserve"> </w:t>
      </w:r>
      <w:r>
        <w:rPr>
          <w:b/>
          <w:bCs/>
        </w:rPr>
        <w:t xml:space="preserve">Small</w:t>
      </w:r>
      <w:r>
        <w:t xml:space="preserve"> </w:t>
      </w:r>
      <w:r>
        <w:t xml:space="preserve">cultivators may use 5,001–10,000 sq ft (indoor or outdoor)</w:t>
      </w:r>
      <w:hyperlink r:id="rId33">
        <w:r>
          <w:rPr>
            <w:rStyle w:val="Hyperlink"/>
          </w:rPr>
          <w:t xml:space="preserve">[12]</w:t>
        </w:r>
      </w:hyperlink>
      <w:r>
        <w:t xml:space="preserve">,</w:t>
      </w:r>
      <w:r>
        <w:t xml:space="preserve"> </w:t>
      </w:r>
      <w:r>
        <w:rPr>
          <w:b/>
          <w:bCs/>
        </w:rPr>
        <w:t xml:space="preserve">Medium</w:t>
      </w:r>
      <w:r>
        <w:t xml:space="preserve"> </w:t>
      </w:r>
      <w:r>
        <w:t xml:space="preserve">10,001 sq ft up to 1 acre outdoors (10,001–22,000 sq ft indoors)</w:t>
      </w:r>
      <w:hyperlink r:id="rId34">
        <w:r>
          <w:rPr>
            <w:rStyle w:val="Hyperlink"/>
          </w:rPr>
          <w:t xml:space="preserve">[13]</w:t>
        </w:r>
      </w:hyperlink>
      <w:r>
        <w:t xml:space="preserve">, and</w:t>
      </w:r>
      <w:r>
        <w:t xml:space="preserve"> </w:t>
      </w:r>
      <w:r>
        <w:rPr>
          <w:b/>
          <w:bCs/>
        </w:rPr>
        <w:t xml:space="preserve">Large</w:t>
      </w:r>
      <w:r>
        <w:t xml:space="preserve"> </w:t>
      </w:r>
      <w:r>
        <w:t xml:space="preserve">over 1 acre outdoors (&gt;22,000 sq ft indoors)</w:t>
      </w:r>
      <w:hyperlink r:id="rId35">
        <w:r>
          <w:rPr>
            <w:rStyle w:val="Hyperlink"/>
          </w:rPr>
          <w:t xml:space="preserve">[14]</w:t>
        </w:r>
      </w:hyperlink>
      <w:r>
        <w:t xml:space="preserve">.</w:t>
      </w:r>
      <w:r>
        <w:t xml:space="preserve"> </w:t>
      </w:r>
      <w:r>
        <w:rPr>
          <w:b/>
          <w:bCs/>
        </w:rPr>
        <w:t xml:space="preserve">Nursery</w:t>
      </w:r>
      <w:r>
        <w:t xml:space="preserve"> </w:t>
      </w:r>
      <w:r>
        <w:t xml:space="preserve">licenses are for propagation (clones, seeds, immature plants)</w:t>
      </w:r>
      <w:hyperlink r:id="rId36">
        <w:r>
          <w:rPr>
            <w:rStyle w:val="Hyperlink"/>
          </w:rPr>
          <w:t xml:space="preserve">[15]</w:t>
        </w:r>
      </w:hyperlink>
      <w:r>
        <w:t xml:space="preserve">, while</w:t>
      </w:r>
      <w:r>
        <w:t xml:space="preserve"> </w:t>
      </w:r>
      <w:r>
        <w:rPr>
          <w:b/>
          <w:bCs/>
        </w:rPr>
        <w:t xml:space="preserve">Processor</w:t>
      </w:r>
      <w:r>
        <w:t xml:space="preserve"> </w:t>
      </w:r>
      <w:r>
        <w:t xml:space="preserve">(formerly Type 5) covers non-flower handling (trimming, curing, packaging). (</w:t>
      </w:r>
      <w:r>
        <w:rPr>
          <w:i/>
          <w:iCs/>
        </w:rPr>
        <w:t xml:space="preserve">See License Comparison Matrix below for key limits by type.</w:t>
      </w:r>
      <w:r>
        <w:t xml:space="preserve">)</w:t>
      </w:r>
    </w:p>
    <w:bookmarkEnd w:id="37"/>
    <w:bookmarkStart w:id="42" w:name="application-renewal-and-local-control"/>
    <w:p>
      <w:pPr>
        <w:pStyle w:val="Heading2"/>
      </w:pPr>
      <w:r>
        <w:t xml:space="preserve">Application, Renewal, and Local Control</w:t>
      </w:r>
    </w:p>
    <w:p>
      <w:pPr>
        <w:pStyle w:val="FirstParagraph"/>
      </w:pPr>
      <w:r>
        <w:t xml:space="preserve">All cultivation applicants must comply with</w:t>
      </w:r>
      <w:r>
        <w:t xml:space="preserve"> </w:t>
      </w:r>
      <w:r>
        <w:rPr>
          <w:b/>
          <w:bCs/>
        </w:rPr>
        <w:t xml:space="preserve">local land-use rules</w:t>
      </w:r>
      <w:r>
        <w:t xml:space="preserve"> </w:t>
      </w:r>
      <w:r>
        <w:t xml:space="preserve">before applying to the state. The DCC requires proof of local authorization: applicants must submit zoning or Conditional Use Permits (CUPs) from the city/county (or a letter confirming the locality allows the activity)</w:t>
      </w:r>
      <w:hyperlink r:id="rId38">
        <w:r>
          <w:rPr>
            <w:rStyle w:val="Hyperlink"/>
          </w:rPr>
          <w:t xml:space="preserve">[16]</w:t>
        </w:r>
      </w:hyperlink>
      <w:r>
        <w:t xml:space="preserve">. They also must demonstrate</w:t>
      </w:r>
      <w:r>
        <w:t xml:space="preserve"> </w:t>
      </w:r>
      <w:r>
        <w:rPr>
          <w:b/>
          <w:bCs/>
        </w:rPr>
        <w:t xml:space="preserve">site control</w:t>
      </w:r>
      <w:r>
        <w:t xml:space="preserve"> </w:t>
      </w:r>
      <w:r>
        <w:t xml:space="preserve">of the property (ownership or valid lease) and obtain the landowner’s consent (Form 9206)</w:t>
      </w:r>
      <w:hyperlink r:id="rId39">
        <w:r>
          <w:rPr>
            <w:rStyle w:val="Hyperlink"/>
          </w:rPr>
          <w:t xml:space="preserve">[17]</w:t>
        </w:r>
      </w:hyperlink>
      <w:r>
        <w:t xml:space="preserve">. In practice, this means: first secure any local permits (often involving a planning‐dept review, public hearing, and environmental clearance), then apply online to DCC.</w:t>
      </w:r>
    </w:p>
    <w:p>
      <w:pPr>
        <w:pStyle w:val="BodyText"/>
      </w:pPr>
      <w:r>
        <w:t xml:space="preserve">The state application requires detailed documentation: a $5,000</w:t>
      </w:r>
      <w:r>
        <w:t xml:space="preserve"> </w:t>
      </w:r>
      <w:r>
        <w:rPr>
          <w:b/>
          <w:bCs/>
        </w:rPr>
        <w:t xml:space="preserve">surety bond</w:t>
      </w:r>
      <w:r>
        <w:t xml:space="preserve"> </w:t>
      </w:r>
      <w:r>
        <w:t xml:space="preserve">per site</w:t>
      </w:r>
      <w:hyperlink r:id="rId40">
        <w:r>
          <w:rPr>
            <w:rStyle w:val="Hyperlink"/>
          </w:rPr>
          <w:t xml:space="preserve">[18]</w:t>
        </w:r>
      </w:hyperlink>
      <w:r>
        <w:t xml:space="preserve">, a security plan, an odor-control plan, and Standard Operating Procedures (SOP) including a</w:t>
      </w:r>
      <w:r>
        <w:t xml:space="preserve"> </w:t>
      </w:r>
      <w:r>
        <w:rPr>
          <w:i/>
          <w:iCs/>
        </w:rPr>
        <w:t xml:space="preserve">Track-and-Trace SOP</w:t>
      </w:r>
      <w:hyperlink r:id="rId40">
        <w:r>
          <w:rPr>
            <w:rStyle w:val="Hyperlink"/>
          </w:rPr>
          <w:t xml:space="preserve">[18]</w:t>
        </w:r>
      </w:hyperlink>
      <w:hyperlink r:id="rId39">
        <w:r>
          <w:rPr>
            <w:rStyle w:val="Hyperlink"/>
          </w:rPr>
          <w:t xml:space="preserve">[17]</w:t>
        </w:r>
      </w:hyperlink>
      <w:r>
        <w:t xml:space="preserve">. Employers must sign a sworn Labor Peace Agreement (form 9205)</w:t>
      </w:r>
      <w:hyperlink r:id="rId41">
        <w:r>
          <w:rPr>
            <w:rStyle w:val="Hyperlink"/>
          </w:rPr>
          <w:t xml:space="preserve">[19]</w:t>
        </w:r>
      </w:hyperlink>
      <w:r>
        <w:t xml:space="preserve">, and each owner/operator undergoes a background check. Applicants report financials and staffing plans. Once the application is approved, the license fee is paid (fees vary by license size; see License Matrix). Renewal is annual, and licensees must remain in full compliance (renewal applications update any changes in operation or control).</w:t>
      </w:r>
    </w:p>
    <w:bookmarkEnd w:id="42"/>
    <w:bookmarkStart w:id="45" w:name="track-and-trace-integration"/>
    <w:p>
      <w:pPr>
        <w:pStyle w:val="Heading2"/>
      </w:pPr>
      <w:r>
        <w:t xml:space="preserve">Track-and-Trace Integration</w:t>
      </w:r>
    </w:p>
    <w:p>
      <w:pPr>
        <w:pStyle w:val="FirstParagraph"/>
      </w:pPr>
      <w:r>
        <w:t xml:space="preserve">All licensed growers must participate in California’s seed-to-sale tracking system (METRC/CCTT). Every plant and package is tagged and entered into METRC, and cultivators</w:t>
      </w:r>
      <w:r>
        <w:t xml:space="preserve"> </w:t>
      </w:r>
      <w:r>
        <w:rPr>
          <w:b/>
          <w:bCs/>
        </w:rPr>
        <w:t xml:space="preserve">must record all movements</w:t>
      </w:r>
      <w:r>
        <w:t xml:space="preserve"> </w:t>
      </w:r>
      <w:r>
        <w:t xml:space="preserve">(harvest, transfer to distributors, waste destruction, etc.) in real-time</w:t>
      </w:r>
      <w:hyperlink r:id="rId43">
        <w:r>
          <w:rPr>
            <w:rStyle w:val="Hyperlink"/>
          </w:rPr>
          <w:t xml:space="preserve">[20]</w:t>
        </w:r>
      </w:hyperlink>
      <w:hyperlink r:id="rId44">
        <w:r>
          <w:rPr>
            <w:rStyle w:val="Hyperlink"/>
          </w:rPr>
          <w:t xml:space="preserve">[21]</w:t>
        </w:r>
      </w:hyperlink>
      <w:r>
        <w:t xml:space="preserve">. This data feeds DCC and tax authorities to monitor inventory. Failing to comply with METRC reporting can trigger state enforcement actions.</w:t>
      </w:r>
    </w:p>
    <w:bookmarkEnd w:id="45"/>
    <w:bookmarkStart w:id="48" w:name="security-staffing-and-recordkeeping"/>
    <w:p>
      <w:pPr>
        <w:pStyle w:val="Heading2"/>
      </w:pPr>
      <w:r>
        <w:t xml:space="preserve">Security, Staffing, and Recordkeeping</w:t>
      </w:r>
    </w:p>
    <w:p>
      <w:pPr>
        <w:pStyle w:val="FirstParagraph"/>
      </w:pPr>
      <w:r>
        <w:t xml:space="preserve">State regulations impose stringent security and record-keeping rules. Licensees must install a commercial-grade surveillance system: continuous 24/7 digital video at 15 FPS or better, covering all entrances/exits and any area where product is stored</w:t>
      </w:r>
      <w:hyperlink r:id="rId46">
        <w:r>
          <w:rPr>
            <w:rStyle w:val="Hyperlink"/>
          </w:rPr>
          <w:t xml:space="preserve">[22]</w:t>
        </w:r>
      </w:hyperlink>
      <w:r>
        <w:t xml:space="preserve">. Cameras must clearly identify any person at a door. Properties must be fully enclosed (fenced or walled) with secured, locked access for all cultivation areas. Access control is mandatory: only authorized adults (21+) may be on site, and logs must be kept of all visitors and employees</w:t>
      </w:r>
      <w:hyperlink r:id="rId46">
        <w:r>
          <w:rPr>
            <w:rStyle w:val="Hyperlink"/>
          </w:rPr>
          <w:t xml:space="preserve">[22]</w:t>
        </w:r>
      </w:hyperlink>
      <w:r>
        <w:t xml:space="preserve">. Alarm systems and motion detectors are required around the perimeter.</w:t>
      </w:r>
    </w:p>
    <w:p>
      <w:pPr>
        <w:pStyle w:val="BodyText"/>
      </w:pPr>
      <w:r>
        <w:t xml:space="preserve">Staffing requirements are minimal but growing operations typically include a qualified cultivation manager. All personnel (even unpaid) must be listed and have 60-hour training records. All financial and operational records must be maintained at the licensee’s location for</w:t>
      </w:r>
      <w:r>
        <w:t xml:space="preserve"> </w:t>
      </w:r>
      <w:r>
        <w:rPr>
          <w:b/>
          <w:bCs/>
        </w:rPr>
        <w:t xml:space="preserve">7 years</w:t>
      </w:r>
      <w:hyperlink r:id="rId47">
        <w:r>
          <w:rPr>
            <w:rStyle w:val="Hyperlink"/>
          </w:rPr>
          <w:t xml:space="preserve">[23]</w:t>
        </w:r>
      </w:hyperlink>
      <w:r>
        <w:t xml:space="preserve">. Records include payroll, invoices, inventory logs, surveillance archives (stored 90 days minimum), and all METRC audit trails. Licensees must also keep all pesticide use records (see DPR below) and must be prepared to produce documentation during any inspection.</w:t>
      </w:r>
    </w:p>
    <w:bookmarkEnd w:id="48"/>
    <w:bookmarkStart w:id="52" w:name="taxes"/>
    <w:p>
      <w:pPr>
        <w:pStyle w:val="Heading2"/>
      </w:pPr>
      <w:r>
        <w:t xml:space="preserve">Taxes</w:t>
      </w:r>
    </w:p>
    <w:p>
      <w:pPr>
        <w:pStyle w:val="FirstParagraph"/>
      </w:pPr>
      <w:r>
        <w:t xml:space="preserve">California imposes a layered tax structure on legal cannabis. At the state level, a</w:t>
      </w:r>
      <w:r>
        <w:t xml:space="preserve"> </w:t>
      </w:r>
      <w:r>
        <w:rPr>
          <w:b/>
          <w:bCs/>
        </w:rPr>
        <w:t xml:space="preserve">cannabis excise tax</w:t>
      </w:r>
      <w:r>
        <w:t xml:space="preserve"> </w:t>
      </w:r>
      <w:r>
        <w:t xml:space="preserve">is levied on consumer sales: 15% of retail value (increasing to 19% as of July 1, 2025</w:t>
      </w:r>
      <w:hyperlink r:id="rId49">
        <w:r>
          <w:rPr>
            <w:rStyle w:val="Hyperlink"/>
          </w:rPr>
          <w:t xml:space="preserve">[24]</w:t>
        </w:r>
      </w:hyperlink>
      <w:r>
        <w:t xml:space="preserve">). (This is separate from the standard sales tax on the sale price.) Notably, the</w:t>
      </w:r>
      <w:r>
        <w:t xml:space="preserve"> </w:t>
      </w:r>
      <w:r>
        <w:rPr>
          <w:b/>
          <w:bCs/>
        </w:rPr>
        <w:t xml:space="preserve">cultivation tax</w:t>
      </w:r>
      <w:r>
        <w:t xml:space="preserve"> </w:t>
      </w:r>
      <w:r>
        <w:t xml:space="preserve">(based on weight) was eliminated in 2022</w:t>
      </w:r>
      <w:hyperlink r:id="rId50">
        <w:r>
          <w:rPr>
            <w:rStyle w:val="Hyperlink"/>
          </w:rPr>
          <w:t xml:space="preserve">[25]</w:t>
        </w:r>
      </w:hyperlink>
      <w:r>
        <w:t xml:space="preserve">, so cultivators no longer pay a per-ounce crop tax to the state. However, growers must still register and pay the state’s Seller’s Permit (sales/use tax) if they sell wholesale in CA, and local jurisdictions may impose additional business taxes or license fees on cannabis operations. (One example: a failed 2020 Kern initiative would have added a 3.5% gross receipts tax on dispensaries</w:t>
      </w:r>
      <w:hyperlink r:id="rId51">
        <w:r>
          <w:rPr>
            <w:rStyle w:val="Hyperlink"/>
          </w:rPr>
          <w:t xml:space="preserve">[26]</w:t>
        </w:r>
      </w:hyperlink>
      <w:r>
        <w:t xml:space="preserve">.)</w:t>
      </w:r>
    </w:p>
    <w:bookmarkEnd w:id="52"/>
    <w:bookmarkStart w:id="58" w:name="environmental-compliance"/>
    <w:p>
      <w:pPr>
        <w:pStyle w:val="Heading2"/>
      </w:pPr>
      <w:r>
        <w:t xml:space="preserve">Environmental Compliance</w:t>
      </w:r>
    </w:p>
    <w:p>
      <w:pPr>
        <w:pStyle w:val="FirstParagraph"/>
      </w:pPr>
      <w:r>
        <w:t xml:space="preserve">Cannabis cultivation in CA must meet all standard environmental laws. Under state law,</w:t>
      </w:r>
      <w:r>
        <w:t xml:space="preserve"> </w:t>
      </w:r>
      <w:r>
        <w:rPr>
          <w:b/>
          <w:bCs/>
        </w:rPr>
        <w:t xml:space="preserve">CEQA applies</w:t>
      </w:r>
      <w:r>
        <w:t xml:space="preserve"> </w:t>
      </w:r>
      <w:r>
        <w:t xml:space="preserve">to cultivation projects: the DCC will not issue a license unless any required CEQA review (EIR or Mitigated Negative Declaration) is completed</w:t>
      </w:r>
      <w:hyperlink r:id="rId53">
        <w:r>
          <w:rPr>
            <w:rStyle w:val="Hyperlink"/>
          </w:rPr>
          <w:t xml:space="preserve">[27]</w:t>
        </w:r>
      </w:hyperlink>
      <w:r>
        <w:t xml:space="preserve">. In practice, if local permitting is discretionary, the applicant typically prepares CEQA documents before approval; if local approval is ministerial or waived, the state may serve as lead agency. In either case, substantial environmental review is often triggered for large grows.</w:t>
      </w:r>
    </w:p>
    <w:p>
      <w:pPr>
        <w:pStyle w:val="BodyText"/>
      </w:pPr>
      <w:r>
        <w:t xml:space="preserve">Water and pollution controls are critical. Outside cultivators must enroll in the State Water Board’s Cannabis Waste Discharge Program: they need a Water Board permit or waiver for any runoff or diversion. For example, nearly all farms must file a</w:t>
      </w:r>
      <w:r>
        <w:t xml:space="preserve"> </w:t>
      </w:r>
      <w:r>
        <w:rPr>
          <w:b/>
          <w:bCs/>
        </w:rPr>
        <w:t xml:space="preserve">Notice of Intent</w:t>
      </w:r>
      <w:r>
        <w:t xml:space="preserve"> </w:t>
      </w:r>
      <w:r>
        <w:t xml:space="preserve">under the Cannabis General Order (covering waste discharge to land or water)</w:t>
      </w:r>
      <w:hyperlink r:id="rId54">
        <w:r>
          <w:rPr>
            <w:rStyle w:val="Hyperlink"/>
          </w:rPr>
          <w:t xml:space="preserve">[28]</w:t>
        </w:r>
      </w:hyperlink>
      <w:r>
        <w:t xml:space="preserve">. The State Water Board’s Cannabis Cultivation Policy forbids new surface diversions (April–Oct) without off-stream storage, and generally requires any commercial grower diverting water to obtain a permit or appropriative right</w:t>
      </w:r>
      <w:hyperlink r:id="rId55">
        <w:r>
          <w:rPr>
            <w:rStyle w:val="Hyperlink"/>
          </w:rPr>
          <w:t xml:space="preserve">[29]</w:t>
        </w:r>
      </w:hyperlink>
      <w:r>
        <w:t xml:space="preserve">. Wells used for cannabis often require a County well permit and, if large-volume, registration with the state water rights office</w:t>
      </w:r>
      <w:hyperlink r:id="rId56">
        <w:r>
          <w:rPr>
            <w:rStyle w:val="Hyperlink"/>
          </w:rPr>
          <w:t xml:space="preserve">[30]</w:t>
        </w:r>
      </w:hyperlink>
      <w:r>
        <w:t xml:space="preserve">.</w:t>
      </w:r>
    </w:p>
    <w:p>
      <w:pPr>
        <w:pStyle w:val="BodyText"/>
      </w:pPr>
      <w:r>
        <w:t xml:space="preserve">Pesticide use is strictly regulated by the Department of Pesticide Regulation (DPR). Only pesticides registered or exempt for cannabis may be applied. Violations (using banned or unlabeled products) are enforced by DPR and local agricultural commissioners</w:t>
      </w:r>
      <w:hyperlink r:id="rId57">
        <w:r>
          <w:rPr>
            <w:rStyle w:val="Hyperlink"/>
          </w:rPr>
          <w:t xml:space="preserve">[31]</w:t>
        </w:r>
      </w:hyperlink>
      <w:r>
        <w:t xml:space="preserve">. Growers must follow local and CARB air/emissions rules for diesel generators and must abide by waste management rules (no illegal dumping, proper disposal of fertilizers, etc.).</w:t>
      </w:r>
    </w:p>
    <w:bookmarkEnd w:id="58"/>
    <w:bookmarkEnd w:id="59"/>
    <w:bookmarkStart w:id="67" w:name="kern-county-and-local-governance"/>
    <w:p>
      <w:pPr>
        <w:pStyle w:val="Heading1"/>
      </w:pPr>
      <w:r>
        <w:t xml:space="preserve">Kern County and Local Governance</w:t>
      </w:r>
    </w:p>
    <w:bookmarkStart w:id="65" w:name="county-and-city-policies"/>
    <w:p>
      <w:pPr>
        <w:pStyle w:val="Heading2"/>
      </w:pPr>
      <w:r>
        <w:t xml:space="preserve">County and City Policies</w:t>
      </w:r>
    </w:p>
    <w:p>
      <w:pPr>
        <w:pStyle w:val="FirstParagraph"/>
      </w:pPr>
      <w:r>
        <w:t xml:space="preserve">Kern County itself</w:t>
      </w:r>
      <w:r>
        <w:t xml:space="preserve"> </w:t>
      </w:r>
      <w:r>
        <w:rPr>
          <w:b/>
          <w:bCs/>
        </w:rPr>
        <w:t xml:space="preserve">prohibits all commercial cannabis activity</w:t>
      </w:r>
      <w:r>
        <w:t xml:space="preserve">. A 2018 county ordinance bans cultivation, manufacturing, and retail (outside personal use limits)</w:t>
      </w:r>
      <w:hyperlink r:id="rId60">
        <w:r>
          <w:rPr>
            <w:rStyle w:val="Hyperlink"/>
          </w:rPr>
          <w:t xml:space="preserve">[32]</w:t>
        </w:r>
      </w:hyperlink>
      <w:r>
        <w:t xml:space="preserve">. Only personal indoor cultivation (up to six plants, hidden from public view) is allowed by private adults</w:t>
      </w:r>
      <w:hyperlink r:id="rId61">
        <w:r>
          <w:rPr>
            <w:rStyle w:val="Hyperlink"/>
          </w:rPr>
          <w:t xml:space="preserve">[33]</w:t>
        </w:r>
      </w:hyperlink>
      <w:r>
        <w:t xml:space="preserve">. Any outdoor cultivation – even of medical plants – is expressly forbidden in unincorporated Kern</w:t>
      </w:r>
      <w:hyperlink r:id="rId61">
        <w:r>
          <w:rPr>
            <w:rStyle w:val="Hyperlink"/>
          </w:rPr>
          <w:t xml:space="preserve">[33]</w:t>
        </w:r>
      </w:hyperlink>
      <w:r>
        <w:t xml:space="preserve">. (Exceeding six plants can incur county fines ranging from \$25 to \$300</w:t>
      </w:r>
      <w:hyperlink r:id="rId62">
        <w:r>
          <w:rPr>
            <w:rStyle w:val="Hyperlink"/>
          </w:rPr>
          <w:t xml:space="preserve">[34]</w:t>
        </w:r>
      </w:hyperlink>
      <w:r>
        <w:t xml:space="preserve">.)</w:t>
      </w:r>
    </w:p>
    <w:p>
      <w:pPr>
        <w:pStyle w:val="BodyText"/>
      </w:pPr>
      <w:r>
        <w:t xml:space="preserve">Within Kern,</w:t>
      </w:r>
      <w:r>
        <w:t xml:space="preserve"> </w:t>
      </w:r>
      <w:r>
        <w:rPr>
          <w:b/>
          <w:bCs/>
        </w:rPr>
        <w:t xml:space="preserve">only a few cities permit cultivation businesses</w:t>
      </w:r>
      <w:r>
        <w:t xml:space="preserve">. For example, Arvin and California City have local programs for cannabis cultivation (but not retail sales)</w:t>
      </w:r>
      <w:hyperlink r:id="rId63">
        <w:r>
          <w:rPr>
            <w:rStyle w:val="Hyperlink"/>
          </w:rPr>
          <w:t xml:space="preserve">[35]</w:t>
        </w:r>
      </w:hyperlink>
      <w:r>
        <w:t xml:space="preserve">. In Arvin, applicants must secure a city Commercial Cannabis Permit and satisfy zoning (allowed in certain industrial and agricultural zones</w:t>
      </w:r>
      <w:hyperlink r:id="rId64">
        <w:r>
          <w:rPr>
            <w:rStyle w:val="Hyperlink"/>
          </w:rPr>
          <w:t xml:space="preserve">[36]</w:t>
        </w:r>
      </w:hyperlink>
      <w:r>
        <w:t xml:space="preserve">). Other cities like Bakersfield, Delano and Ridgecrest currently</w:t>
      </w:r>
      <w:r>
        <w:t xml:space="preserve"> </w:t>
      </w:r>
      <w:r>
        <w:rPr>
          <w:b/>
          <w:bCs/>
        </w:rPr>
        <w:t xml:space="preserve">ban commercial cultivation</w:t>
      </w:r>
      <w:r>
        <w:t xml:space="preserve"> </w:t>
      </w:r>
      <w:r>
        <w:t xml:space="preserve">(Bakersfield’s municipal code prohibits retail or manufacturing, and Delano’s 2023 ordinance bars any commercial grow). These cities also follow the 6-plant personal limit.</w:t>
      </w:r>
    </w:p>
    <w:bookmarkEnd w:id="65"/>
    <w:bookmarkStart w:id="66" w:name="zoning-permitting-and-limits"/>
    <w:p>
      <w:pPr>
        <w:pStyle w:val="Heading2"/>
      </w:pPr>
      <w:r>
        <w:t xml:space="preserve">Zoning, Permitting, and Limits</w:t>
      </w:r>
    </w:p>
    <w:p>
      <w:pPr>
        <w:pStyle w:val="FirstParagraph"/>
      </w:pPr>
      <w:r>
        <w:t xml:space="preserve">Where cultivation is allowed, it is restricted to specific zones. In practice, cities typically limit grows to heavy-industrial (M-2/M-3) or agricultural zones. For example, Arvin allows cultivation only in M-1/M-2/M-3 and A-1/A-2 zones</w:t>
      </w:r>
      <w:hyperlink r:id="rId64">
        <w:r>
          <w:rPr>
            <w:rStyle w:val="Hyperlink"/>
          </w:rPr>
          <w:t xml:space="preserve">[36]</w:t>
        </w:r>
      </w:hyperlink>
      <w:r>
        <w:t xml:space="preserve">. Cultivators must obtain a local</w:t>
      </w:r>
      <w:r>
        <w:t xml:space="preserve"> </w:t>
      </w:r>
      <w:r>
        <w:rPr>
          <w:b/>
          <w:bCs/>
        </w:rPr>
        <w:t xml:space="preserve">Site Development Permit or CUP</w:t>
      </w:r>
      <w:r>
        <w:t xml:space="preserve"> </w:t>
      </w:r>
      <w:r>
        <w:t xml:space="preserve">from planning, often requiring an environmental review and public hearing. The process usually involves submitting detailed site plans, floor plans, security/odor plans, and often a</w:t>
      </w:r>
      <w:r>
        <w:t xml:space="preserve"> </w:t>
      </w:r>
      <w:r>
        <w:rPr>
          <w:b/>
          <w:bCs/>
        </w:rPr>
        <w:t xml:space="preserve">Neighborhood Notice</w:t>
      </w:r>
      <w:r>
        <w:t xml:space="preserve"> </w:t>
      </w:r>
      <w:r>
        <w:t xml:space="preserve">(radius mailing) as set by local rules. Once the city/county approves the CUP, that local permit is submitted to DCC with the state application.</w:t>
      </w:r>
    </w:p>
    <w:p>
      <w:pPr>
        <w:pStyle w:val="BodyText"/>
      </w:pPr>
      <w:r>
        <w:t xml:space="preserve">Cities/counties also impose operational limits. Even where grows are allowed, there are buffer zones (commonly 600 ft from schools/daycares, 300 ft from residences) and security rules. Odor-control is legally mandated: operators must install air-filtration (carbon filters) and maintain negative air pressure so that cannabis smells do not escape beyond property</w:t>
      </w:r>
      <w:hyperlink r:id="rId61">
        <w:r>
          <w:rPr>
            <w:rStyle w:val="Hyperlink"/>
          </w:rPr>
          <w:t xml:space="preserve">[33]</w:t>
        </w:r>
      </w:hyperlink>
      <w:r>
        <w:t xml:space="preserve">. Noise must comply with local code (typically ≤55–60 dB at property lines) – e.g. generators usually operate only at limited hours. Security fencing (e.g. 6–8 ft chain-link with privacy slats) is required by many local codes, and cultivation sites must be well-lit at night for patrol safety.</w:t>
      </w:r>
    </w:p>
    <w:p>
      <w:pPr>
        <w:pStyle w:val="BodyText"/>
      </w:pPr>
      <w:r>
        <w:t xml:space="preserve">Water use is also regulated locally: growers must be on a metered supply (or report well usage) and may need to document diverted water. In drier parts of Kern, expanding a well for cannabis likely triggers county and state review (Kern is under SGMA, and many basins have strict pumping limits). Some districts require permits for new wells or have overlay zones restricting groundwater use.</w:t>
      </w:r>
    </w:p>
    <w:p>
      <w:pPr>
        <w:pStyle w:val="BodyText"/>
      </w:pPr>
      <w:r>
        <w:t xml:space="preserve">Finally,</w:t>
      </w:r>
      <w:r>
        <w:t xml:space="preserve"> </w:t>
      </w:r>
      <w:r>
        <w:rPr>
          <w:b/>
          <w:bCs/>
        </w:rPr>
        <w:t xml:space="preserve">Kern has not imposed a cap on licenses</w:t>
      </w:r>
      <w:r>
        <w:t xml:space="preserve">, largely because it bans commercial grows outright. No licenses for cultivation have been issued by Kern County. Cities with programs may limit the number of permits (e.g. via lotteries) – applicants should check current city ordinances for any such limits.</w:t>
      </w:r>
    </w:p>
    <w:bookmarkEnd w:id="66"/>
    <w:bookmarkEnd w:id="67"/>
    <w:bookmarkStart w:id="68" w:name="land-use-environmental-law"/>
    <w:p>
      <w:pPr>
        <w:pStyle w:val="Heading1"/>
      </w:pPr>
      <w:r>
        <w:t xml:space="preserve">Land Use &amp; Environmental Law</w:t>
      </w:r>
    </w:p>
    <w:p>
      <w:pPr>
        <w:pStyle w:val="FirstParagraph"/>
      </w:pPr>
      <w:r>
        <w:t xml:space="preserve">Cannabis may only be grown on</w:t>
      </w:r>
      <w:r>
        <w:t xml:space="preserve"> </w:t>
      </w:r>
      <w:r>
        <w:rPr>
          <w:b/>
          <w:bCs/>
        </w:rPr>
        <w:t xml:space="preserve">private land</w:t>
      </w:r>
      <w:r>
        <w:t xml:space="preserve"> </w:t>
      </w:r>
      <w:r>
        <w:t xml:space="preserve">in approved zones; it cannot be cultivated on public lands (including city parks, federal forests, state parks, etc.). Usually only parcels zoned Agricultural or Industrial are eligible. General Plan and Specific Plan designations must explicitly allow or at least not prohibit cultivation. Overlays (floodplain, wetlands, historic, etc.) can trigger additional reviews or outright bans in some areas.</w:t>
      </w:r>
    </w:p>
    <w:p>
      <w:pPr>
        <w:pStyle w:val="BodyText"/>
      </w:pPr>
      <w:r>
        <w:t xml:space="preserve">Environmental assessments are typically required. A new cultivation project will often need at least a CEQA review; many local governments require an EIR or Mitigated ND for operations over certain sizes. Mitigation might be required for traffic impacts, energy use, or historic/tree removals. Building a greenhouse or large hoop-house generally requires building permits (compliance with Title 24 electrical, plumbing, etc.) and fire inspections (Group F occupancy). In Kern, any structure for cannabis must also meet the County’s cannabis-building standards (e.g. KCFD ordinances) and be shown on the CUP plans.</w:t>
      </w:r>
    </w:p>
    <w:p>
      <w:pPr>
        <w:pStyle w:val="BodyText"/>
      </w:pPr>
      <w:r>
        <w:t xml:space="preserve">Water sourcing is a critical issue. Growers cannot divert surface water (rivers/streams) in summer without a permit; they must capture/winter-storage and file for a Small Irrigation Use Registration (SIUR) or full water right if needed</w:t>
      </w:r>
      <w:hyperlink r:id="rId55">
        <w:r>
          <w:rPr>
            <w:rStyle w:val="Hyperlink"/>
          </w:rPr>
          <w:t xml:space="preserve">[29]</w:t>
        </w:r>
      </w:hyperlink>
      <w:r>
        <w:t xml:space="preserve">. Groundwater wells over certain amounts (e.g. &gt;25 acre-feet/yr) must be registered or permitted by the State Water Board. In many parts of Kern, access to water is the principal constraint on expansion. The State’s cannabis policy also imposes streamside protection (no diversions in dry months, and no erosion runoff).</w:t>
      </w:r>
    </w:p>
    <w:bookmarkEnd w:id="68"/>
    <w:bookmarkStart w:id="70" w:name="business-formation-banking-and-taxes"/>
    <w:p>
      <w:pPr>
        <w:pStyle w:val="Heading1"/>
      </w:pPr>
      <w:r>
        <w:t xml:space="preserve">Business Formation, Banking, and Taxes</w:t>
      </w:r>
    </w:p>
    <w:p>
      <w:pPr>
        <w:pStyle w:val="FirstParagraph"/>
      </w:pPr>
      <w:r>
        <w:rPr>
          <w:b/>
          <w:bCs/>
        </w:rPr>
        <w:t xml:space="preserve">Business structure:</w:t>
      </w:r>
      <w:r>
        <w:t xml:space="preserve"> </w:t>
      </w:r>
      <w:r>
        <w:t xml:space="preserve">Most cannabis growers form a limited liability company (LLC) or corporation. An LLC (often taxed as an S-Corp or partnership) is popular: it provides liability protection while allowing pass-through taxation. (Under California tax law, a licensed cannabis business can deduct normal business expenses at the state level</w:t>
      </w:r>
      <w:hyperlink r:id="rId69">
        <w:r>
          <w:rPr>
            <w:rStyle w:val="Hyperlink"/>
          </w:rPr>
          <w:t xml:space="preserve">[37]</w:t>
        </w:r>
      </w:hyperlink>
      <w:r>
        <w:t xml:space="preserve">, so an LLC/S-Corp can deduct payroll, rent, etc. in CA – though</w:t>
      </w:r>
      <w:r>
        <w:t xml:space="preserve"> </w:t>
      </w:r>
      <w:r>
        <w:rPr>
          <w:b/>
          <w:bCs/>
        </w:rPr>
        <w:t xml:space="preserve">federally</w:t>
      </w:r>
      <w:r>
        <w:t xml:space="preserve"> </w:t>
      </w:r>
      <w:r>
        <w:t xml:space="preserve">the same expenses are disallowed under 280E</w:t>
      </w:r>
      <w:hyperlink r:id="rId24">
        <w:r>
          <w:rPr>
            <w:rStyle w:val="Hyperlink"/>
          </w:rPr>
          <w:t xml:space="preserve">[4]</w:t>
        </w:r>
      </w:hyperlink>
      <w:r>
        <w:t xml:space="preserve">.) C-corporations are less common due to double-taxation on top of 280E limitations. In all cases, owners must also obtain a federal EIN and register for state employer accounts, sales tax license, etc.</w:t>
      </w:r>
    </w:p>
    <w:p>
      <w:pPr>
        <w:pStyle w:val="BodyText"/>
      </w:pPr>
      <w:r>
        <w:rPr>
          <w:b/>
          <w:bCs/>
        </w:rPr>
        <w:t xml:space="preserve">Banking:</w:t>
      </w:r>
      <w:r>
        <w:t xml:space="preserve"> </w:t>
      </w:r>
      <w:r>
        <w:t xml:space="preserve">Because banks face federal AML obligations, only some institutions take cannabis accounts. Growers can approach credit unions or smaller banks known to serve the industry (as of 2023, about 812 financial institutions do so</w:t>
      </w:r>
      <w:hyperlink r:id="rId26">
        <w:r>
          <w:rPr>
            <w:rStyle w:val="Hyperlink"/>
          </w:rPr>
          <w:t xml:space="preserve">[6]</w:t>
        </w:r>
      </w:hyperlink>
      <w:r>
        <w:t xml:space="preserve">). Accounts often require hefty fees, high minimum balances, and strict reporting. All transactions must be meticulously documented, as banks file Suspicious Activity Reports for even compliant cannabis clients (a requirement under FinCEN guidance</w:t>
      </w:r>
      <w:hyperlink r:id="rId25">
        <w:r>
          <w:rPr>
            <w:rStyle w:val="Hyperlink"/>
          </w:rPr>
          <w:t xml:space="preserve">[5]</w:t>
        </w:r>
      </w:hyperlink>
      <w:r>
        <w:t xml:space="preserve">). Many growers remain largely cash-based, using armored transport services or Cash Vault programs for deposits. Alternative payment technologies (private payment systems) exist but are limited in California.</w:t>
      </w:r>
    </w:p>
    <w:p>
      <w:pPr>
        <w:pStyle w:val="BodyText"/>
      </w:pPr>
      <w:r>
        <w:rPr>
          <w:b/>
          <w:bCs/>
        </w:rPr>
        <w:t xml:space="preserve">Insurance and bonding:</w:t>
      </w:r>
      <w:r>
        <w:t xml:space="preserve"> </w:t>
      </w:r>
      <w:r>
        <w:t xml:space="preserve">California requires a</w:t>
      </w:r>
      <w:r>
        <w:t xml:space="preserve"> </w:t>
      </w:r>
      <w:r>
        <w:rPr>
          <w:b/>
          <w:bCs/>
        </w:rPr>
        <w:t xml:space="preserve">$5,000 surety bond</w:t>
      </w:r>
      <w:r>
        <w:t xml:space="preserve"> </w:t>
      </w:r>
      <w:r>
        <w:t xml:space="preserve">per cultivation site at licensing</w:t>
      </w:r>
      <w:hyperlink r:id="rId40">
        <w:r>
          <w:rPr>
            <w:rStyle w:val="Hyperlink"/>
          </w:rPr>
          <w:t xml:space="preserve">[18]</w:t>
        </w:r>
      </w:hyperlink>
      <w:r>
        <w:t xml:space="preserve">. In addition, cultivators typically carry general liability, product liability, property, and worker’s comp insurance. (Cannabis-specific crop insurance is available only through specialty insurers at higher premiums.) Some financers require lender’s insurance (assignment of crop insurance or additional collateral).</w:t>
      </w:r>
    </w:p>
    <w:p>
      <w:pPr>
        <w:pStyle w:val="BodyText"/>
      </w:pPr>
      <w:r>
        <w:rPr>
          <w:b/>
          <w:bCs/>
        </w:rPr>
        <w:t xml:space="preserve">Taxes:</w:t>
      </w:r>
      <w:r>
        <w:t xml:space="preserve"> </w:t>
      </w:r>
      <w:r>
        <w:t xml:space="preserve">Federal tax on cannabis income must be reported on Schedule C (or corporate return) but with only COGS deductible</w:t>
      </w:r>
      <w:hyperlink r:id="rId24">
        <w:r>
          <w:rPr>
            <w:rStyle w:val="Hyperlink"/>
          </w:rPr>
          <w:t xml:space="preserve">[4]</w:t>
        </w:r>
      </w:hyperlink>
      <w:r>
        <w:t xml:space="preserve">. On the state side, businesses pay California income/franchise tax on net income</w:t>
      </w:r>
      <w:r>
        <w:t xml:space="preserve"> </w:t>
      </w:r>
      <w:r>
        <w:rPr>
          <w:i/>
          <w:iCs/>
        </w:rPr>
        <w:t xml:space="preserve">minus</w:t>
      </w:r>
      <w:r>
        <w:t xml:space="preserve"> </w:t>
      </w:r>
      <w:r>
        <w:t xml:space="preserve">the deductions allowed by CA (which ignores 280E). No special license fee or occupational tax applies at the state level beyond the license fee itself. Locally, some jurisdictions impose business taxes based on gross receipts or acreage; growers must check any county/city tax codes (e.g. a county cultivation tax or a heavy-use permit fee).</w:t>
      </w:r>
    </w:p>
    <w:bookmarkEnd w:id="70"/>
    <w:bookmarkStart w:id="74" w:name="compliance-enforcement-and-risk-exposure"/>
    <w:p>
      <w:pPr>
        <w:pStyle w:val="Heading1"/>
      </w:pPr>
      <w:r>
        <w:t xml:space="preserve">Compliance, Enforcement, and Risk Exposure</w:t>
      </w:r>
    </w:p>
    <w:p>
      <w:pPr>
        <w:pStyle w:val="FirstParagraph"/>
      </w:pPr>
      <w:r>
        <w:rPr>
          <w:b/>
          <w:bCs/>
        </w:rPr>
        <w:t xml:space="preserve">Penalties:</w:t>
      </w:r>
      <w:r>
        <w:t xml:space="preserve"> </w:t>
      </w:r>
      <w:r>
        <w:t xml:space="preserve">State and local violations carry heavy sanctions. DCC’s enforcement ranges from informal Notices to Comply up to formal citations. A licensed cultivator can be fined up to \$5,000 per violation, and an unlicensed operation up to \$30,000 per violation</w:t>
      </w:r>
      <w:hyperlink r:id="rId71">
        <w:r>
          <w:rPr>
            <w:rStyle w:val="Hyperlink"/>
          </w:rPr>
          <w:t xml:space="preserve">[38]</w:t>
        </w:r>
      </w:hyperlink>
      <w:r>
        <w:t xml:space="preserve">. Serious or repeated violations can trigger license suspension or revocation</w:t>
      </w:r>
      <w:hyperlink r:id="rId71">
        <w:r>
          <w:rPr>
            <w:rStyle w:val="Hyperlink"/>
          </w:rPr>
          <w:t xml:space="preserve">[38]</w:t>
        </w:r>
      </w:hyperlink>
      <w:r>
        <w:t xml:space="preserve">. The DCC may embargo or seize non-compliant product (e.g. untested or misbranded flower). Under California law, growing more than allowed (e.g. over 6 plants without a license) is a misdemeanor (up to 6 months jail and \$500 fine)</w:t>
      </w:r>
      <w:hyperlink r:id="rId72">
        <w:r>
          <w:rPr>
            <w:rStyle w:val="Hyperlink"/>
          </w:rPr>
          <w:t xml:space="preserve">[39]</w:t>
        </w:r>
      </w:hyperlink>
      <w:r>
        <w:t xml:space="preserve">; very large unlicensed grows can be charged as felonies. Locally, Kern’s ordinance fines individuals for excess plants on private property</w:t>
      </w:r>
      <w:hyperlink r:id="rId62">
        <w:r>
          <w:rPr>
            <w:rStyle w:val="Hyperlink"/>
          </w:rPr>
          <w:t xml:space="preserve">[34]</w:t>
        </w:r>
      </w:hyperlink>
      <w:r>
        <w:t xml:space="preserve">. Violations of pesticide or water rules can also lead to civil or criminal enforcement by DPR or SWRCB (fines can reach tens of thousands).</w:t>
      </w:r>
    </w:p>
    <w:p>
      <w:pPr>
        <w:pStyle w:val="BodyText"/>
      </w:pPr>
      <w:r>
        <w:rPr>
          <w:b/>
          <w:bCs/>
        </w:rPr>
        <w:t xml:space="preserve">Common compliance failures:</w:t>
      </w:r>
      <w:r>
        <w:t xml:space="preserve"> </w:t>
      </w:r>
      <w:r>
        <w:t xml:space="preserve">Growers often trip up on record-keeping (missing sales invoices or METRC entries), insecure facilities (camera gaps or unlocked gates), or unauthorized pesticide use. Failure to renew a license or pay cultivation excise taxes on time can also result in enforcement. Improper labeling or testing (skipping mandatory safety tests) is a frequent violation that triggers recalls or fines. Other common issues include safety violations (unsafe electrical wiring or lack of fire suppression), inaccurate employee logs, and failure to segregate medical vs. recreational inventory.</w:t>
      </w:r>
    </w:p>
    <w:p>
      <w:pPr>
        <w:pStyle w:val="BodyText"/>
      </w:pPr>
      <w:r>
        <w:rPr>
          <w:b/>
          <w:bCs/>
        </w:rPr>
        <w:t xml:space="preserve">Required security measures:</w:t>
      </w:r>
      <w:r>
        <w:t xml:space="preserve"> </w:t>
      </w:r>
      <w:r>
        <w:t xml:space="preserve">By regulation, cultivation sites must have a perimeter fence/wall (often ≥6–8 ft tall), secured gates, intrusion alarms, and 24-hour lighting</w:t>
      </w:r>
      <w:hyperlink r:id="rId46">
        <w:r>
          <w:rPr>
            <w:rStyle w:val="Hyperlink"/>
          </w:rPr>
          <w:t xml:space="preserve">[22]</w:t>
        </w:r>
      </w:hyperlink>
      <w:r>
        <w:t xml:space="preserve">. Video surveillance must cover all access points (indoors and outdoors). Cash and product storage areas require additional safes/locks. Operators must post signs limiting access (e.g. “No Minors Allowed” and “Cannabis Business – Authorized Personnel Only”).</w:t>
      </w:r>
    </w:p>
    <w:p>
      <w:pPr>
        <w:pStyle w:val="BodyText"/>
      </w:pPr>
      <w:r>
        <w:rPr>
          <w:b/>
          <w:bCs/>
        </w:rPr>
        <w:t xml:space="preserve">Enforcement in Kern County:</w:t>
      </w:r>
      <w:r>
        <w:t xml:space="preserve"> </w:t>
      </w:r>
      <w:r>
        <w:t xml:space="preserve">Although Kern prohibits legal grows, illegal cultivation still occurs (often small personal grows or organized illicit grows). Law enforcement (Sheriff’s office) and the county may enforce the ban via code enforcement and criminal statutes. The California Dept. of Fish &amp; Wildlife and State Water Board have collaborated on raiding illegal outdoor grows (targeting water diversion and wildlife impacts). County agricultural commissioners may cite growers for unregistered pesticides. The local Fire Marshal enforces fire-code violations in cultivation structures (often issuing Stop Work Orders if barns or greenhouses were built without permits).</w:t>
      </w:r>
    </w:p>
    <w:p>
      <w:pPr>
        <w:pStyle w:val="BodyText"/>
      </w:pPr>
      <w:r>
        <w:rPr>
          <w:b/>
          <w:bCs/>
        </w:rPr>
        <w:t xml:space="preserve">Community complaints:</w:t>
      </w:r>
      <w:r>
        <w:t xml:space="preserve"> </w:t>
      </w:r>
      <w:r>
        <w:t xml:space="preserve">Neighbors can report suspected illegal or nuisance activity to local authorities or DCC. California law allows anyone to file an</w:t>
      </w:r>
      <w:r>
        <w:t xml:space="preserve"> </w:t>
      </w:r>
      <w:r>
        <w:rPr>
          <w:b/>
          <w:bCs/>
        </w:rPr>
        <w:t xml:space="preserve">anonymous complaint</w:t>
      </w:r>
      <w:r>
        <w:t xml:space="preserve"> </w:t>
      </w:r>
      <w:r>
        <w:t xml:space="preserve">with DCC about licensed or unlicensed cannabis businesses</w:t>
      </w:r>
      <w:hyperlink r:id="rId73">
        <w:r>
          <w:rPr>
            <w:rStyle w:val="Hyperlink"/>
          </w:rPr>
          <w:t xml:space="preserve">[40]</w:t>
        </w:r>
      </w:hyperlink>
      <w:r>
        <w:t xml:space="preserve">. Complaints can also be lodged with Kern County Code Enforcement or the Sheriff (for odor, lighting, noise, or illegal behavior). Public objections may be raised at city planning hearings before a CUP is approved; local ordinances typically require adjacent property owners to be notified of proposed permits.</w:t>
      </w:r>
    </w:p>
    <w:bookmarkEnd w:id="74"/>
    <w:bookmarkStart w:id="76" w:name="reporting-recordkeeping-obligations"/>
    <w:p>
      <w:pPr>
        <w:pStyle w:val="Heading1"/>
      </w:pPr>
      <w:r>
        <w:t xml:space="preserve">Reporting &amp; Recordkeeping Obligations</w:t>
      </w:r>
    </w:p>
    <w:p>
      <w:pPr>
        <w:pStyle w:val="FirstParagraph"/>
      </w:pPr>
      <w:r>
        <w:t xml:space="preserve">Licensed cultivators have extensive reporting duties. All inventory movements must be recorded continuously in METRC (which feeds state regulators). In addition, cultivators report</w:t>
      </w:r>
      <w:r>
        <w:t xml:space="preserve"> </w:t>
      </w:r>
      <w:r>
        <w:rPr>
          <w:b/>
          <w:bCs/>
        </w:rPr>
        <w:t xml:space="preserve">electricity usage</w:t>
      </w:r>
      <w:r>
        <w:t xml:space="preserve"> </w:t>
      </w:r>
      <w:r>
        <w:t xml:space="preserve">at each license renewal</w:t>
      </w:r>
      <w:hyperlink r:id="rId75">
        <w:r>
          <w:rPr>
            <w:rStyle w:val="Hyperlink"/>
          </w:rPr>
          <w:t xml:space="preserve">[41]</w:t>
        </w:r>
      </w:hyperlink>
      <w:r>
        <w:t xml:space="preserve">: DCC tracks power sources and greenhouse gas intensity (as of 2023, indoor/mixed-light growers must disclose total kWh per source at renewal). For tax purposes, growers report revenue and excise taxes (if any) via CDTFA returns. If growers sell product wholesale, they must hold a valid Seller’s Permit and file periodic sales tax returns on those sales.</w:t>
      </w:r>
    </w:p>
    <w:p>
      <w:pPr>
        <w:pStyle w:val="BodyText"/>
      </w:pPr>
      <w:r>
        <w:t xml:space="preserve">Records must be kept in an organized format. By state regulation, all business records related to commercial cannabis (financials, payroll, inventory, shipping manifests, lab results, etc.) must be maintained for</w:t>
      </w:r>
      <w:r>
        <w:t xml:space="preserve"> </w:t>
      </w:r>
      <w:r>
        <w:rPr>
          <w:b/>
          <w:bCs/>
        </w:rPr>
        <w:t xml:space="preserve">at least seven years</w:t>
      </w:r>
      <w:hyperlink r:id="rId47">
        <w:r>
          <w:rPr>
            <w:rStyle w:val="Hyperlink"/>
          </w:rPr>
          <w:t xml:space="preserve">[23]</w:t>
        </w:r>
      </w:hyperlink>
      <w:r>
        <w:t xml:space="preserve">. Records should match METRC entries; for example, growers typically archive harvest and transfer records electronically. CCTV footage must be retained a minimum of 90 days</w:t>
      </w:r>
      <w:hyperlink r:id="rId44">
        <w:r>
          <w:rPr>
            <w:rStyle w:val="Hyperlink"/>
          </w:rPr>
          <w:t xml:space="preserve">[21]</w:t>
        </w:r>
      </w:hyperlink>
      <w:r>
        <w:t xml:space="preserve">, though many keep it longer. Logs of pesticide use (as required by DPR) must be kept as long as any product remains in inventory. These records must be made available during inspections or audits by any regulatory agency (state or local).</w:t>
      </w:r>
    </w:p>
    <w:bookmarkEnd w:id="76"/>
    <w:bookmarkStart w:id="80" w:name="X4a92d7cda5eae2f8b5358eac035471d71108b90"/>
    <w:p>
      <w:pPr>
        <w:pStyle w:val="Heading1"/>
      </w:pPr>
      <w:r>
        <w:t xml:space="preserve">Community Relations and Stakeholder Involvement</w:t>
      </w:r>
    </w:p>
    <w:p>
      <w:pPr>
        <w:pStyle w:val="FirstParagraph"/>
      </w:pPr>
      <w:r>
        <w:t xml:space="preserve">Cultivation projects usually involve community process. Local permitting often triggers</w:t>
      </w:r>
      <w:r>
        <w:t xml:space="preserve"> </w:t>
      </w:r>
      <w:r>
        <w:rPr>
          <w:b/>
          <w:bCs/>
        </w:rPr>
        <w:t xml:space="preserve">public hearings</w:t>
      </w:r>
      <w:r>
        <w:t xml:space="preserve"> </w:t>
      </w:r>
      <w:r>
        <w:t xml:space="preserve">(by planning commissions or boards of supervisors) where community members can express support or concerns. Applicants may be required to notify neighbors (often within 300–600 ft) of permit applications, and to post site notices. In some jurisdictions, growers hold neighborhood meetings to explain operations (odor controls, traffic, etc.) before final approvals.</w:t>
      </w:r>
    </w:p>
    <w:p>
      <w:pPr>
        <w:pStyle w:val="BodyText"/>
      </w:pPr>
      <w:r>
        <w:t xml:space="preserve">At the state level, social equity initiatives exist to help communities harmed by prohibition. Kern County itself does not currently run a social equity license program, but the state’s Cannabis Equity Grant funds support local equity efforts statewide</w:t>
      </w:r>
      <w:hyperlink r:id="rId77">
        <w:r>
          <w:rPr>
            <w:rStyle w:val="Hyperlink"/>
          </w:rPr>
          <w:t xml:space="preserve">[42]</w:t>
        </w:r>
      </w:hyperlink>
      <w:r>
        <w:t xml:space="preserve">. Environmental justice concerns are becoming more prominent: growers in disadvantaged rural areas must consider water conservation and pollution impacts carefully.</w:t>
      </w:r>
    </w:p>
    <w:p>
      <w:pPr>
        <w:pStyle w:val="BodyText"/>
      </w:pPr>
      <w:r>
        <w:rPr>
          <w:b/>
          <w:bCs/>
        </w:rPr>
        <w:t xml:space="preserve">Sample compliance documents:</w:t>
      </w:r>
      <w:r>
        <w:t xml:space="preserve"> </w:t>
      </w:r>
      <w:r>
        <w:t xml:space="preserve">Typical required documents include local land-use permits (CUP or zoning clearance), site plans and building permits, environmental review documents (if applicable), security and odor-control plans, standard operating procedures (in SOP form), a Labor Peace Agreement, a signed Landowner Consent, insurance certificates, and, at state level, bonds and identification documents (see Application Resources</w:t>
      </w:r>
      <w:hyperlink r:id="rId40">
        <w:r>
          <w:rPr>
            <w:rStyle w:val="Hyperlink"/>
          </w:rPr>
          <w:t xml:space="preserve">[18]</w:t>
        </w:r>
      </w:hyperlink>
      <w:hyperlink r:id="rId39">
        <w:r>
          <w:rPr>
            <w:rStyle w:val="Hyperlink"/>
          </w:rPr>
          <w:t xml:space="preserve">[17]</w:t>
        </w:r>
      </w:hyperlink>
      <w:r>
        <w:t xml:space="preserve">).</w:t>
      </w:r>
    </w:p>
    <w:p>
      <w:pPr>
        <w:pStyle w:val="BodyText"/>
      </w:pPr>
      <w:r>
        <w:rPr>
          <w:b/>
          <w:bCs/>
        </w:rPr>
        <w:t xml:space="preserve">Regulatory Timeline (illustrative):</w:t>
      </w:r>
      <w:r>
        <w:t xml:space="preserve"> </w:t>
      </w:r>
      <w:r>
        <w:t xml:space="preserve">A prospective grower’s path is: (1) obtain local approval (zoning/CUP, including CEQA clearance); (2) compile documents (SOPs, site control proofs, labor plans, etc.) and apply online at DCC; (3) wait for state review and address any DCC queries; (4) upon conditional approval, pay state license fee; (5) receive license and post it on-site; (6) pass initial inspections (by DCC, fire marshal, etc.) before operations begin. Throughout, maintaining good community relations (e.g. communicating with neighbors and local officials) helps mitigate opposition and risks.</w:t>
      </w:r>
    </w:p>
    <w:p>
      <w:pPr>
        <w:pStyle w:val="BodyText"/>
      </w:pPr>
      <w:r>
        <w:rPr>
          <w:b/>
          <w:bCs/>
        </w:rPr>
        <w:t xml:space="preserve">License Comparison Matrix:</w:t>
      </w:r>
      <w:r>
        <w:t xml:space="preserve"> </w:t>
      </w:r>
      <w:r>
        <w:rPr>
          <w:i/>
          <w:iCs/>
        </w:rPr>
        <w:t xml:space="preserve">See below for a summary of California cultivation license types by canopy or plant limit and general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License Type</w:t>
            </w:r>
          </w:p>
        </w:tc>
        <w:tc>
          <w:tcPr/>
          <w:p>
            <w:pPr>
              <w:pStyle w:val="Compact"/>
            </w:pPr>
            <w:r>
              <w:rPr>
                <w:b/>
                <w:bCs/>
              </w:rPr>
              <w:t xml:space="preserve">Environment</w:t>
            </w:r>
          </w:p>
        </w:tc>
        <w:tc>
          <w:tcPr/>
          <w:p>
            <w:pPr>
              <w:pStyle w:val="Compact"/>
            </w:pPr>
            <w:r>
              <w:rPr>
                <w:b/>
                <w:bCs/>
              </w:rPr>
              <w:t xml:space="preserve">Canopy/Plant Limits</w:t>
            </w:r>
          </w:p>
        </w:tc>
        <w:tc>
          <w:tcPr/>
          <w:p>
            <w:pPr>
              <w:pStyle w:val="Compact"/>
            </w:pPr>
            <w:r>
              <w:rPr>
                <w:b/>
                <w:bCs/>
              </w:rPr>
              <w:t xml:space="preserve">Key Features</w:t>
            </w:r>
          </w:p>
        </w:tc>
      </w:tr>
      <w:tr>
        <w:tc>
          <w:tcPr/>
          <w:p>
            <w:pPr>
              <w:pStyle w:val="Compact"/>
            </w:pPr>
            <w:r>
              <w:t xml:space="preserve">Specialty Cottage – Out</w:t>
            </w:r>
          </w:p>
        </w:tc>
        <w:tc>
          <w:tcPr/>
          <w:p>
            <w:pPr>
              <w:pStyle w:val="Compact"/>
            </w:pPr>
            <w:r>
              <w:t xml:space="preserve">Outdoor</w:t>
            </w:r>
          </w:p>
        </w:tc>
        <w:tc>
          <w:tcPr/>
          <w:p>
            <w:pPr>
              <w:pStyle w:val="Compact"/>
            </w:pPr>
            <w:r>
              <w:t xml:space="preserve">≤25 mature plants or ≤2,500 sq ft total canopy</w:t>
            </w:r>
            <w:hyperlink r:id="rId78">
              <w:r>
                <w:rPr>
                  <w:rStyle w:val="Hyperlink"/>
                </w:rPr>
                <w:t xml:space="preserve">[43]</w:t>
              </w:r>
            </w:hyperlink>
          </w:p>
        </w:tc>
        <w:tc>
          <w:tcPr/>
          <w:p>
            <w:pPr>
              <w:pStyle w:val="Compact"/>
            </w:pPr>
            <w:r>
              <w:t xml:space="preserve">Small hobby-scale grows</w:t>
            </w:r>
          </w:p>
        </w:tc>
      </w:tr>
      <w:tr>
        <w:tc>
          <w:tcPr/>
          <w:p>
            <w:pPr>
              <w:pStyle w:val="Compact"/>
            </w:pPr>
            <w:r>
              <w:t xml:space="preserve">Specialty Cottage – In</w:t>
            </w:r>
          </w:p>
        </w:tc>
        <w:tc>
          <w:tcPr/>
          <w:p>
            <w:pPr>
              <w:pStyle w:val="Compact"/>
            </w:pPr>
            <w:r>
              <w:t xml:space="preserve">Indoor</w:t>
            </w:r>
          </w:p>
        </w:tc>
        <w:tc>
          <w:tcPr/>
          <w:p>
            <w:pPr>
              <w:pStyle w:val="Compact"/>
            </w:pPr>
            <w:r>
              <w:t xml:space="preserve">≤500 sq ft canopy</w:t>
            </w:r>
            <w:hyperlink r:id="rId78">
              <w:r>
                <w:rPr>
                  <w:rStyle w:val="Hyperlink"/>
                </w:rPr>
                <w:t xml:space="preserve">[43]</w:t>
              </w:r>
            </w:hyperlink>
          </w:p>
        </w:tc>
        <w:tc>
          <w:tcPr/>
          <w:p>
            <w:pPr>
              <w:pStyle w:val="Compact"/>
            </w:pPr>
            <w:r>
              <w:t xml:space="preserve">Small indoor hobby grows</w:t>
            </w:r>
          </w:p>
        </w:tc>
      </w:tr>
      <w:tr>
        <w:tc>
          <w:tcPr/>
          <w:p>
            <w:pPr>
              <w:pStyle w:val="Compact"/>
            </w:pPr>
            <w:r>
              <w:t xml:space="preserve">Specialty – Out</w:t>
            </w:r>
          </w:p>
        </w:tc>
        <w:tc>
          <w:tcPr/>
          <w:p>
            <w:pPr>
              <w:pStyle w:val="Compact"/>
            </w:pPr>
            <w:r>
              <w:t xml:space="preserve">Outdoor</w:t>
            </w:r>
          </w:p>
        </w:tc>
        <w:tc>
          <w:tcPr/>
          <w:p>
            <w:pPr>
              <w:pStyle w:val="Compact"/>
            </w:pPr>
            <w:r>
              <w:t xml:space="preserve">≤50 mature plants or ≤5,000 sq ft canopy</w:t>
            </w:r>
            <w:hyperlink r:id="rId32">
              <w:r>
                <w:rPr>
                  <w:rStyle w:val="Hyperlink"/>
                </w:rPr>
                <w:t xml:space="preserve">[11]</w:t>
              </w:r>
            </w:hyperlink>
          </w:p>
        </w:tc>
        <w:tc>
          <w:tcPr/>
          <w:p>
            <w:pPr>
              <w:pStyle w:val="Compact"/>
            </w:pPr>
            <w:r>
              <w:t xml:space="preserve">Small-medium commercial grow</w:t>
            </w:r>
          </w:p>
        </w:tc>
      </w:tr>
      <w:tr>
        <w:tc>
          <w:tcPr/>
          <w:p>
            <w:pPr>
              <w:pStyle w:val="Compact"/>
            </w:pPr>
            <w:r>
              <w:t xml:space="preserve">Specialty – In</w:t>
            </w:r>
          </w:p>
        </w:tc>
        <w:tc>
          <w:tcPr/>
          <w:p>
            <w:pPr>
              <w:pStyle w:val="Compact"/>
            </w:pPr>
            <w:r>
              <w:t xml:space="preserve">Indoor</w:t>
            </w:r>
          </w:p>
        </w:tc>
        <w:tc>
          <w:tcPr/>
          <w:p>
            <w:pPr>
              <w:pStyle w:val="Compact"/>
            </w:pPr>
            <w:r>
              <w:t xml:space="preserve">501–5,000 sq ft canopy</w:t>
            </w:r>
            <w:hyperlink r:id="rId32">
              <w:r>
                <w:rPr>
                  <w:rStyle w:val="Hyperlink"/>
                </w:rPr>
                <w:t xml:space="preserve">[11]</w:t>
              </w:r>
            </w:hyperlink>
          </w:p>
        </w:tc>
        <w:tc>
          <w:tcPr/>
          <w:p>
            <w:pPr>
              <w:pStyle w:val="Compact"/>
            </w:pPr>
            <w:r>
              <w:t xml:space="preserve">Controlled env; limited scale</w:t>
            </w:r>
          </w:p>
        </w:tc>
      </w:tr>
      <w:tr>
        <w:tc>
          <w:tcPr/>
          <w:p>
            <w:pPr>
              <w:pStyle w:val="Compact"/>
            </w:pPr>
            <w:r>
              <w:t xml:space="preserve">Small – Outdoor/Indoor</w:t>
            </w:r>
          </w:p>
        </w:tc>
        <w:tc>
          <w:tcPr/>
          <w:p>
            <w:pPr>
              <w:pStyle w:val="Compact"/>
            </w:pPr>
            <w:r>
              <w:t xml:space="preserve">Both</w:t>
            </w:r>
          </w:p>
        </w:tc>
        <w:tc>
          <w:tcPr/>
          <w:p>
            <w:pPr>
              <w:pStyle w:val="Compact"/>
            </w:pPr>
            <w:r>
              <w:t xml:space="preserve">5,001–10,000 sq ft canopy</w:t>
            </w:r>
            <w:hyperlink r:id="rId33">
              <w:r>
                <w:rPr>
                  <w:rStyle w:val="Hyperlink"/>
                </w:rPr>
                <w:t xml:space="preserve">[12]</w:t>
              </w:r>
            </w:hyperlink>
          </w:p>
        </w:tc>
        <w:tc>
          <w:tcPr/>
          <w:p>
            <w:pPr>
              <w:pStyle w:val="Compact"/>
            </w:pPr>
            <w:r>
              <w:t xml:space="preserve">Mid-scale commercial grow</w:t>
            </w:r>
          </w:p>
        </w:tc>
      </w:tr>
      <w:tr>
        <w:tc>
          <w:tcPr/>
          <w:p>
            <w:pPr>
              <w:pStyle w:val="Compact"/>
            </w:pPr>
            <w:r>
              <w:t xml:space="preserve">Medium – Outdoor</w:t>
            </w:r>
          </w:p>
        </w:tc>
        <w:tc>
          <w:tcPr/>
          <w:p>
            <w:pPr>
              <w:pStyle w:val="Compact"/>
            </w:pPr>
            <w:r>
              <w:t xml:space="preserve">Outdoor</w:t>
            </w:r>
          </w:p>
        </w:tc>
        <w:tc>
          <w:tcPr/>
          <w:p>
            <w:pPr>
              <w:pStyle w:val="Compact"/>
            </w:pPr>
            <w:r>
              <w:t xml:space="preserve">10,001 sq ft up to 1 acre</w:t>
            </w:r>
            <w:hyperlink r:id="rId34">
              <w:r>
                <w:rPr>
                  <w:rStyle w:val="Hyperlink"/>
                </w:rPr>
                <w:t xml:space="preserve">[13]</w:t>
              </w:r>
            </w:hyperlink>
          </w:p>
        </w:tc>
        <w:tc>
          <w:tcPr/>
          <w:p>
            <w:pPr>
              <w:pStyle w:val="Compact"/>
            </w:pPr>
            <w:r>
              <w:t xml:space="preserve">Large outdoor; ag-scale</w:t>
            </w:r>
          </w:p>
        </w:tc>
      </w:tr>
      <w:tr>
        <w:tc>
          <w:tcPr/>
          <w:p>
            <w:pPr>
              <w:pStyle w:val="Compact"/>
            </w:pPr>
            <w:r>
              <w:t xml:space="preserve">Medium – Indoor</w:t>
            </w:r>
          </w:p>
        </w:tc>
        <w:tc>
          <w:tcPr/>
          <w:p>
            <w:pPr>
              <w:pStyle w:val="Compact"/>
            </w:pPr>
            <w:r>
              <w:t xml:space="preserve">Indoor</w:t>
            </w:r>
          </w:p>
        </w:tc>
        <w:tc>
          <w:tcPr/>
          <w:p>
            <w:pPr>
              <w:pStyle w:val="Compact"/>
            </w:pPr>
            <w:r>
              <w:t xml:space="preserve">10,001–22,000 sq ft canopy</w:t>
            </w:r>
            <w:hyperlink r:id="rId34">
              <w:r>
                <w:rPr>
                  <w:rStyle w:val="Hyperlink"/>
                </w:rPr>
                <w:t xml:space="preserve">[13]</w:t>
              </w:r>
            </w:hyperlink>
          </w:p>
        </w:tc>
        <w:tc>
          <w:tcPr/>
          <w:p>
            <w:pPr>
              <w:pStyle w:val="Compact"/>
            </w:pPr>
            <w:r>
              <w:t xml:space="preserve">Very large indoor warehouse grow</w:t>
            </w:r>
          </w:p>
        </w:tc>
      </w:tr>
      <w:tr>
        <w:tc>
          <w:tcPr/>
          <w:p>
            <w:pPr>
              <w:pStyle w:val="Compact"/>
            </w:pPr>
            <w:r>
              <w:t xml:space="preserve">Large – Outdoor</w:t>
            </w:r>
          </w:p>
        </w:tc>
        <w:tc>
          <w:tcPr/>
          <w:p>
            <w:pPr>
              <w:pStyle w:val="Compact"/>
            </w:pPr>
            <w:r>
              <w:t xml:space="preserve">Outdoor</w:t>
            </w:r>
          </w:p>
        </w:tc>
        <w:tc>
          <w:tcPr/>
          <w:p>
            <w:pPr>
              <w:pStyle w:val="Compact"/>
            </w:pPr>
            <w:r>
              <w:t xml:space="preserve">&gt;1 acre canopy</w:t>
            </w:r>
            <w:hyperlink r:id="rId79">
              <w:r>
                <w:rPr>
                  <w:rStyle w:val="Hyperlink"/>
                </w:rPr>
                <w:t xml:space="preserve">[44]</w:t>
              </w:r>
            </w:hyperlink>
          </w:p>
        </w:tc>
        <w:tc>
          <w:tcPr/>
          <w:p>
            <w:pPr>
              <w:pStyle w:val="Compact"/>
            </w:pPr>
            <w:r>
              <w:t xml:space="preserve">Industrial-scale outdoor farms</w:t>
            </w:r>
          </w:p>
        </w:tc>
      </w:tr>
      <w:tr>
        <w:tc>
          <w:tcPr/>
          <w:p>
            <w:pPr>
              <w:pStyle w:val="Compact"/>
            </w:pPr>
            <w:r>
              <w:t xml:space="preserve">Large – Indoor</w:t>
            </w:r>
          </w:p>
        </w:tc>
        <w:tc>
          <w:tcPr/>
          <w:p>
            <w:pPr>
              <w:pStyle w:val="Compact"/>
            </w:pPr>
            <w:r>
              <w:t xml:space="preserve">Indoor</w:t>
            </w:r>
          </w:p>
        </w:tc>
        <w:tc>
          <w:tcPr/>
          <w:p>
            <w:pPr>
              <w:pStyle w:val="Compact"/>
            </w:pPr>
            <w:r>
              <w:t xml:space="preserve">&gt;22,000 sq ft canopy</w:t>
            </w:r>
            <w:hyperlink r:id="rId79">
              <w:r>
                <w:rPr>
                  <w:rStyle w:val="Hyperlink"/>
                </w:rPr>
                <w:t xml:space="preserve">[44]</w:t>
              </w:r>
            </w:hyperlink>
          </w:p>
        </w:tc>
        <w:tc>
          <w:tcPr/>
          <w:p>
            <w:pPr>
              <w:pStyle w:val="Compact"/>
            </w:pPr>
            <w:r>
              <w:t xml:space="preserve">Very large indoor warehouses</w:t>
            </w:r>
          </w:p>
        </w:tc>
      </w:tr>
      <w:tr>
        <w:tc>
          <w:tcPr/>
          <w:p>
            <w:pPr>
              <w:pStyle w:val="Compact"/>
            </w:pPr>
            <w:r>
              <w:t xml:space="preserve">Nursery</w:t>
            </w:r>
          </w:p>
        </w:tc>
        <w:tc>
          <w:tcPr/>
          <w:p>
            <w:pPr>
              <w:pStyle w:val="Compact"/>
            </w:pPr>
            <w:r>
              <w:t xml:space="preserve">Greenhouse/Ind</w:t>
            </w:r>
          </w:p>
        </w:tc>
        <w:tc>
          <w:tcPr/>
          <w:p>
            <w:pPr>
              <w:pStyle w:val="Compact"/>
            </w:pPr>
            <w:r>
              <w:t xml:space="preserve">No flower canopy – clones &amp; seeds only</w:t>
            </w:r>
            <w:hyperlink r:id="rId36">
              <w:r>
                <w:rPr>
                  <w:rStyle w:val="Hyperlink"/>
                </w:rPr>
                <w:t xml:space="preserve">[15]</w:t>
              </w:r>
            </w:hyperlink>
          </w:p>
        </w:tc>
        <w:tc>
          <w:tcPr/>
          <w:p>
            <w:pPr>
              <w:pStyle w:val="Compact"/>
            </w:pPr>
            <w:r>
              <w:t xml:space="preserve">Propagation facilities</w:t>
            </w:r>
          </w:p>
        </w:tc>
      </w:tr>
      <w:tr>
        <w:tc>
          <w:tcPr/>
          <w:p>
            <w:pPr>
              <w:pStyle w:val="Compact"/>
            </w:pPr>
            <w:r>
              <w:t xml:space="preserve">Processor</w:t>
            </w:r>
          </w:p>
        </w:tc>
        <w:tc>
          <w:tcPr/>
          <w:p>
            <w:pPr>
              <w:pStyle w:val="Compact"/>
            </w:pPr>
            <w:r>
              <w:t xml:space="preserve">Any</w:t>
            </w:r>
          </w:p>
        </w:tc>
        <w:tc>
          <w:tcPr/>
          <w:p>
            <w:pPr>
              <w:pStyle w:val="Compact"/>
            </w:pPr>
            <w:r>
              <w:t xml:space="preserve">No flower growing – trimming/drying only</w:t>
            </w:r>
            <w:hyperlink r:id="rId36">
              <w:r>
                <w:rPr>
                  <w:rStyle w:val="Hyperlink"/>
                </w:rPr>
                <w:t xml:space="preserve">[15]</w:t>
              </w:r>
            </w:hyperlink>
          </w:p>
        </w:tc>
        <w:tc>
          <w:tcPr/>
          <w:p>
            <w:pPr>
              <w:pStyle w:val="Compact"/>
            </w:pPr>
            <w:r>
              <w:t xml:space="preserve">Post-harvest processing units</w:t>
            </w:r>
          </w:p>
        </w:tc>
      </w:tr>
    </w:tbl>
    <w:p>
      <w:pPr>
        <w:pStyle w:val="BodyText"/>
      </w:pPr>
      <w:r>
        <w:rPr>
          <w:b/>
          <w:bCs/>
        </w:rPr>
        <w:t xml:space="preserve">Compliance Checklist (non-exhaustive):</w:t>
      </w:r>
      <w:r>
        <w:t xml:space="preserve"> </w:t>
      </w:r>
      <w:r>
        <w:t xml:space="preserve">Cultivators must assemble: local permit/CUP approval; evidence of site control (deed or lease and</w:t>
      </w:r>
      <w:r>
        <w:t xml:space="preserve"> </w:t>
      </w:r>
      <w:r>
        <w:rPr>
          <w:b/>
          <w:bCs/>
        </w:rPr>
        <w:t xml:space="preserve">Landowner Consent</w:t>
      </w:r>
      <w:hyperlink r:id="rId39">
        <w:r>
          <w:rPr>
            <w:rStyle w:val="Hyperlink"/>
          </w:rPr>
          <w:t xml:space="preserve">[17]</w:t>
        </w:r>
      </w:hyperlink>
      <w:r>
        <w:t xml:space="preserve">); state license application (forms plus background checks); $5,000 surety bond</w:t>
      </w:r>
      <w:hyperlink r:id="rId40">
        <w:r>
          <w:rPr>
            <w:rStyle w:val="Hyperlink"/>
          </w:rPr>
          <w:t xml:space="preserve">[18]</w:t>
        </w:r>
      </w:hyperlink>
      <w:r>
        <w:t xml:space="preserve">; SOPs (security, inventory, recall, etc.); labor peace agreement; building permits (if constructing greenhouses/structures); fire-safety approvals; water-right documentation or registration; and proof of insurance. Ongoing tasks include timely METRC entries, tax filings (excise/sales tax returns), annual license renewal, and continual adherence to environmental and worker-safety regulations.</w:t>
      </w:r>
    </w:p>
    <w:p>
      <w:pPr>
        <w:pStyle w:val="BodyText"/>
      </w:pPr>
      <w:r>
        <w:rPr>
          <w:b/>
          <w:bCs/>
        </w:rPr>
        <w:t xml:space="preserve">Sources:</w:t>
      </w:r>
      <w:r>
        <w:t xml:space="preserve"> </w:t>
      </w:r>
      <w:r>
        <w:t xml:space="preserve">Government regulations and reports (federal and state), agency guidance (DEA, IRS, FinCEN, DCC, Water Boards, DPR), and local codes and analyses were reviewed. Key references are cited in brackets</w:t>
      </w:r>
      <w:hyperlink r:id="rId21">
        <w:r>
          <w:rPr>
            <w:rStyle w:val="Hyperlink"/>
          </w:rPr>
          <w:t xml:space="preserve">[1]</w:t>
        </w:r>
      </w:hyperlink>
      <w:hyperlink r:id="rId24">
        <w:r>
          <w:rPr>
            <w:rStyle w:val="Hyperlink"/>
          </w:rPr>
          <w:t xml:space="preserve">[4]</w:t>
        </w:r>
      </w:hyperlink>
      <w:hyperlink r:id="rId40">
        <w:r>
          <w:rPr>
            <w:rStyle w:val="Hyperlink"/>
          </w:rPr>
          <w:t xml:space="preserve">[18]</w:t>
        </w:r>
      </w:hyperlink>
      <w:hyperlink r:id="rId31">
        <w:r>
          <w:rPr>
            <w:rStyle w:val="Hyperlink"/>
          </w:rPr>
          <w:t xml:space="preserve">[10]</w:t>
        </w:r>
      </w:hyperlink>
      <w:hyperlink r:id="rId71">
        <w:r>
          <w:rPr>
            <w:rStyle w:val="Hyperlink"/>
          </w:rPr>
          <w:t xml:space="preserve">[38]</w:t>
        </w:r>
      </w:hyperlink>
      <w:r>
        <w:t xml:space="preserve">. These illustrate California’s current (2023–25) regulatory regime; license types and tax rates are updated for mid-2025 changes</w:t>
      </w:r>
      <w:hyperlink r:id="rId49">
        <w:r>
          <w:rPr>
            <w:rStyle w:val="Hyperlink"/>
          </w:rPr>
          <w:t xml:space="preserve">[24]</w:t>
        </w:r>
      </w:hyperlink>
      <w:hyperlink r:id="rId31">
        <w:r>
          <w:rPr>
            <w:rStyle w:val="Hyperlink"/>
          </w:rPr>
          <w:t xml:space="preserve">[10]</w:t>
        </w:r>
      </w:hyperlink>
      <w:r>
        <w:t xml:space="preserve">. Tables and checklists are based on compiled regulatory data and typical industry practices (with all major facts cited from official sources).</w:t>
      </w:r>
    </w:p>
    <w:bookmarkEnd w:id="80"/>
    <w:bookmarkEnd w:id="81"/>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r>
        <w:t xml:space="preserve">Drug Fact Sheet: Marijuana/Cannabis</w:t>
      </w:r>
    </w:p>
    <w:p>
      <w:pPr>
        <w:pStyle w:val="BodyText"/>
      </w:pPr>
      <w:hyperlink r:id="rId82">
        <w:r>
          <w:rPr>
            <w:rStyle w:val="Hyperlink"/>
          </w:rPr>
          <w:t xml:space="preserve">https://www.dea.gov/sites/default/files/2020-06/Marijuana-Cannabis-2020_0.pdf</w:t>
        </w:r>
      </w:hyperlink>
    </w:p>
    <w:p>
      <w:pPr>
        <w:pStyle w:val="BodyText"/>
      </w:pPr>
      <w:hyperlink r:id="rId22">
        <w:r>
          <w:rPr>
            <w:rStyle w:val="Hyperlink"/>
          </w:rPr>
          <w:t xml:space="preserve">[2]</w:t>
        </w:r>
      </w:hyperlink>
      <w:r>
        <w:t xml:space="preserve"> </w:t>
      </w:r>
      <w:r>
        <w:t xml:space="preserve"> </w:t>
      </w:r>
      <w:r>
        <w:t xml:space="preserve">Federal Register</w:t>
      </w:r>
      <w:r>
        <w:t xml:space="preserve"> </w:t>
      </w:r>
      <w:r>
        <w:t xml:space="preserve">::</w:t>
      </w:r>
      <w:r>
        <w:t xml:space="preserve"> </w:t>
      </w:r>
      <w:r>
        <w:t xml:space="preserve">Schedules of Controlled Substances: Rescheduling of Marijuana</w:t>
      </w:r>
      <w:r>
        <w:t xml:space="preserve"> </w:t>
      </w:r>
    </w:p>
    <w:p>
      <w:pPr>
        <w:pStyle w:val="BodyText"/>
      </w:pPr>
      <w:hyperlink r:id="rId83">
        <w:r>
          <w:rPr>
            <w:rStyle w:val="Hyperlink"/>
          </w:rPr>
          <w:t xml:space="preserve">https://www.federalregister.gov/documents/2024/05/21/2024-11137/schedules-of-controlled-substances-rescheduling-of-marijuana</w:t>
        </w:r>
      </w:hyperlink>
    </w:p>
    <w:p>
      <w:pPr>
        <w:pStyle w:val="BodyText"/>
      </w:pPr>
      <w:hyperlink r:id="rId23">
        <w:r>
          <w:rPr>
            <w:rStyle w:val="Hyperlink"/>
          </w:rPr>
          <w:t xml:space="preserve">[3]</w:t>
        </w:r>
      </w:hyperlink>
      <w:r>
        <w:t xml:space="preserve"> </w:t>
      </w:r>
      <w:r>
        <w:t xml:space="preserve">DEA Releases 2025 National Drug Threat Assessment</w:t>
      </w:r>
    </w:p>
    <w:p>
      <w:pPr>
        <w:pStyle w:val="BodyText"/>
      </w:pPr>
      <w:hyperlink r:id="rId84">
        <w:r>
          <w:rPr>
            <w:rStyle w:val="Hyperlink"/>
          </w:rPr>
          <w:t xml:space="preserve">https://www.dea.gov/press-releases/2025/05/15/dea-releases-2025-national-drug-threat-assessment</w:t>
        </w:r>
      </w:hyperlink>
    </w:p>
    <w:p>
      <w:pPr>
        <w:pStyle w:val="BodyText"/>
      </w:pPr>
      <w:hyperlink r:id="rId24">
        <w:r>
          <w:rPr>
            <w:rStyle w:val="Hyperlink"/>
          </w:rPr>
          <w:t xml:space="preserve">[4]</w:t>
        </w:r>
      </w:hyperlink>
      <w:r>
        <w:t xml:space="preserve"> </w:t>
      </w:r>
      <w:r>
        <w:t xml:space="preserve">IRS: Marijuana remains a Schedule I controlled substance; Internal Revenue Code Section 280E still applies | Internal Revenue Service</w:t>
      </w:r>
    </w:p>
    <w:p>
      <w:pPr>
        <w:pStyle w:val="BodyText"/>
      </w:pPr>
      <w:hyperlink r:id="rId85">
        <w:r>
          <w:rPr>
            <w:rStyle w:val="Hyperlink"/>
          </w:rPr>
          <w:t xml:space="preserve">https://www.irs.gov/newsroom/irs-marijuana-remains-a-schedule-i-controlled-substance-internal-revenue-code-section-280e-still-applies</w:t>
        </w:r>
      </w:hyperlink>
    </w:p>
    <w:p>
      <w:pPr>
        <w:pStyle w:val="BodyText"/>
      </w:pPr>
      <w:hyperlink r:id="rId25">
        <w:r>
          <w:rPr>
            <w:rStyle w:val="Hyperlink"/>
          </w:rPr>
          <w:t xml:space="preserve">[5]</w:t>
        </w:r>
      </w:hyperlink>
      <w:r>
        <w:t xml:space="preserve"> </w:t>
      </w:r>
      <w:r>
        <w:t xml:space="preserve">Cannabis Banking | American Bankers Association</w:t>
      </w:r>
    </w:p>
    <w:p>
      <w:pPr>
        <w:pStyle w:val="BodyText"/>
      </w:pPr>
      <w:hyperlink r:id="rId86">
        <w:r>
          <w:rPr>
            <w:rStyle w:val="Hyperlink"/>
          </w:rPr>
          <w:t xml:space="preserve">https://www.aba.com/advocacy/our-issues/cannabis</w:t>
        </w:r>
      </w:hyperlink>
    </w:p>
    <w:p>
      <w:pPr>
        <w:pStyle w:val="BodyText"/>
      </w:pPr>
      <w:hyperlink r:id="rId26">
        <w:r>
          <w:rPr>
            <w:rStyle w:val="Hyperlink"/>
          </w:rPr>
          <w:t xml:space="preserve">[6]</w:t>
        </w:r>
      </w:hyperlink>
      <w:r>
        <w:t xml:space="preserve"> </w:t>
      </w:r>
      <w:r>
        <w:t xml:space="preserve">Shield Compliance | Cannabis-friendly banks face pressure to differentiate| Cannabis Banking Compliance Solutions</w:t>
      </w:r>
    </w:p>
    <w:p>
      <w:pPr>
        <w:pStyle w:val="BodyText"/>
      </w:pPr>
      <w:hyperlink r:id="rId87">
        <w:r>
          <w:rPr>
            <w:rStyle w:val="Hyperlink"/>
          </w:rPr>
          <w:t xml:space="preserve">https://www.shieldbanking.com/post/cannabis-friendly-banks-face-pressure-to-differentiate</w:t>
        </w:r>
      </w:hyperlink>
    </w:p>
    <w:p>
      <w:pPr>
        <w:pStyle w:val="BodyText"/>
      </w:pPr>
      <w:hyperlink r:id="rId27">
        <w:r>
          <w:rPr>
            <w:rStyle w:val="Hyperlink"/>
          </w:rPr>
          <w:t xml:space="preserve">[7]</w:t>
        </w:r>
      </w:hyperlink>
      <w:r>
        <w:t xml:space="preserve"> </w:t>
      </w:r>
      <w:r>
        <w:t xml:space="preserve">Transporting Marijuana: Laws and Regulations - FindLaw</w:t>
      </w:r>
    </w:p>
    <w:p>
      <w:pPr>
        <w:pStyle w:val="BodyText"/>
      </w:pPr>
      <w:hyperlink r:id="rId88">
        <w:r>
          <w:rPr>
            <w:rStyle w:val="Hyperlink"/>
          </w:rPr>
          <w:t xml:space="preserve">https://www.findlaw.com/cannabis-law/cannabis-laws-and-regulations/transporting-marijuana-laws-and-regulations.html</w:t>
        </w:r>
      </w:hyperlink>
    </w:p>
    <w:p>
      <w:pPr>
        <w:pStyle w:val="BodyText"/>
      </w:pPr>
      <w:hyperlink r:id="rId28">
        <w:r>
          <w:rPr>
            <w:rStyle w:val="Hyperlink"/>
          </w:rPr>
          <w:t xml:space="preserve">[8]</w:t>
        </w:r>
      </w:hyperlink>
      <w:r>
        <w:t xml:space="preserve"> </w:t>
      </w:r>
      <w:r>
        <w:t xml:space="preserve">Industrial Hemp Farmers in Need of Federal Crop Insurance - Legally Grown</w:t>
      </w:r>
    </w:p>
    <w:p>
      <w:pPr>
        <w:pStyle w:val="BodyText"/>
      </w:pPr>
      <w:hyperlink r:id="rId89">
        <w:r>
          <w:rPr>
            <w:rStyle w:val="Hyperlink"/>
          </w:rPr>
          <w:t xml:space="preserve">https://norrismclaughlin.com/lg/general-business/industrial-hemp-farmers-in-need-of-federal-crop-insurance/</w:t>
        </w:r>
      </w:hyperlink>
    </w:p>
    <w:p>
      <w:pPr>
        <w:pStyle w:val="BodyText"/>
      </w:pPr>
      <w:hyperlink r:id="rId30">
        <w:r>
          <w:rPr>
            <w:rStyle w:val="Hyperlink"/>
          </w:rPr>
          <w:t xml:space="preserve">[9]</w:t>
        </w:r>
      </w:hyperlink>
      <w:r>
        <w:t xml:space="preserve"> </w:t>
      </w:r>
      <w:r>
        <w:t xml:space="preserve">California to Add a New Type of Cannabis License, the Combined Activities License » Law Offices of Omar Figueroa</w:t>
      </w:r>
    </w:p>
    <w:p>
      <w:pPr>
        <w:pStyle w:val="BodyText"/>
      </w:pPr>
      <w:hyperlink r:id="rId90">
        <w:r>
          <w:rPr>
            <w:rStyle w:val="Hyperlink"/>
          </w:rPr>
          <w:t xml:space="preserve">https://www.omarfigueroa.com/california-to-add-a-new-type-of-cannabis-license-the-combined-activities-license/</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78">
        <w:r>
          <w:rPr>
            <w:rStyle w:val="Hyperlink"/>
          </w:rPr>
          <w:t xml:space="preserve">[43]</w:t>
        </w:r>
      </w:hyperlink>
      <w:r>
        <w:t xml:space="preserve"> </w:t>
      </w:r>
      <w:hyperlink r:id="rId79">
        <w:r>
          <w:rPr>
            <w:rStyle w:val="Hyperlink"/>
          </w:rPr>
          <w:t xml:space="preserve">[44]</w:t>
        </w:r>
      </w:hyperlink>
      <w:r>
        <w:t xml:space="preserve"> </w:t>
      </w:r>
      <w:r>
        <w:t xml:space="preserve">License types - Department of Cannabis Control</w:t>
      </w:r>
    </w:p>
    <w:p>
      <w:pPr>
        <w:pStyle w:val="BodyText"/>
      </w:pPr>
      <w:hyperlink r:id="rId91">
        <w:r>
          <w:rPr>
            <w:rStyle w:val="Hyperlink"/>
          </w:rPr>
          <w:t xml:space="preserve">https://cannabis.ca.gov/applicants/license-types/</w:t>
        </w:r>
      </w:hyperlink>
    </w:p>
    <w:p>
      <w:pPr>
        <w:pStyle w:val="BodyText"/>
      </w:pPr>
      <w:hyperlink r:id="rId38">
        <w:r>
          <w:rPr>
            <w:rStyle w:val="Hyperlink"/>
          </w:rPr>
          <w:t xml:space="preserve">[16]</w:t>
        </w:r>
      </w:hyperlink>
      <w:r>
        <w:t xml:space="preserve"> </w:t>
      </w:r>
      <w:r>
        <w:t xml:space="preserve">How to apply for a license - Department of Cannabis Control</w:t>
      </w:r>
    </w:p>
    <w:p>
      <w:pPr>
        <w:pStyle w:val="BodyText"/>
      </w:pPr>
      <w:hyperlink r:id="rId92">
        <w:r>
          <w:rPr>
            <w:rStyle w:val="Hyperlink"/>
          </w:rPr>
          <w:t xml:space="preserve">https://cannabis.ca.gov/applicants/how-to-apply/</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Application resources - Department of Cannabis Control</w:t>
      </w:r>
    </w:p>
    <w:p>
      <w:pPr>
        <w:pStyle w:val="BodyText"/>
      </w:pPr>
      <w:hyperlink r:id="rId93">
        <w:r>
          <w:rPr>
            <w:rStyle w:val="Hyperlink"/>
          </w:rPr>
          <w:t xml:space="preserve">https://cannabis.ca.gov/applicants/application-resources/</w:t>
        </w:r>
      </w:hyperlink>
    </w:p>
    <w:p>
      <w:pPr>
        <w:pStyle w:val="BodyText"/>
      </w:pPr>
      <w:hyperlink r:id="rId43">
        <w:r>
          <w:rPr>
            <w:rStyle w:val="Hyperlink"/>
          </w:rPr>
          <w:t xml:space="preserve">[20]</w:t>
        </w:r>
      </w:hyperlink>
      <w:r>
        <w:t xml:space="preserve"> </w:t>
      </w:r>
      <w:r>
        <w:t xml:space="preserve">5 Steps to using the Track and Trace System - Department of Cannabis Control</w:t>
      </w:r>
    </w:p>
    <w:p>
      <w:pPr>
        <w:pStyle w:val="BodyText"/>
      </w:pPr>
      <w:hyperlink r:id="rId94">
        <w:r>
          <w:rPr>
            <w:rStyle w:val="Hyperlink"/>
          </w:rPr>
          <w:t xml:space="preserve">https://cannabis.ca.gov/2023/10/5-steps-to-using-the-track-and-trace-system/</w:t>
        </w:r>
      </w:hyperlink>
    </w:p>
    <w:p>
      <w:pPr>
        <w:pStyle w:val="BodyText"/>
      </w:pPr>
      <w:hyperlink r:id="rId44">
        <w:r>
          <w:rPr>
            <w:rStyle w:val="Hyperlink"/>
          </w:rPr>
          <w:t xml:space="preserve">[21]</w:t>
        </w:r>
      </w:hyperlink>
      <w:r>
        <w:t xml:space="preserve"> </w:t>
      </w:r>
      <w:hyperlink r:id="rId46">
        <w:r>
          <w:rPr>
            <w:rStyle w:val="Hyperlink"/>
          </w:rPr>
          <w:t xml:space="preserve">[22]</w:t>
        </w:r>
      </w:hyperlink>
      <w:r>
        <w:t xml:space="preserve"> </w:t>
      </w:r>
      <w:r>
        <w:t xml:space="preserve">Security requirements for the cannabis industry in California</w:t>
      </w:r>
    </w:p>
    <w:p>
      <w:pPr>
        <w:pStyle w:val="BodyText"/>
      </w:pPr>
      <w:hyperlink r:id="rId95">
        <w:r>
          <w:rPr>
            <w:rStyle w:val="Hyperlink"/>
          </w:rPr>
          <w:t xml:space="preserve">https://www.security101.com/blog/security-requirements-for-the-cannabis-industry-in-california</w:t>
        </w:r>
      </w:hyperlink>
    </w:p>
    <w:p>
      <w:pPr>
        <w:pStyle w:val="BodyText"/>
      </w:pPr>
      <w:hyperlink r:id="rId47">
        <w:r>
          <w:rPr>
            <w:rStyle w:val="Hyperlink"/>
          </w:rPr>
          <w:t xml:space="preserve">[23]</w:t>
        </w:r>
      </w:hyperlink>
      <w:r>
        <w:t xml:space="preserve"> </w:t>
      </w:r>
      <w:r>
        <w:t xml:space="preserve">Guide to Cannabis Business Data Retention Requirements - Cure8</w:t>
      </w:r>
    </w:p>
    <w:p>
      <w:pPr>
        <w:pStyle w:val="BodyText"/>
      </w:pPr>
      <w:hyperlink r:id="rId96">
        <w:r>
          <w:rPr>
            <w:rStyle w:val="Hyperlink"/>
          </w:rPr>
          <w:t xml:space="preserve">https://cure8.tech/cannabis-business-data-retention-requirements/</w:t>
        </w:r>
      </w:hyperlink>
    </w:p>
    <w:p>
      <w:pPr>
        <w:pStyle w:val="BodyText"/>
      </w:pPr>
      <w:hyperlink r:id="rId49">
        <w:r>
          <w:rPr>
            <w:rStyle w:val="Hyperlink"/>
          </w:rPr>
          <w:t xml:space="preserve">[24]</w:t>
        </w:r>
      </w:hyperlink>
      <w:r>
        <w:t xml:space="preserve"> </w:t>
      </w:r>
      <w:r>
        <w:t xml:space="preserve">L-979, New Cannabis Excise Tax Rate Effective July 1, 2025</w:t>
      </w:r>
    </w:p>
    <w:p>
      <w:pPr>
        <w:pStyle w:val="BodyText"/>
      </w:pPr>
      <w:hyperlink r:id="rId97">
        <w:r>
          <w:rPr>
            <w:rStyle w:val="Hyperlink"/>
          </w:rPr>
          <w:t xml:space="preserve">https://cdtfa.ca.gov/formspubs/l979.pdf</w:t>
        </w:r>
      </w:hyperlink>
    </w:p>
    <w:p>
      <w:pPr>
        <w:pStyle w:val="BodyText"/>
      </w:pPr>
      <w:hyperlink r:id="rId50">
        <w:r>
          <w:rPr>
            <w:rStyle w:val="Hyperlink"/>
          </w:rPr>
          <w:t xml:space="preserve">[25]</w:t>
        </w:r>
      </w:hyperlink>
      <w:r>
        <w:t xml:space="preserve"> </w:t>
      </w:r>
      <w:r>
        <w:t xml:space="preserve">California tax on legal weed increases as industry struggles</w:t>
      </w:r>
    </w:p>
    <w:p>
      <w:pPr>
        <w:pStyle w:val="BodyText"/>
      </w:pPr>
      <w:hyperlink r:id="rId98">
        <w:r>
          <w:rPr>
            <w:rStyle w:val="Hyperlink"/>
          </w:rPr>
          <w:t xml:space="preserve">https://calmatters.org/politics/2025/07/california-marijuana-excise-tax-increase/</w:t>
        </w:r>
      </w:hyperlink>
    </w:p>
    <w:p>
      <w:pPr>
        <w:pStyle w:val="BodyText"/>
      </w:pPr>
      <w:hyperlink r:id="rId51">
        <w:r>
          <w:rPr>
            <w:rStyle w:val="Hyperlink"/>
          </w:rPr>
          <w:t xml:space="preserve">[26]</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62">
        <w:r>
          <w:rPr>
            <w:rStyle w:val="Hyperlink"/>
          </w:rPr>
          <w:t xml:space="preserve">[34]</w:t>
        </w:r>
      </w:hyperlink>
      <w:r>
        <w:t xml:space="preserve"> </w:t>
      </w:r>
      <w:hyperlink r:id="rId63">
        <w:r>
          <w:rPr>
            <w:rStyle w:val="Hyperlink"/>
          </w:rPr>
          <w:t xml:space="preserve">[35]</w:t>
        </w:r>
      </w:hyperlink>
      <w:r>
        <w:t xml:space="preserve"> </w:t>
      </w:r>
      <w:r>
        <w:t xml:space="preserve">Kern County Cannabis – Is It Legal &amp; Where To Buy 2025 | CaliforniaCannabis.org</w:t>
      </w:r>
    </w:p>
    <w:p>
      <w:pPr>
        <w:pStyle w:val="BodyText"/>
      </w:pPr>
      <w:hyperlink r:id="rId99">
        <w:r>
          <w:rPr>
            <w:rStyle w:val="Hyperlink"/>
          </w:rPr>
          <w:t xml:space="preserve">https://californiacannabis.org/kern</w:t>
        </w:r>
      </w:hyperlink>
    </w:p>
    <w:p>
      <w:pPr>
        <w:pStyle w:val="BodyText"/>
      </w:pPr>
      <w:hyperlink r:id="rId53">
        <w:r>
          <w:rPr>
            <w:rStyle w:val="Hyperlink"/>
          </w:rPr>
          <w:t xml:space="preserve">[27]</w:t>
        </w:r>
      </w:hyperlink>
      <w:r>
        <w:t xml:space="preserve"> </w:t>
      </w:r>
      <w:r>
        <w:t xml:space="preserve">CEQA review for cannabis businesses - Department of Cannabis Control</w:t>
      </w:r>
    </w:p>
    <w:p>
      <w:pPr>
        <w:pStyle w:val="BodyText"/>
      </w:pPr>
      <w:hyperlink r:id="rId100">
        <w:r>
          <w:rPr>
            <w:rStyle w:val="Hyperlink"/>
          </w:rPr>
          <w:t xml:space="preserve">https://cannabis.ca.gov/applicants/ceqa-review-for-cannabis-businesses/</w:t>
        </w:r>
      </w:hyperlink>
    </w:p>
    <w:p>
      <w:pPr>
        <w:pStyle w:val="BodyText"/>
      </w:pPr>
      <w:hyperlink r:id="rId54">
        <w:r>
          <w:rPr>
            <w:rStyle w:val="Hyperlink"/>
          </w:rPr>
          <w:t xml:space="preserve">[28]</w:t>
        </w:r>
      </w:hyperlink>
      <w:r>
        <w:t xml:space="preserve"> </w:t>
      </w:r>
      <w:r>
        <w:t xml:space="preserve">Cannabis Cultivation Waste Discharge Regulatory Program | Lahontan Regional Water Quality Control Board</w:t>
      </w:r>
    </w:p>
    <w:p>
      <w:pPr>
        <w:pStyle w:val="BodyText"/>
      </w:pPr>
      <w:hyperlink r:id="rId101">
        <w:r>
          <w:rPr>
            <w:rStyle w:val="Hyperlink"/>
          </w:rPr>
          <w:t xml:space="preserve">https://www.waterboards.ca.gov/lahontan/water_issues/programs/cannabis/</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r>
        <w:t xml:space="preserve">State Water Board - Cannabis Cultivation Water Rights | California State Water Resources Control Board</w:t>
      </w:r>
    </w:p>
    <w:p>
      <w:pPr>
        <w:pStyle w:val="BodyText"/>
      </w:pPr>
      <w:hyperlink r:id="rId102">
        <w:r>
          <w:rPr>
            <w:rStyle w:val="Hyperlink"/>
          </w:rPr>
          <w:t xml:space="preserve">https://www.waterboards.ca.gov/water_issues/programs/cannabis/cannabis_water_rights.html</w:t>
        </w:r>
      </w:hyperlink>
    </w:p>
    <w:p>
      <w:pPr>
        <w:pStyle w:val="BodyText"/>
      </w:pPr>
      <w:hyperlink r:id="rId57">
        <w:r>
          <w:rPr>
            <w:rStyle w:val="Hyperlink"/>
          </w:rPr>
          <w:t xml:space="preserve">[31]</w:t>
        </w:r>
      </w:hyperlink>
      <w:r>
        <w:t xml:space="preserve"> </w:t>
      </w:r>
      <w:r>
        <w:t xml:space="preserve">Cannabis Legal Pesticide Use</w:t>
      </w:r>
    </w:p>
    <w:p>
      <w:pPr>
        <w:pStyle w:val="BodyText"/>
      </w:pPr>
      <w:hyperlink r:id="rId103">
        <w:r>
          <w:rPr>
            <w:rStyle w:val="Hyperlink"/>
          </w:rPr>
          <w:t xml:space="preserve">https://www.cdpr.ca.gov/wp-content/uploads/2024/08/can_use_pesticide.pdf</w:t>
        </w:r>
      </w:hyperlink>
    </w:p>
    <w:p>
      <w:pPr>
        <w:pStyle w:val="BodyText"/>
      </w:pPr>
      <w:hyperlink r:id="rId64">
        <w:r>
          <w:rPr>
            <w:rStyle w:val="Hyperlink"/>
          </w:rPr>
          <w:t xml:space="preserve">[36]</w:t>
        </w:r>
      </w:hyperlink>
      <w:r>
        <w:t xml:space="preserve"> </w:t>
      </w:r>
      <w:r>
        <w:t xml:space="preserve">arvin.org</w:t>
      </w:r>
    </w:p>
    <w:p>
      <w:pPr>
        <w:pStyle w:val="BodyText"/>
      </w:pPr>
      <w:hyperlink r:id="rId104">
        <w:r>
          <w:rPr>
            <w:rStyle w:val="Hyperlink"/>
          </w:rPr>
          <w:t xml:space="preserve">https://www.arvin.org/DocumentCenter/View/206/Commercial-Cannabis-Permit-Application-Packet-PDF</w:t>
        </w:r>
      </w:hyperlink>
    </w:p>
    <w:p>
      <w:pPr>
        <w:pStyle w:val="BodyText"/>
      </w:pPr>
      <w:hyperlink r:id="rId69">
        <w:r>
          <w:rPr>
            <w:rStyle w:val="Hyperlink"/>
          </w:rPr>
          <w:t xml:space="preserve">[37]</w:t>
        </w:r>
      </w:hyperlink>
      <w:r>
        <w:t xml:space="preserve"> </w:t>
      </w:r>
      <w:r>
        <w:t xml:space="preserve">Cannabis | FTB.ca.gov</w:t>
      </w:r>
    </w:p>
    <w:p>
      <w:pPr>
        <w:pStyle w:val="BodyText"/>
      </w:pPr>
      <w:hyperlink r:id="rId105">
        <w:r>
          <w:rPr>
            <w:rStyle w:val="Hyperlink"/>
          </w:rPr>
          <w:t xml:space="preserve">https://www.ftb.ca.gov/file/business/industries/cannabis.html</w:t>
        </w:r>
      </w:hyperlink>
    </w:p>
    <w:p>
      <w:pPr>
        <w:pStyle w:val="BodyText"/>
      </w:pPr>
      <w:hyperlink r:id="rId71">
        <w:r>
          <w:rPr>
            <w:rStyle w:val="Hyperlink"/>
          </w:rPr>
          <w:t xml:space="preserve">[38]</w:t>
        </w:r>
      </w:hyperlink>
      <w:r>
        <w:t xml:space="preserve"> </w:t>
      </w:r>
      <w:r>
        <w:t xml:space="preserve">Compliance with state law - Department of Cannabis Control</w:t>
      </w:r>
    </w:p>
    <w:p>
      <w:pPr>
        <w:pStyle w:val="BodyText"/>
      </w:pPr>
      <w:hyperlink r:id="rId106">
        <w:r>
          <w:rPr>
            <w:rStyle w:val="Hyperlink"/>
          </w:rPr>
          <w:t xml:space="preserve">https://cannabis.ca.gov/cannabis-laws/compliance-with-state-law/</w:t>
        </w:r>
      </w:hyperlink>
    </w:p>
    <w:p>
      <w:pPr>
        <w:pStyle w:val="BodyText"/>
      </w:pPr>
      <w:hyperlink r:id="rId72">
        <w:r>
          <w:rPr>
            <w:rStyle w:val="Hyperlink"/>
          </w:rPr>
          <w:t xml:space="preserve">[39]</w:t>
        </w:r>
      </w:hyperlink>
      <w:r>
        <w:t xml:space="preserve"> </w:t>
      </w:r>
      <w:r>
        <w:t xml:space="preserve">California Health and Safety Code Section 11358 HSC: Cultivating Marijuana</w:t>
      </w:r>
    </w:p>
    <w:p>
      <w:pPr>
        <w:pStyle w:val="BodyText"/>
      </w:pPr>
      <w:hyperlink r:id="rId107">
        <w:r>
          <w:rPr>
            <w:rStyle w:val="Hyperlink"/>
          </w:rPr>
          <w:t xml:space="preserve">https://www.losangelescriminallawyer.pro/california-health-and-safety-code-section-11358-hsc-cultivating.html</w:t>
        </w:r>
      </w:hyperlink>
    </w:p>
    <w:p>
      <w:pPr>
        <w:pStyle w:val="BodyText"/>
      </w:pPr>
      <w:hyperlink r:id="rId73">
        <w:r>
          <w:rPr>
            <w:rStyle w:val="Hyperlink"/>
          </w:rPr>
          <w:t xml:space="preserve">[40]</w:t>
        </w:r>
      </w:hyperlink>
      <w:r>
        <w:t xml:space="preserve"> </w:t>
      </w:r>
      <w:r>
        <w:t xml:space="preserve">File a complaint - Department of Cannabis Control</w:t>
      </w:r>
    </w:p>
    <w:p>
      <w:pPr>
        <w:pStyle w:val="BodyText"/>
      </w:pPr>
      <w:hyperlink r:id="rId108">
        <w:r>
          <w:rPr>
            <w:rStyle w:val="Hyperlink"/>
          </w:rPr>
          <w:t xml:space="preserve">https://cannabis.ca.gov/resources/file-complaint/</w:t>
        </w:r>
      </w:hyperlink>
    </w:p>
    <w:p>
      <w:pPr>
        <w:pStyle w:val="BodyText"/>
      </w:pPr>
      <w:hyperlink r:id="rId75">
        <w:r>
          <w:rPr>
            <w:rStyle w:val="Hyperlink"/>
          </w:rPr>
          <w:t xml:space="preserve">[41]</w:t>
        </w:r>
      </w:hyperlink>
      <w:r>
        <w:t xml:space="preserve"> </w:t>
      </w:r>
      <w:r>
        <w:t xml:space="preserve">Cultivation - Department of Cannabis Control</w:t>
      </w:r>
    </w:p>
    <w:p>
      <w:pPr>
        <w:pStyle w:val="BodyText"/>
      </w:pPr>
      <w:hyperlink r:id="rId109">
        <w:r>
          <w:rPr>
            <w:rStyle w:val="Hyperlink"/>
          </w:rPr>
          <w:t xml:space="preserve">https://cannabis.ca.gov/licensees/cultivation/</w:t>
        </w:r>
      </w:hyperlink>
    </w:p>
    <w:p>
      <w:pPr>
        <w:pStyle w:val="BodyText"/>
      </w:pPr>
      <w:hyperlink r:id="rId77">
        <w:r>
          <w:rPr>
            <w:rStyle w:val="Hyperlink"/>
          </w:rPr>
          <w:t xml:space="preserve">[42]</w:t>
        </w:r>
      </w:hyperlink>
      <w:r>
        <w:t xml:space="preserve"> </w:t>
      </w:r>
      <w:r>
        <w:t xml:space="preserve">Cannabis Equity Grants Program for Local Jurisdictions</w:t>
      </w:r>
    </w:p>
    <w:p>
      <w:pPr>
        <w:pStyle w:val="BodyText"/>
      </w:pPr>
      <w:hyperlink r:id="rId110">
        <w:r>
          <w:rPr>
            <w:rStyle w:val="Hyperlink"/>
          </w:rPr>
          <w:t xml:space="preserve">https://www.grants.ca.gov/grants/cannabis-equity-grants-program-for-local-jurisdictions-8/</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californiacannabis.org/kern" TargetMode="External" /><Relationship Type="http://schemas.openxmlformats.org/officeDocument/2006/relationships/hyperlink" Id="rId62" Target="https://californiacannabis.org/kern#:~:text=,Up%20to%20%24300" TargetMode="External" /><Relationship Type="http://schemas.openxmlformats.org/officeDocument/2006/relationships/hyperlink" Id="rId61" Target="https://californiacannabis.org/kern#:~:text=Cannabis%20cultivation%20for%20personal%20use,ballot%20for%20voters%20in%20Kern" TargetMode="External" /><Relationship Type="http://schemas.openxmlformats.org/officeDocument/2006/relationships/hyperlink" Id="rId51" Target="https://californiacannabis.org/kern#:~:text=Cannabis%20retail%20is%20not%20legal,voted%20in%20support%20of%20the" TargetMode="External" /><Relationship Type="http://schemas.openxmlformats.org/officeDocument/2006/relationships/hyperlink" Id="rId63" Target="https://californiacannabis.org/kern#:~:text=Qualified%20patients%20with%20a%20Medical,businesses%20but%20not%20commercial%20sales" TargetMode="External" /><Relationship Type="http://schemas.openxmlformats.org/officeDocument/2006/relationships/hyperlink" Id="rId60" Target="https://californiacannabis.org/kern#:~:text=any%20location,penalty%20schedule%20is%20as%20follows" TargetMode="External" /><Relationship Type="http://schemas.openxmlformats.org/officeDocument/2006/relationships/hyperlink" Id="rId98" Target="https://calmatters.org/politics/2025/07/california-marijuana-excise-tax-increase/" TargetMode="External" /><Relationship Type="http://schemas.openxmlformats.org/officeDocument/2006/relationships/hyperlink" Id="rId50" Target="https://calmatters.org/politics/2025/07/california-marijuana-excise-tax-increase/#:~:text=The%202022%20agreement%20offered%20relief,up%20for%20the%20lost%20revenue" TargetMode="External" /><Relationship Type="http://schemas.openxmlformats.org/officeDocument/2006/relationships/hyperlink" Id="rId94" Target="https://cannabis.ca.gov/2023/10/5-steps-to-using-the-track-and-trace-system/" TargetMode="External" /><Relationship Type="http://schemas.openxmlformats.org/officeDocument/2006/relationships/hyperlink" Id="rId43" Target="https://cannabis.ca.gov/2023/10/5-steps-to-using-the-track-and-trace-system/#:~:text=In%20January%202018%2C%20the%20California,licensed%20commercial%20cannabis%20distribution%20chain" TargetMode="External" /><Relationship Type="http://schemas.openxmlformats.org/officeDocument/2006/relationships/hyperlink" Id="rId93" Target="https://cannabis.ca.gov/applicants/application-resources/" TargetMode="External" /><Relationship Type="http://schemas.openxmlformats.org/officeDocument/2006/relationships/hyperlink" Id="rId40" Target="https://cannabis.ca.gov/applicants/application-resources/#:~:text=Form%208113%3A%20Commercial%20Cannabis%20Licensee,Bond" TargetMode="External" /><Relationship Type="http://schemas.openxmlformats.org/officeDocument/2006/relationships/hyperlink" Id="rId41" Target="https://cannabis.ca.gov/applicants/application-resources/#:~:text=Form%209205%3A%20Labor%20Peace%20Agreement,Notarized%20Statement" TargetMode="External" /><Relationship Type="http://schemas.openxmlformats.org/officeDocument/2006/relationships/hyperlink" Id="rId39" Target="https://cannabis.ca.gov/applicants/application-resources/#:~:text=Form%209206%3A%20Landowner%20Approval%20Consent" TargetMode="External" /><Relationship Type="http://schemas.openxmlformats.org/officeDocument/2006/relationships/hyperlink" Id="rId100" Target="https://cannabis.ca.gov/applicants/ceqa-review-for-cannabis-businesses/" TargetMode="External" /><Relationship Type="http://schemas.openxmlformats.org/officeDocument/2006/relationships/hyperlink" Id="rId53" Target="https://cannabis.ca.gov/applicants/ceqa-review-for-cannabis-businesses/#:~:text=Projects%20that%20require%20CEQA%20review" TargetMode="External" /><Relationship Type="http://schemas.openxmlformats.org/officeDocument/2006/relationships/hyperlink" Id="rId92" Target="https://cannabis.ca.gov/applicants/how-to-apply/" TargetMode="External" /><Relationship Type="http://schemas.openxmlformats.org/officeDocument/2006/relationships/hyperlink" Id="rId38" Target="https://cannabis.ca.gov/applicants/how-to-apply/#:~:text=1,and%20can%20meet%20these%20rules" TargetMode="External" /><Relationship Type="http://schemas.openxmlformats.org/officeDocument/2006/relationships/hyperlink" Id="rId91" Target="https://cannabis.ca.gov/applicants/license-types/" TargetMode="External" /><Relationship Type="http://schemas.openxmlformats.org/officeDocument/2006/relationships/hyperlink" Id="rId33" Target="https://cannabis.ca.gov/applicants/license-types/#:~:text=,10%2C000%20square%20feet%20of%20canopy" TargetMode="External" /><Relationship Type="http://schemas.openxmlformats.org/officeDocument/2006/relationships/hyperlink" Id="rId78" Target="https://cannabis.ca.gov/applicants/license-types/#:~:text=,2%2C500%20square%20feet%20of%20canopy" TargetMode="External" /><Relationship Type="http://schemas.openxmlformats.org/officeDocument/2006/relationships/hyperlink" Id="rId34" Target="https://cannabis.ca.gov/applicants/license-types/#:~:text=,22%2C000%20square%20feet%20of%20canopy" TargetMode="External" /><Relationship Type="http://schemas.openxmlformats.org/officeDocument/2006/relationships/hyperlink" Id="rId31" Target="https://cannabis.ca.gov/applicants/license-types/#:~:text=,5%2C000%20square%20feet%20of%20canopy" TargetMode="External" /><Relationship Type="http://schemas.openxmlformats.org/officeDocument/2006/relationships/hyperlink" Id="rId36" Target="https://cannabis.ca.gov/applicants/license-types/#:~:text=,grade%2C%20package%20or%20label%20cannabis" TargetMode="External" /><Relationship Type="http://schemas.openxmlformats.org/officeDocument/2006/relationships/hyperlink" Id="rId79" Target="https://cannabis.ca.gov/applicants/license-types/#:~:text=,more%20than%2022%2C000%20square%20feet" TargetMode="External" /><Relationship Type="http://schemas.openxmlformats.org/officeDocument/2006/relationships/hyperlink" Id="rId35" Target="https://cannabis.ca.gov/applicants/license-types/#:~:text=,square%20feet%20of%20total%20canopy" TargetMode="External" /><Relationship Type="http://schemas.openxmlformats.org/officeDocument/2006/relationships/hyperlink" Id="rId32" Target="https://cannabis.ca.gov/applicants/license-types/#:~:text=canopy%20,to%205%2C000%20square%20feet%20of" TargetMode="External" /><Relationship Type="http://schemas.openxmlformats.org/officeDocument/2006/relationships/hyperlink" Id="rId106" Target="https://cannabis.ca.gov/cannabis-laws/compliance-with-state-law/" TargetMode="External" /><Relationship Type="http://schemas.openxmlformats.org/officeDocument/2006/relationships/hyperlink" Id="rId71" Target="https://cannabis.ca.gov/cannabis-laws/compliance-with-state-law/#:~:text=,based%20on%20the%20disciplinary%20guidelines" TargetMode="External" /><Relationship Type="http://schemas.openxmlformats.org/officeDocument/2006/relationships/hyperlink" Id="rId109" Target="https://cannabis.ca.gov/licensees/cultivation/" TargetMode="External" /><Relationship Type="http://schemas.openxmlformats.org/officeDocument/2006/relationships/hyperlink" Id="rId75" Target="https://cannabis.ca.gov/licensees/cultivation/#:~:text=All%20cultivation%20and%20microbusiness%20licensees,or%20nursery%20using%20indoor%20or%E2%80%A6" TargetMode="External" /><Relationship Type="http://schemas.openxmlformats.org/officeDocument/2006/relationships/hyperlink" Id="rId108" Target="https://cannabis.ca.gov/resources/file-complaint/" TargetMode="External" /><Relationship Type="http://schemas.openxmlformats.org/officeDocument/2006/relationships/hyperlink" Id="rId73" Target="https://cannabis.ca.gov/resources/file-complaint/#:~:text=You%20can%20file%20an%20anonymous,much%20detail%20as%20you%20can" TargetMode="External" /><Relationship Type="http://schemas.openxmlformats.org/officeDocument/2006/relationships/hyperlink" Id="rId97" Target="https://cdtfa.ca.gov/formspubs/l979.pdf" TargetMode="External" /><Relationship Type="http://schemas.openxmlformats.org/officeDocument/2006/relationships/hyperlink" Id="rId49" Target="https://cdtfa.ca.gov/formspubs/l979.pdf#:~:text=New%20Cannabis%20Excise%20Tax%20Rate,and%20every%20two%20years%20thereafter" TargetMode="External" /><Relationship Type="http://schemas.openxmlformats.org/officeDocument/2006/relationships/hyperlink" Id="rId96" Target="https://cure8.tech/cannabis-business-data-retention-requirements/" TargetMode="External" /><Relationship Type="http://schemas.openxmlformats.org/officeDocument/2006/relationships/hyperlink" Id="rId47" Target="https://cure8.tech/cannabis-business-data-retention-requirements/#:~:text=Because%C2%A0practically%20every%20state%20that%20has,fine%C2%A0of%20up%20to%20%2430%2C000%20per%C2%A0violation" TargetMode="External" /><Relationship Type="http://schemas.openxmlformats.org/officeDocument/2006/relationships/hyperlink" Id="rId89" Target="https://norrismclaughlin.com/lg/general-business/industrial-hemp-farmers-in-need-of-federal-crop-insurance/" TargetMode="External" /><Relationship Type="http://schemas.openxmlformats.org/officeDocument/2006/relationships/hyperlink" Id="rId28" Target="https://norrismclaughlin.com/lg/general-business/industrial-hemp-farmers-in-need-of-federal-crop-insurance/#:~:text=form%20of%20insurance%20and%2C%20without,time%2C%20even%20for%20industrial%20hemp" TargetMode="External" /><Relationship Type="http://schemas.openxmlformats.org/officeDocument/2006/relationships/hyperlink" Id="rId86" Target="https://www.aba.com/advocacy/our-issues/cannabis" TargetMode="External" /><Relationship Type="http://schemas.openxmlformats.org/officeDocument/2006/relationships/hyperlink" Id="rId25" Target="https://www.aba.com/advocacy/our-issues/cannabis#:~:text=cannabis,carries%20important%20risk%20to%20banks" TargetMode="External" /><Relationship Type="http://schemas.openxmlformats.org/officeDocument/2006/relationships/hyperlink" Id="rId104" Target="https://www.arvin.org/DocumentCenter/View/206/Commercial-Cannabis-Permit-Application-Packet-PDF" TargetMode="External" /><Relationship Type="http://schemas.openxmlformats.org/officeDocument/2006/relationships/hyperlink" Id="rId64" Target="https://www.arvin.org/DocumentCenter/View/206/Commercial-Cannabis-Permit-Application-Packet-PDF#:~:text=districts%20of%20the%20City%3A%20M,the%20exterior%20of%20all%20commercial" TargetMode="External" /><Relationship Type="http://schemas.openxmlformats.org/officeDocument/2006/relationships/hyperlink" Id="rId103" Target="https://www.cdpr.ca.gov/wp-content/uploads/2024/08/can_use_pesticide.pdf" TargetMode="External" /><Relationship Type="http://schemas.openxmlformats.org/officeDocument/2006/relationships/hyperlink" Id="rId57" Target="https://www.cdpr.ca.gov/wp-content/uploads/2024/08/can_use_pesticide.pdf#:~:text=Cannabis%20cultivators%20who%20are%20licensed,APPLIED%20TO%20CANNABIS%20IN%20CALIFORNIA" TargetMode="External" /><Relationship Type="http://schemas.openxmlformats.org/officeDocument/2006/relationships/hyperlink" Id="rId84" Target="https://www.dea.gov/press-releases/2025/05/15/dea-releases-2025-national-drug-threat-assessment" TargetMode="External" /><Relationship Type="http://schemas.openxmlformats.org/officeDocument/2006/relationships/hyperlink" Id="rId23" Target="https://www.dea.gov/press-releases/2025/05/15/dea-releases-2025-national-drug-threat-assessment#:~:text=,30" TargetMode="External" /><Relationship Type="http://schemas.openxmlformats.org/officeDocument/2006/relationships/hyperlink" Id="rId82" Target="https://www.dea.gov/sites/default/files/2020-06/Marijuana-Cannabis-2020_0.pdf" TargetMode="External" /><Relationship Type="http://schemas.openxmlformats.org/officeDocument/2006/relationships/hyperlink" Id="rId21" Target="https://www.dea.gov/sites/default/files/2020-06/Marijuana-Cannabis-2020_0.pdf#:~:text=What%20is%20its%20legal%20status,Food%20and%20Drug" TargetMode="External" /><Relationship Type="http://schemas.openxmlformats.org/officeDocument/2006/relationships/hyperlink" Id="rId83" Target="https://www.federalregister.gov/documents/2024/05/21/2024-11137/schedules-of-controlled-substances-rescheduling-of-marijuana" TargetMode="External" /><Relationship Type="http://schemas.openxmlformats.org/officeDocument/2006/relationships/hyperlink" Id="rId22" Target="https://www.federalregister.gov/documents/2024/05/21/2024-11137/schedules-of-controlled-substances-rescheduling-of-marijuana#:~:text=SUMMARY%3A" TargetMode="External" /><Relationship Type="http://schemas.openxmlformats.org/officeDocument/2006/relationships/hyperlink" Id="rId88" Target="https://www.findlaw.com/cannabis-law/cannabis-laws-and-regulations/transporting-marijuana-laws-and-regulations.html" TargetMode="External" /><Relationship Type="http://schemas.openxmlformats.org/officeDocument/2006/relationships/hyperlink" Id="rId27" Target="https://www.findlaw.com/cannabis-law/cannabis-laws-and-regulations/transporting-marijuana-laws-and-regulations.html#:~:text=In%20states%20where%20marijuana%20is,distribution%2C%20or%20transportation%20of%20marijuana" TargetMode="External" /><Relationship Type="http://schemas.openxmlformats.org/officeDocument/2006/relationships/hyperlink" Id="rId105" Target="https://www.ftb.ca.gov/file/business/industries/cannabis.html" TargetMode="External" /><Relationship Type="http://schemas.openxmlformats.org/officeDocument/2006/relationships/hyperlink" Id="rId69" Target="https://www.ftb.ca.gov/file/business/industries/cannabis.html#:~:text=A%20licensed%20cannabis%20business%20operating,These%20owners%20may%20include" TargetMode="External" /><Relationship Type="http://schemas.openxmlformats.org/officeDocument/2006/relationships/hyperlink" Id="rId110" Target="https://www.grants.ca.gov/grants/cannabis-equity-grants-program-for-local-jurisdictions-8/" TargetMode="External" /><Relationship Type="http://schemas.openxmlformats.org/officeDocument/2006/relationships/hyperlink" Id="rId77" Target="https://www.grants.ca.gov/grants/cannabis-equity-grants-program-for-local-jurisdictions-8/#:~:text=The%20purpose%20of%20the%20Cannabis,for%20populations%20and%20communities" TargetMode="External" /><Relationship Type="http://schemas.openxmlformats.org/officeDocument/2006/relationships/hyperlink" Id="rId85" Target="https://www.irs.gov/newsroom/irs-marijuana-remains-a-schedule-i-controlled-substance-internal-revenue-code-section-280e-still-applies" TargetMode="External" /><Relationship Type="http://schemas.openxmlformats.org/officeDocument/2006/relationships/hyperlink" Id="rId24" Target="https://www.irs.gov/newsroom/irs-marijuana-remains-a-schedule-i-controlled-substance-internal-revenue-code-section-280e-still-applies#:~:text=Section%20280E%20disallows%20all%20deductions,the%20federal%20Controlled%20Substances%20Act" TargetMode="External" /><Relationship Type="http://schemas.openxmlformats.org/officeDocument/2006/relationships/hyperlink" Id="rId107" Target="https://www.losangelescriminallawyer.pro/california-health-and-safety-code-section-11358-hsc-cultivating.html" TargetMode="External" /><Relationship Type="http://schemas.openxmlformats.org/officeDocument/2006/relationships/hyperlink" Id="rId72" Target="https://www.losangelescriminallawyer.pro/california-health-and-safety-code-section-11358-hsc-cultivating.html#:~:text=5" TargetMode="External" /><Relationship Type="http://schemas.openxmlformats.org/officeDocument/2006/relationships/hyperlink" Id="rId90" Target="https://www.omarfigueroa.com/california-to-add-a-new-type-of-cannabis-license-the-combined-activities-license/" TargetMode="External" /><Relationship Type="http://schemas.openxmlformats.org/officeDocument/2006/relationships/hyperlink" Id="rId30" Target="https://www.omarfigueroa.com/california-to-add-a-new-type-of-cannabis-license-the-combined-activities-license/#:~:text=," TargetMode="External" /><Relationship Type="http://schemas.openxmlformats.org/officeDocument/2006/relationships/hyperlink" Id="rId95" Target="https://www.security101.com/blog/security-requirements-for-the-cannabis-industry-in-california" TargetMode="External" /><Relationship Type="http://schemas.openxmlformats.org/officeDocument/2006/relationships/hyperlink" Id="rId44" Target="https://www.security101.com/blog/security-requirements-for-the-cannabis-industry-in-california#:~:text=In%20addition%2C%20the%20track%20and,license%20number%2C%20among%20other%20information" TargetMode="External" /><Relationship Type="http://schemas.openxmlformats.org/officeDocument/2006/relationships/hyperlink" Id="rId46" Target="https://www.security101.com/blog/security-requirements-for-the-cannabis-industry-in-california#:~:text=Video%20surveillance%20rules%20are%20provided,in%20section%20%C2%A75044" TargetMode="External" /><Relationship Type="http://schemas.openxmlformats.org/officeDocument/2006/relationships/hyperlink" Id="rId87" Target="https://www.shieldbanking.com/post/cannabis-friendly-banks-face-pressure-to-differentiate" TargetMode="External" /><Relationship Type="http://schemas.openxmlformats.org/officeDocument/2006/relationships/hyperlink" Id="rId26" Target="https://www.shieldbanking.com/post/cannabis-friendly-banks-face-pressure-to-differentiate#:~:text=According%20to%20the%20latest%20data,the%20second%20quarter%20of%202023" TargetMode="External" /><Relationship Type="http://schemas.openxmlformats.org/officeDocument/2006/relationships/hyperlink" Id="rId101" Target="https://www.waterboards.ca.gov/lahontan/water_issues/programs/cannabis/" TargetMode="External" /><Relationship Type="http://schemas.openxmlformats.org/officeDocument/2006/relationships/hyperlink" Id="rId54" Target="https://www.waterboards.ca.gov/lahontan/water_issues/programs/cannabis/#:~:text=The%20Cannabis%20General%20Order%20implements,under%20the%20Cannabis%20General%20Order" TargetMode="External" /><Relationship Type="http://schemas.openxmlformats.org/officeDocument/2006/relationships/hyperlink" Id="rId102" Target="https://www.waterboards.ca.gov/water_issues/programs/cannabis/cannabis_water_rights.html" TargetMode="External" /><Relationship Type="http://schemas.openxmlformats.org/officeDocument/2006/relationships/hyperlink" Id="rId55" Target="https://www.waterboards.ca.gov/water_issues/programs/cannabis/cannabis_water_rights.html#:~:text=All%20cannabis%20cultivators%20that%20plan,used%20during%20the%20dry%20season" TargetMode="External" /><Relationship Type="http://schemas.openxmlformats.org/officeDocument/2006/relationships/hyperlink" Id="rId56" Target="https://www.waterboards.ca.gov/water_issues/programs/cannabis/cannabis_water_rights.html#:~:text=To%20obtain%20a%20California%20Department,forms%20to%20the%20Water%20Boards" TargetMode="External" /></Relationships>
</file>

<file path=word/_rels/footnotes.xml.rels><?xml version="1.0" encoding="UTF-8"?><Relationships xmlns="http://schemas.openxmlformats.org/package/2006/relationships"><Relationship Type="http://schemas.openxmlformats.org/officeDocument/2006/relationships/hyperlink" Id="rId99" Target="https://californiacannabis.org/kern" TargetMode="External" /><Relationship Type="http://schemas.openxmlformats.org/officeDocument/2006/relationships/hyperlink" Id="rId62" Target="https://californiacannabis.org/kern#:~:text=,Up%20to%20%24300" TargetMode="External" /><Relationship Type="http://schemas.openxmlformats.org/officeDocument/2006/relationships/hyperlink" Id="rId61" Target="https://californiacannabis.org/kern#:~:text=Cannabis%20cultivation%20for%20personal%20use,ballot%20for%20voters%20in%20Kern" TargetMode="External" /><Relationship Type="http://schemas.openxmlformats.org/officeDocument/2006/relationships/hyperlink" Id="rId51" Target="https://californiacannabis.org/kern#:~:text=Cannabis%20retail%20is%20not%20legal,voted%20in%20support%20of%20the" TargetMode="External" /><Relationship Type="http://schemas.openxmlformats.org/officeDocument/2006/relationships/hyperlink" Id="rId63" Target="https://californiacannabis.org/kern#:~:text=Qualified%20patients%20with%20a%20Medical,businesses%20but%20not%20commercial%20sales" TargetMode="External" /><Relationship Type="http://schemas.openxmlformats.org/officeDocument/2006/relationships/hyperlink" Id="rId60" Target="https://californiacannabis.org/kern#:~:text=any%20location,penalty%20schedule%20is%20as%20follows" TargetMode="External" /><Relationship Type="http://schemas.openxmlformats.org/officeDocument/2006/relationships/hyperlink" Id="rId98" Target="https://calmatters.org/politics/2025/07/california-marijuana-excise-tax-increase/" TargetMode="External" /><Relationship Type="http://schemas.openxmlformats.org/officeDocument/2006/relationships/hyperlink" Id="rId50" Target="https://calmatters.org/politics/2025/07/california-marijuana-excise-tax-increase/#:~:text=The%202022%20agreement%20offered%20relief,up%20for%20the%20lost%20revenue" TargetMode="External" /><Relationship Type="http://schemas.openxmlformats.org/officeDocument/2006/relationships/hyperlink" Id="rId94" Target="https://cannabis.ca.gov/2023/10/5-steps-to-using-the-track-and-trace-system/" TargetMode="External" /><Relationship Type="http://schemas.openxmlformats.org/officeDocument/2006/relationships/hyperlink" Id="rId43" Target="https://cannabis.ca.gov/2023/10/5-steps-to-using-the-track-and-trace-system/#:~:text=In%20January%202018%2C%20the%20California,licensed%20commercial%20cannabis%20distribution%20chain" TargetMode="External" /><Relationship Type="http://schemas.openxmlformats.org/officeDocument/2006/relationships/hyperlink" Id="rId93" Target="https://cannabis.ca.gov/applicants/application-resources/" TargetMode="External" /><Relationship Type="http://schemas.openxmlformats.org/officeDocument/2006/relationships/hyperlink" Id="rId40" Target="https://cannabis.ca.gov/applicants/application-resources/#:~:text=Form%208113%3A%20Commercial%20Cannabis%20Licensee,Bond" TargetMode="External" /><Relationship Type="http://schemas.openxmlformats.org/officeDocument/2006/relationships/hyperlink" Id="rId41" Target="https://cannabis.ca.gov/applicants/application-resources/#:~:text=Form%209205%3A%20Labor%20Peace%20Agreement,Notarized%20Statement" TargetMode="External" /><Relationship Type="http://schemas.openxmlformats.org/officeDocument/2006/relationships/hyperlink" Id="rId39" Target="https://cannabis.ca.gov/applicants/application-resources/#:~:text=Form%209206%3A%20Landowner%20Approval%20Consent" TargetMode="External" /><Relationship Type="http://schemas.openxmlformats.org/officeDocument/2006/relationships/hyperlink" Id="rId100" Target="https://cannabis.ca.gov/applicants/ceqa-review-for-cannabis-businesses/" TargetMode="External" /><Relationship Type="http://schemas.openxmlformats.org/officeDocument/2006/relationships/hyperlink" Id="rId53" Target="https://cannabis.ca.gov/applicants/ceqa-review-for-cannabis-businesses/#:~:text=Projects%20that%20require%20CEQA%20review" TargetMode="External" /><Relationship Type="http://schemas.openxmlformats.org/officeDocument/2006/relationships/hyperlink" Id="rId92" Target="https://cannabis.ca.gov/applicants/how-to-apply/" TargetMode="External" /><Relationship Type="http://schemas.openxmlformats.org/officeDocument/2006/relationships/hyperlink" Id="rId38" Target="https://cannabis.ca.gov/applicants/how-to-apply/#:~:text=1,and%20can%20meet%20these%20rules" TargetMode="External" /><Relationship Type="http://schemas.openxmlformats.org/officeDocument/2006/relationships/hyperlink" Id="rId91" Target="https://cannabis.ca.gov/applicants/license-types/" TargetMode="External" /><Relationship Type="http://schemas.openxmlformats.org/officeDocument/2006/relationships/hyperlink" Id="rId33" Target="https://cannabis.ca.gov/applicants/license-types/#:~:text=,10%2C000%20square%20feet%20of%20canopy" TargetMode="External" /><Relationship Type="http://schemas.openxmlformats.org/officeDocument/2006/relationships/hyperlink" Id="rId78" Target="https://cannabis.ca.gov/applicants/license-types/#:~:text=,2%2C500%20square%20feet%20of%20canopy" TargetMode="External" /><Relationship Type="http://schemas.openxmlformats.org/officeDocument/2006/relationships/hyperlink" Id="rId34" Target="https://cannabis.ca.gov/applicants/license-types/#:~:text=,22%2C000%20square%20feet%20of%20canopy" TargetMode="External" /><Relationship Type="http://schemas.openxmlformats.org/officeDocument/2006/relationships/hyperlink" Id="rId31" Target="https://cannabis.ca.gov/applicants/license-types/#:~:text=,5%2C000%20square%20feet%20of%20canopy" TargetMode="External" /><Relationship Type="http://schemas.openxmlformats.org/officeDocument/2006/relationships/hyperlink" Id="rId36" Target="https://cannabis.ca.gov/applicants/license-types/#:~:text=,grade%2C%20package%20or%20label%20cannabis" TargetMode="External" /><Relationship Type="http://schemas.openxmlformats.org/officeDocument/2006/relationships/hyperlink" Id="rId79" Target="https://cannabis.ca.gov/applicants/license-types/#:~:text=,more%20than%2022%2C000%20square%20feet" TargetMode="External" /><Relationship Type="http://schemas.openxmlformats.org/officeDocument/2006/relationships/hyperlink" Id="rId35" Target="https://cannabis.ca.gov/applicants/license-types/#:~:text=,square%20feet%20of%20total%20canopy" TargetMode="External" /><Relationship Type="http://schemas.openxmlformats.org/officeDocument/2006/relationships/hyperlink" Id="rId32" Target="https://cannabis.ca.gov/applicants/license-types/#:~:text=canopy%20,to%205%2C000%20square%20feet%20of" TargetMode="External" /><Relationship Type="http://schemas.openxmlformats.org/officeDocument/2006/relationships/hyperlink" Id="rId106" Target="https://cannabis.ca.gov/cannabis-laws/compliance-with-state-law/" TargetMode="External" /><Relationship Type="http://schemas.openxmlformats.org/officeDocument/2006/relationships/hyperlink" Id="rId71" Target="https://cannabis.ca.gov/cannabis-laws/compliance-with-state-law/#:~:text=,based%20on%20the%20disciplinary%20guidelines" TargetMode="External" /><Relationship Type="http://schemas.openxmlformats.org/officeDocument/2006/relationships/hyperlink" Id="rId109" Target="https://cannabis.ca.gov/licensees/cultivation/" TargetMode="External" /><Relationship Type="http://schemas.openxmlformats.org/officeDocument/2006/relationships/hyperlink" Id="rId75" Target="https://cannabis.ca.gov/licensees/cultivation/#:~:text=All%20cultivation%20and%20microbusiness%20licensees,or%20nursery%20using%20indoor%20or%E2%80%A6" TargetMode="External" /><Relationship Type="http://schemas.openxmlformats.org/officeDocument/2006/relationships/hyperlink" Id="rId108" Target="https://cannabis.ca.gov/resources/file-complaint/" TargetMode="External" /><Relationship Type="http://schemas.openxmlformats.org/officeDocument/2006/relationships/hyperlink" Id="rId73" Target="https://cannabis.ca.gov/resources/file-complaint/#:~:text=You%20can%20file%20an%20anonymous,much%20detail%20as%20you%20can" TargetMode="External" /><Relationship Type="http://schemas.openxmlformats.org/officeDocument/2006/relationships/hyperlink" Id="rId97" Target="https://cdtfa.ca.gov/formspubs/l979.pdf" TargetMode="External" /><Relationship Type="http://schemas.openxmlformats.org/officeDocument/2006/relationships/hyperlink" Id="rId49" Target="https://cdtfa.ca.gov/formspubs/l979.pdf#:~:text=New%20Cannabis%20Excise%20Tax%20Rate,and%20every%20two%20years%20thereafter" TargetMode="External" /><Relationship Type="http://schemas.openxmlformats.org/officeDocument/2006/relationships/hyperlink" Id="rId96" Target="https://cure8.tech/cannabis-business-data-retention-requirements/" TargetMode="External" /><Relationship Type="http://schemas.openxmlformats.org/officeDocument/2006/relationships/hyperlink" Id="rId47" Target="https://cure8.tech/cannabis-business-data-retention-requirements/#:~:text=Because%C2%A0practically%20every%20state%20that%20has,fine%C2%A0of%20up%20to%20%2430%2C000%20per%C2%A0violation" TargetMode="External" /><Relationship Type="http://schemas.openxmlformats.org/officeDocument/2006/relationships/hyperlink" Id="rId89" Target="https://norrismclaughlin.com/lg/general-business/industrial-hemp-farmers-in-need-of-federal-crop-insurance/" TargetMode="External" /><Relationship Type="http://schemas.openxmlformats.org/officeDocument/2006/relationships/hyperlink" Id="rId28" Target="https://norrismclaughlin.com/lg/general-business/industrial-hemp-farmers-in-need-of-federal-crop-insurance/#:~:text=form%20of%20insurance%20and%2C%20without,time%2C%20even%20for%20industrial%20hemp" TargetMode="External" /><Relationship Type="http://schemas.openxmlformats.org/officeDocument/2006/relationships/hyperlink" Id="rId86" Target="https://www.aba.com/advocacy/our-issues/cannabis" TargetMode="External" /><Relationship Type="http://schemas.openxmlformats.org/officeDocument/2006/relationships/hyperlink" Id="rId25" Target="https://www.aba.com/advocacy/our-issues/cannabis#:~:text=cannabis,carries%20important%20risk%20to%20banks" TargetMode="External" /><Relationship Type="http://schemas.openxmlformats.org/officeDocument/2006/relationships/hyperlink" Id="rId104" Target="https://www.arvin.org/DocumentCenter/View/206/Commercial-Cannabis-Permit-Application-Packet-PDF" TargetMode="External" /><Relationship Type="http://schemas.openxmlformats.org/officeDocument/2006/relationships/hyperlink" Id="rId64" Target="https://www.arvin.org/DocumentCenter/View/206/Commercial-Cannabis-Permit-Application-Packet-PDF#:~:text=districts%20of%20the%20City%3A%20M,the%20exterior%20of%20all%20commercial" TargetMode="External" /><Relationship Type="http://schemas.openxmlformats.org/officeDocument/2006/relationships/hyperlink" Id="rId103" Target="https://www.cdpr.ca.gov/wp-content/uploads/2024/08/can_use_pesticide.pdf" TargetMode="External" /><Relationship Type="http://schemas.openxmlformats.org/officeDocument/2006/relationships/hyperlink" Id="rId57" Target="https://www.cdpr.ca.gov/wp-content/uploads/2024/08/can_use_pesticide.pdf#:~:text=Cannabis%20cultivators%20who%20are%20licensed,APPLIED%20TO%20CANNABIS%20IN%20CALIFORNIA" TargetMode="External" /><Relationship Type="http://schemas.openxmlformats.org/officeDocument/2006/relationships/hyperlink" Id="rId84" Target="https://www.dea.gov/press-releases/2025/05/15/dea-releases-2025-national-drug-threat-assessment" TargetMode="External" /><Relationship Type="http://schemas.openxmlformats.org/officeDocument/2006/relationships/hyperlink" Id="rId23" Target="https://www.dea.gov/press-releases/2025/05/15/dea-releases-2025-national-drug-threat-assessment#:~:text=,30" TargetMode="External" /><Relationship Type="http://schemas.openxmlformats.org/officeDocument/2006/relationships/hyperlink" Id="rId82" Target="https://www.dea.gov/sites/default/files/2020-06/Marijuana-Cannabis-2020_0.pdf" TargetMode="External" /><Relationship Type="http://schemas.openxmlformats.org/officeDocument/2006/relationships/hyperlink" Id="rId21" Target="https://www.dea.gov/sites/default/files/2020-06/Marijuana-Cannabis-2020_0.pdf#:~:text=What%20is%20its%20legal%20status,Food%20and%20Drug" TargetMode="External" /><Relationship Type="http://schemas.openxmlformats.org/officeDocument/2006/relationships/hyperlink" Id="rId83" Target="https://www.federalregister.gov/documents/2024/05/21/2024-11137/schedules-of-controlled-substances-rescheduling-of-marijuana" TargetMode="External" /><Relationship Type="http://schemas.openxmlformats.org/officeDocument/2006/relationships/hyperlink" Id="rId22" Target="https://www.federalregister.gov/documents/2024/05/21/2024-11137/schedules-of-controlled-substances-rescheduling-of-marijuana#:~:text=SUMMARY%3A" TargetMode="External" /><Relationship Type="http://schemas.openxmlformats.org/officeDocument/2006/relationships/hyperlink" Id="rId88" Target="https://www.findlaw.com/cannabis-law/cannabis-laws-and-regulations/transporting-marijuana-laws-and-regulations.html" TargetMode="External" /><Relationship Type="http://schemas.openxmlformats.org/officeDocument/2006/relationships/hyperlink" Id="rId27" Target="https://www.findlaw.com/cannabis-law/cannabis-laws-and-regulations/transporting-marijuana-laws-and-regulations.html#:~:text=In%20states%20where%20marijuana%20is,distribution%2C%20or%20transportation%20of%20marijuana" TargetMode="External" /><Relationship Type="http://schemas.openxmlformats.org/officeDocument/2006/relationships/hyperlink" Id="rId105" Target="https://www.ftb.ca.gov/file/business/industries/cannabis.html" TargetMode="External" /><Relationship Type="http://schemas.openxmlformats.org/officeDocument/2006/relationships/hyperlink" Id="rId69" Target="https://www.ftb.ca.gov/file/business/industries/cannabis.html#:~:text=A%20licensed%20cannabis%20business%20operating,These%20owners%20may%20include" TargetMode="External" /><Relationship Type="http://schemas.openxmlformats.org/officeDocument/2006/relationships/hyperlink" Id="rId110" Target="https://www.grants.ca.gov/grants/cannabis-equity-grants-program-for-local-jurisdictions-8/" TargetMode="External" /><Relationship Type="http://schemas.openxmlformats.org/officeDocument/2006/relationships/hyperlink" Id="rId77" Target="https://www.grants.ca.gov/grants/cannabis-equity-grants-program-for-local-jurisdictions-8/#:~:text=The%20purpose%20of%20the%20Cannabis,for%20populations%20and%20communities" TargetMode="External" /><Relationship Type="http://schemas.openxmlformats.org/officeDocument/2006/relationships/hyperlink" Id="rId85" Target="https://www.irs.gov/newsroom/irs-marijuana-remains-a-schedule-i-controlled-substance-internal-revenue-code-section-280e-still-applies" TargetMode="External" /><Relationship Type="http://schemas.openxmlformats.org/officeDocument/2006/relationships/hyperlink" Id="rId24" Target="https://www.irs.gov/newsroom/irs-marijuana-remains-a-schedule-i-controlled-substance-internal-revenue-code-section-280e-still-applies#:~:text=Section%20280E%20disallows%20all%20deductions,the%20federal%20Controlled%20Substances%20Act" TargetMode="External" /><Relationship Type="http://schemas.openxmlformats.org/officeDocument/2006/relationships/hyperlink" Id="rId107" Target="https://www.losangelescriminallawyer.pro/california-health-and-safety-code-section-11358-hsc-cultivating.html" TargetMode="External" /><Relationship Type="http://schemas.openxmlformats.org/officeDocument/2006/relationships/hyperlink" Id="rId72" Target="https://www.losangelescriminallawyer.pro/california-health-and-safety-code-section-11358-hsc-cultivating.html#:~:text=5" TargetMode="External" /><Relationship Type="http://schemas.openxmlformats.org/officeDocument/2006/relationships/hyperlink" Id="rId90" Target="https://www.omarfigueroa.com/california-to-add-a-new-type-of-cannabis-license-the-combined-activities-license/" TargetMode="External" /><Relationship Type="http://schemas.openxmlformats.org/officeDocument/2006/relationships/hyperlink" Id="rId30" Target="https://www.omarfigueroa.com/california-to-add-a-new-type-of-cannabis-license-the-combined-activities-license/#:~:text=," TargetMode="External" /><Relationship Type="http://schemas.openxmlformats.org/officeDocument/2006/relationships/hyperlink" Id="rId95" Target="https://www.security101.com/blog/security-requirements-for-the-cannabis-industry-in-california" TargetMode="External" /><Relationship Type="http://schemas.openxmlformats.org/officeDocument/2006/relationships/hyperlink" Id="rId44" Target="https://www.security101.com/blog/security-requirements-for-the-cannabis-industry-in-california#:~:text=In%20addition%2C%20the%20track%20and,license%20number%2C%20among%20other%20information" TargetMode="External" /><Relationship Type="http://schemas.openxmlformats.org/officeDocument/2006/relationships/hyperlink" Id="rId46" Target="https://www.security101.com/blog/security-requirements-for-the-cannabis-industry-in-california#:~:text=Video%20surveillance%20rules%20are%20provided,in%20section%20%C2%A75044" TargetMode="External" /><Relationship Type="http://schemas.openxmlformats.org/officeDocument/2006/relationships/hyperlink" Id="rId87" Target="https://www.shieldbanking.com/post/cannabis-friendly-banks-face-pressure-to-differentiate" TargetMode="External" /><Relationship Type="http://schemas.openxmlformats.org/officeDocument/2006/relationships/hyperlink" Id="rId26" Target="https://www.shieldbanking.com/post/cannabis-friendly-banks-face-pressure-to-differentiate#:~:text=According%20to%20the%20latest%20data,the%20second%20quarter%20of%202023" TargetMode="External" /><Relationship Type="http://schemas.openxmlformats.org/officeDocument/2006/relationships/hyperlink" Id="rId101" Target="https://www.waterboards.ca.gov/lahontan/water_issues/programs/cannabis/" TargetMode="External" /><Relationship Type="http://schemas.openxmlformats.org/officeDocument/2006/relationships/hyperlink" Id="rId54" Target="https://www.waterboards.ca.gov/lahontan/water_issues/programs/cannabis/#:~:text=The%20Cannabis%20General%20Order%20implements,under%20the%20Cannabis%20General%20Order" TargetMode="External" /><Relationship Type="http://schemas.openxmlformats.org/officeDocument/2006/relationships/hyperlink" Id="rId102" Target="https://www.waterboards.ca.gov/water_issues/programs/cannabis/cannabis_water_rights.html" TargetMode="External" /><Relationship Type="http://schemas.openxmlformats.org/officeDocument/2006/relationships/hyperlink" Id="rId55" Target="https://www.waterboards.ca.gov/water_issues/programs/cannabis/cannabis_water_rights.html#:~:text=All%20cannabis%20cultivators%20that%20plan,used%20during%20the%20dry%20season" TargetMode="External" /><Relationship Type="http://schemas.openxmlformats.org/officeDocument/2006/relationships/hyperlink" Id="rId56" Target="https://www.waterboards.ca.gov/water_issues/programs/cannabis/cannabis_water_rights.html#:~:text=To%20obtain%20a%20California%20Department,forms%20to%20the%20Water%20Bo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2026-01-31T11:11:35Z</dcterms:created>
  <dcterms:modified xsi:type="dcterms:W3CDTF">2026-01-31T11:11:35Z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