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1" w:name="content"/>
    <w:bookmarkStart w:id="60" w:name="executive-summary"/>
    <w:p>
      <w:pPr>
        <w:pStyle w:val="Heading1"/>
      </w:pPr>
      <w:r>
        <w:t xml:space="preserve">Executive Summary</w:t>
      </w:r>
    </w:p>
    <w:p>
      <w:pPr>
        <w:pStyle w:val="FirstParagraph"/>
      </w:pPr>
      <w:r>
        <w:t xml:space="preserve">Quantitative finance traces its roots to Louis Bachelier’s 1900 doctoral thesis on “The Theory of Speculation,” which first modeled prices as random walks</w:t>
      </w:r>
      <w:hyperlink r:id="rId21">
        <w:r>
          <w:rPr>
            <w:rStyle w:val="Hyperlink"/>
          </w:rPr>
          <w:t xml:space="preserve">[1]</w:t>
        </w:r>
      </w:hyperlink>
      <w:r>
        <w:t xml:space="preserve">. Modern portfolio theory (Markowitz, 1952), the CAPM (Sharpe, 1964) and Black–Scholes option pricing (1973) were watershed academic milestones</w:t>
      </w:r>
      <w:hyperlink r:id="rId22">
        <w:r>
          <w:rPr>
            <w:rStyle w:val="Hyperlink"/>
          </w:rPr>
          <w:t xml:space="preserve">[2]</w:t>
        </w:r>
      </w:hyperlink>
      <w:hyperlink r:id="rId23">
        <w:r>
          <w:rPr>
            <w:rStyle w:val="Hyperlink"/>
          </w:rPr>
          <w:t xml:space="preserve">[3]</w:t>
        </w:r>
      </w:hyperlink>
      <w:r>
        <w:t xml:space="preserve">. In parallel, the rise of electronic markets and computing in the 1980s–2000s spawned dedicated “quant” trading firms. Early quant hedge funds (e.g. Long-Term Capital Management) used advanced statistics and leverage, culminating in notable crises and bailouts in 1998</w:t>
      </w:r>
      <w:hyperlink r:id="rId24">
        <w:r>
          <w:rPr>
            <w:rStyle w:val="Hyperlink"/>
          </w:rPr>
          <w:t xml:space="preserve">[4]</w:t>
        </w:r>
      </w:hyperlink>
      <w:hyperlink r:id="rId25">
        <w:r>
          <w:rPr>
            <w:rStyle w:val="Hyperlink"/>
          </w:rPr>
          <w:t xml:space="preserve">[5]</w:t>
        </w:r>
      </w:hyperlink>
      <w:r>
        <w:t xml:space="preserve">. Since the 2000s, strategies have diversified into market-neutral arbitrage, trend-following (CTAs), high-frequency market-making, smart-beta (factor) investing, volatility arbitrage, etc. Renaissance Technologies’ Medallion fund exemplifies extreme quant success (allegedly ~60–70% annualized net returns over decades). Quant strategies now rely on massive datasets (prices, fundamentals, alternative data) and sophisticated infrastructure (co‑location, cloud, petabyte-scale databases)</w:t>
      </w:r>
      <w:hyperlink r:id="rId26">
        <w:r>
          <w:rPr>
            <w:rStyle w:val="Hyperlink"/>
          </w:rPr>
          <w:t xml:space="preserve">[6]</w:t>
        </w:r>
      </w:hyperlink>
      <w:r>
        <w:t xml:space="preserve">. Today’s firms employ teams of PhDs and developers using C++/Python/HFT platforms, often working at standalone research campuses. Regulatory reforms (e.g. Volcker Rule, market‑making obligations, MiFID II/RegSCI) and post‑crisis governance have tightened controls, especially after episodes like the 2010 “Flash Crash” and 2012 Knight Capital loss</w:t>
      </w:r>
      <w:hyperlink r:id="rId27">
        <w:r>
          <w:rPr>
            <w:rStyle w:val="Hyperlink"/>
          </w:rPr>
          <w:t xml:space="preserve">[7]</w:t>
        </w:r>
      </w:hyperlink>
      <w:hyperlink r:id="rId28">
        <w:r>
          <w:rPr>
            <w:rStyle w:val="Hyperlink"/>
          </w:rPr>
          <w:t xml:space="preserve">[8]</w:t>
        </w:r>
      </w:hyperlink>
      <w:r>
        <w:t xml:space="preserve">. Looking ahead, machine learning and AI are being integrated (with caution against overfitting)</w:t>
      </w:r>
      <w:hyperlink r:id="rId29">
        <w:r>
          <w:rPr>
            <w:rStyle w:val="Hyperlink"/>
          </w:rPr>
          <w:t xml:space="preserve">[9]</w:t>
        </w:r>
      </w:hyperlink>
      <w:r>
        <w:t xml:space="preserve">. The field continues to evolve with new data sources and technology, even as regulators and ethicists monitor market‑structure impacts of algorithmic trading.</w:t>
      </w:r>
    </w:p>
    <w:bookmarkStart w:id="33" w:name="origins-and-academic-milestones"/>
    <w:p>
      <w:pPr>
        <w:pStyle w:val="Heading2"/>
      </w:pPr>
      <w:r>
        <w:t xml:space="preserve">Origins and Academic Milestones</w:t>
      </w:r>
    </w:p>
    <w:p>
      <w:pPr>
        <w:pStyle w:val="FirstParagraph"/>
      </w:pPr>
      <w:r>
        <w:t xml:space="preserve">Quantitative finance began as an academic discipline with Bachelier’s 1900 work, which “is regarded as the beginning of quantitative finance in mainstream academia”</w:t>
      </w:r>
      <w:hyperlink r:id="rId21">
        <w:r>
          <w:rPr>
            <w:rStyle w:val="Hyperlink"/>
          </w:rPr>
          <w:t xml:space="preserve">[1]</w:t>
        </w:r>
      </w:hyperlink>
      <w:r>
        <w:t xml:space="preserve">. His random‐walk model of prices laid a conceptual foundation for later theories of market efficiency. After several decades of relative dormancy, the field “took off” in the 1950s–1970s. Harry Markowitz (1952) introduced</w:t>
      </w:r>
      <w:r>
        <w:t xml:space="preserve"> </w:t>
      </w:r>
      <w:r>
        <w:rPr>
          <w:b/>
          <w:bCs/>
        </w:rPr>
        <w:t xml:space="preserve">Modern Portfolio Theory (MPT)</w:t>
      </w:r>
      <w:r>
        <w:t xml:space="preserve">, showing how to balance risk and return across a portfolio</w:t>
      </w:r>
      <w:hyperlink r:id="rId22">
        <w:r>
          <w:rPr>
            <w:rStyle w:val="Hyperlink"/>
          </w:rPr>
          <w:t xml:space="preserve">[2]</w:t>
        </w:r>
      </w:hyperlink>
      <w:r>
        <w:t xml:space="preserve">. William Sharpe (1964) derived the</w:t>
      </w:r>
      <w:r>
        <w:t xml:space="preserve"> </w:t>
      </w:r>
      <w:r>
        <w:rPr>
          <w:b/>
          <w:bCs/>
        </w:rPr>
        <w:t xml:space="preserve">Capital Asset Pricing Model (CAPM)</w:t>
      </w:r>
      <w:r>
        <w:t xml:space="preserve"> </w:t>
      </w:r>
      <w:r>
        <w:t xml:space="preserve">from MPT, linking expected return to market beta</w:t>
      </w:r>
      <w:hyperlink r:id="rId30">
        <w:r>
          <w:rPr>
            <w:rStyle w:val="Hyperlink"/>
          </w:rPr>
          <w:t xml:space="preserve">[10]</w:t>
        </w:r>
      </w:hyperlink>
      <w:r>
        <w:t xml:space="preserve">. The Black–Scholes model (1973) “ushered in the modern era of derivative securities” by providing a closed‐form formula to price options under a lognormal model</w:t>
      </w:r>
      <w:hyperlink r:id="rId23">
        <w:r>
          <w:rPr>
            <w:rStyle w:val="Hyperlink"/>
          </w:rPr>
          <w:t xml:space="preserve">[3]</w:t>
        </w:r>
      </w:hyperlink>
      <w:r>
        <w:t xml:space="preserve">. In the same era, Eugene Fama formalized the</w:t>
      </w:r>
      <w:r>
        <w:t xml:space="preserve"> </w:t>
      </w:r>
      <w:r>
        <w:rPr>
          <w:b/>
          <w:bCs/>
        </w:rPr>
        <w:t xml:space="preserve">Efficient Market Hypothesis (EMH)</w:t>
      </w:r>
      <w:r>
        <w:t xml:space="preserve">, arguing (building on Bachelier) that prices reflect all available information</w:t>
      </w:r>
      <w:hyperlink r:id="rId31">
        <w:r>
          <w:rPr>
            <w:rStyle w:val="Hyperlink"/>
          </w:rPr>
          <w:t xml:space="preserve">[11]</w:t>
        </w:r>
      </w:hyperlink>
      <w:r>
        <w:t xml:space="preserve">.</w:t>
      </w:r>
    </w:p>
    <w:p>
      <w:pPr>
        <w:pStyle w:val="BodyText"/>
      </w:pPr>
      <w:r>
        <w:t xml:space="preserve">By the 1970s, theoretical models (MPT, CAPM, Arbitrage Pricing Theory) dominated academia, while practical algorithmic trading was nascent. The</w:t>
      </w:r>
      <w:r>
        <w:t xml:space="preserve"> </w:t>
      </w:r>
      <w:r>
        <w:rPr>
          <w:b/>
          <w:bCs/>
        </w:rPr>
        <w:t xml:space="preserve">1987 stock market crash</w:t>
      </w:r>
      <w:r>
        <w:t xml:space="preserve"> </w:t>
      </w:r>
      <w:r>
        <w:t xml:space="preserve">highlighted the impact of computers on trading. Program-trading rules (e.g. portfolio insurance) were blamed for amplifying the sell‐off. In the late 1980s and 1990s, institutional adoption accelerated. Iconic quant hedge funds emerged (e.g. D. E. Shaw, Renaissance Technologies, AQR, Bridgewater), applying statistical models to equities, bonds, currencies and derivatives. Notable milestones include the founding of Long-Term Capital Management (LTCM) in 1994 and its near-collapse in 1998</w:t>
      </w:r>
      <w:hyperlink r:id="rId24">
        <w:r>
          <w:rPr>
            <w:rStyle w:val="Hyperlink"/>
          </w:rPr>
          <w:t xml:space="preserve">[4]</w:t>
        </w:r>
      </w:hyperlink>
      <w:hyperlink r:id="rId25">
        <w:r>
          <w:rPr>
            <w:rStyle w:val="Hyperlink"/>
          </w:rPr>
          <w:t xml:space="preserve">[5]</w:t>
        </w:r>
      </w:hyperlink>
      <w:r>
        <w:t xml:space="preserve">. LTCM’s founders (including Nobelists Scholes and Merton) had delivered ~40%+ annual returns initially but lost \$4.6 billion in months due to high leverage and the Asian/Russian crises</w:t>
      </w:r>
      <w:hyperlink r:id="rId32">
        <w:r>
          <w:rPr>
            <w:rStyle w:val="Hyperlink"/>
          </w:rPr>
          <w:t xml:space="preserve">[12]</w:t>
        </w:r>
      </w:hyperlink>
      <w:r>
        <w:t xml:space="preserve">. The Fed organized a \$3.6 billion private bailout to avert systemic risk</w:t>
      </w:r>
      <w:hyperlink r:id="rId25">
        <w:r>
          <w:rPr>
            <w:rStyle w:val="Hyperlink"/>
          </w:rPr>
          <w:t xml:space="preserve">[5]</w:t>
        </w:r>
      </w:hyperlink>
      <w:r>
        <w:t xml:space="preserve">. This episode underscored that even mathematically sophisticated models could fail under extreme conditions.</w:t>
      </w:r>
    </w:p>
    <w:p>
      <w:pPr>
        <w:pStyle w:val="BodyText"/>
      </w:pPr>
      <w:r>
        <w:t xml:space="preserve">The timeline below highlights key theoretical and industry milestones.</w:t>
      </w:r>
    </w:p>
    <w:p>
      <w:pPr>
        <w:pStyle w:val="SourceCode"/>
      </w:pPr>
      <w:r>
        <w:rPr>
          <w:rStyle w:val="VerbatimChar"/>
        </w:rPr>
        <w:t xml:space="preserve">graph LR</w:t>
      </w:r>
      <w:r>
        <w:br/>
      </w:r>
      <w:r>
        <w:rPr>
          <w:rStyle w:val="VerbatimChar"/>
        </w:rPr>
        <w:t xml:space="preserve">    A["1900&lt;br&gt;Bachelier: Theory of Speculation"] --&gt; B["1952&lt;br&gt;Markowitz: Modern Portfolio Theory"]</w:t>
      </w:r>
      <w:r>
        <w:br/>
      </w:r>
      <w:r>
        <w:rPr>
          <w:rStyle w:val="VerbatimChar"/>
        </w:rPr>
        <w:t xml:space="preserve">    B --&gt; C["1964&lt;br&gt;Sharpe: CAPM"]</w:t>
      </w:r>
      <w:r>
        <w:br/>
      </w:r>
      <w:r>
        <w:rPr>
          <w:rStyle w:val="VerbatimChar"/>
        </w:rPr>
        <w:t xml:space="preserve">    C --&gt; D["1973&lt;br&gt;Black–Scholes: Options Pricing"]</w:t>
      </w:r>
      <w:r>
        <w:br/>
      </w:r>
      <w:r>
        <w:rPr>
          <w:rStyle w:val="VerbatimChar"/>
        </w:rPr>
        <w:t xml:space="preserve">    D --&gt; E["1987&lt;br&gt;Market Crash (program trading)"]</w:t>
      </w:r>
      <w:r>
        <w:br/>
      </w:r>
      <w:r>
        <w:rPr>
          <w:rStyle w:val="VerbatimChar"/>
        </w:rPr>
        <w:t xml:space="preserve">    E --&gt; F["1994&lt;br&gt;LTCM founded"]</w:t>
      </w:r>
      <w:r>
        <w:br/>
      </w:r>
      <w:r>
        <w:rPr>
          <w:rStyle w:val="VerbatimChar"/>
        </w:rPr>
        <w:t xml:space="preserve">    F --&gt; G["1998&lt;br&gt;LTCM bailout/collapse"]</w:t>
      </w:r>
      <w:r>
        <w:br/>
      </w:r>
      <w:r>
        <w:rPr>
          <w:rStyle w:val="VerbatimChar"/>
        </w:rPr>
        <w:t xml:space="preserve">    G --&gt; H["2000s&lt;br&gt;Rise of HFT and Algorithmic Trading"]</w:t>
      </w:r>
      <w:r>
        <w:br/>
      </w:r>
      <w:r>
        <w:rPr>
          <w:rStyle w:val="VerbatimChar"/>
        </w:rPr>
        <w:t xml:space="preserve">    H --&gt; I["2010&lt;br&gt;Flash Crash (HFT selling); Knight Capital loss"]</w:t>
      </w:r>
      <w:r>
        <w:br/>
      </w:r>
      <w:r>
        <w:rPr>
          <w:rStyle w:val="VerbatimChar"/>
        </w:rPr>
        <w:t xml:space="preserve">    I --&gt; J["2020s&lt;br&gt;AI/ML integration; Crypto trading boom"]</w:t>
      </w:r>
    </w:p>
    <w:p>
      <w:pPr>
        <w:pStyle w:val="FirstParagraph"/>
      </w:pPr>
      <w:r>
        <w:t xml:space="preserve">Early</w:t>
      </w:r>
      <w:r>
        <w:t xml:space="preserve"> </w:t>
      </w:r>
      <w:r>
        <w:rPr>
          <w:b/>
          <w:bCs/>
        </w:rPr>
        <w:t xml:space="preserve">quantitative methods</w:t>
      </w:r>
      <w:r>
        <w:t xml:space="preserve"> </w:t>
      </w:r>
      <w:r>
        <w:t xml:space="preserve">extended beyond portfolio theory. Stephen Ross’s</w:t>
      </w:r>
      <w:r>
        <w:t xml:space="preserve"> </w:t>
      </w:r>
      <w:r>
        <w:rPr>
          <w:i/>
          <w:iCs/>
        </w:rPr>
        <w:t xml:space="preserve">Arbitrage Pricing Theory</w:t>
      </w:r>
      <w:r>
        <w:t xml:space="preserve"> </w:t>
      </w:r>
      <w:r>
        <w:t xml:space="preserve">(1976) generalized CAPM to multiple factors, and Fama–French (1993) empirically identified size and value effects in stock returns. Engle’s ARCH (1982) and subsequent GARCH models captured volatility clustering in markets. The 1980s also saw the birth of factor‐risk models (e.g. Barra risk models), which computed a portfolio’s exposure to style factors. In all cases, these developments assumed no extreme jumps or fat tails, assumptions later challenged during crises.</w:t>
      </w:r>
    </w:p>
    <w:bookmarkEnd w:id="33"/>
    <w:bookmarkStart w:id="36" w:name="X367fa8f2bf04e163a883339876bedb06c676af2"/>
    <w:p>
      <w:pPr>
        <w:pStyle w:val="Heading2"/>
      </w:pPr>
      <w:r>
        <w:t xml:space="preserve">Evolution of Data, Computing, and Infrastructure</w:t>
      </w:r>
    </w:p>
    <w:p>
      <w:pPr>
        <w:pStyle w:val="FirstParagraph"/>
      </w:pPr>
      <w:r>
        <w:t xml:space="preserve">The rise of quantitative trading has been driven by parallel advances in data and computing. In the 1960s–70s, institutions used mainframes (e.g. IBM System/360) for batch risk calculations and trade processing, but real-time modeling was limited. The 1980s saw the advent of specialized hardware and workstations (like early Bloomberg terminals) that provided continuous market data</w:t>
      </w:r>
      <w:hyperlink r:id="rId34">
        <w:r>
          <w:rPr>
            <w:rStyle w:val="Hyperlink"/>
          </w:rPr>
          <w:t xml:space="preserve">[13]</w:t>
        </w:r>
      </w:hyperlink>
      <w:r>
        <w:t xml:space="preserve">. By the 1990s, high-speed networks and the internet enabled electronic order routing and live feeds from multiple venues. Exchanges computerised their order books, and consolidated tape feeds became available.</w:t>
      </w:r>
    </w:p>
    <w:p>
      <w:pPr>
        <w:pStyle w:val="BodyText"/>
      </w:pPr>
      <w:r>
        <w:t xml:space="preserve">With each decade, data volume and variety exploded:</w:t>
      </w:r>
    </w:p>
    <w:p>
      <w:pPr>
        <w:pStyle w:val="Compact"/>
        <w:numPr>
          <w:ilvl w:val="0"/>
          <w:numId w:val="1001"/>
        </w:numPr>
      </w:pPr>
      <w:r>
        <w:rPr>
          <w:b/>
          <w:bCs/>
        </w:rPr>
        <w:t xml:space="preserve">Price and Volume Data:</w:t>
      </w:r>
      <w:r>
        <w:t xml:space="preserve"> </w:t>
      </w:r>
      <w:r>
        <w:t xml:space="preserve">Equity, futures and FX tick data became ubiquitous.</w:t>
      </w:r>
    </w:p>
    <w:p>
      <w:pPr>
        <w:pStyle w:val="Compact"/>
        <w:numPr>
          <w:ilvl w:val="0"/>
          <w:numId w:val="1001"/>
        </w:numPr>
      </w:pPr>
      <w:r>
        <w:rPr>
          <w:b/>
          <w:bCs/>
        </w:rPr>
        <w:t xml:space="preserve">Fundamental/Financial Data:</w:t>
      </w:r>
      <w:r>
        <w:t xml:space="preserve"> </w:t>
      </w:r>
      <w:r>
        <w:t xml:space="preserve">Estimates and fundamentals (e.g. IBES, Compustat) were digitized.</w:t>
      </w:r>
    </w:p>
    <w:p>
      <w:pPr>
        <w:pStyle w:val="Compact"/>
        <w:numPr>
          <w:ilvl w:val="0"/>
          <w:numId w:val="1001"/>
        </w:numPr>
      </w:pPr>
      <w:r>
        <w:rPr>
          <w:b/>
          <w:bCs/>
        </w:rPr>
        <w:t xml:space="preserve">Alternative Data:</w:t>
      </w:r>
      <w:r>
        <w:t xml:space="preserve"> </w:t>
      </w:r>
      <w:r>
        <w:t xml:space="preserve">In recent years, unconventional data (satellite imagery, social media sentiment, credit-card transactions) have supplemented price data.</w:t>
      </w:r>
    </w:p>
    <w:p>
      <w:pPr>
        <w:pStyle w:val="Compact"/>
        <w:numPr>
          <w:ilvl w:val="0"/>
          <w:numId w:val="1001"/>
        </w:numPr>
      </w:pPr>
      <w:r>
        <w:rPr>
          <w:b/>
          <w:bCs/>
        </w:rPr>
        <w:t xml:space="preserve">News &amp; Text:</w:t>
      </w:r>
      <w:r>
        <w:t xml:space="preserve"> </w:t>
      </w:r>
      <w:r>
        <w:t xml:space="preserve">Natural-language processing of filings and news is now common.</w:t>
      </w:r>
    </w:p>
    <w:p>
      <w:pPr>
        <w:pStyle w:val="FirstParagraph"/>
      </w:pPr>
      <w:r>
        <w:t xml:space="preserve">On the computing side, firms built sophisticated tech stacks. Modern quant firms typically maintain</w:t>
      </w:r>
      <w:r>
        <w:t xml:space="preserve"> </w:t>
      </w:r>
      <w:r>
        <w:rPr>
          <w:b/>
          <w:bCs/>
        </w:rPr>
        <w:t xml:space="preserve">petabyte-scale data warehouses</w:t>
      </w:r>
      <w:hyperlink r:id="rId26">
        <w:r>
          <w:rPr>
            <w:rStyle w:val="Hyperlink"/>
          </w:rPr>
          <w:t xml:space="preserve">[6]</w:t>
        </w:r>
      </w:hyperlink>
      <w:r>
        <w:t xml:space="preserve">. They deploy low-latency networking (co-located servers at exchange data centers) and high-performance languages. For execution, C++ (or even FPGAs) dominate in HFT, while Python, R and MATLAB are favored for research and prototyping. Kdb+/q databases and time-series storage are common for tick data. Cloud computing (AWS/GCP) and big-data tools (Hadoop, Spark) are increasingly used for backtesting and data processing. As one analysis notes, firms now exploit “emerging technologies” under heavy regulation:</w:t>
      </w:r>
      <w:r>
        <w:t xml:space="preserve"> </w:t>
      </w:r>
      <w:r>
        <w:rPr>
          <w:i/>
          <w:iCs/>
        </w:rPr>
        <w:t xml:space="preserve">“real-time data analytics, cloud computing, large historical data, and advanced AI”</w:t>
      </w:r>
      <w:r>
        <w:t xml:space="preserve"> </w:t>
      </w:r>
      <w:r>
        <w:t xml:space="preserve">are modern pillars (with regulators scrutinizing algorithmic controls)</w:t>
      </w:r>
      <w:hyperlink r:id="rId35">
        <w:r>
          <w:rPr>
            <w:rStyle w:val="Hyperlink"/>
          </w:rPr>
          <w:t xml:space="preserve">[14]</w:t>
        </w:r>
      </w:hyperlink>
      <w:hyperlink r:id="rId29">
        <w:r>
          <w:rPr>
            <w:rStyle w:val="Hyperlink"/>
          </w:rPr>
          <w:t xml:space="preserve">[9]</w:t>
        </w:r>
      </w:hyperlink>
      <w:r>
        <w:t xml:space="preserve">.</w:t>
      </w:r>
    </w:p>
    <w:p>
      <w:pPr>
        <w:pStyle w:val="BodyText"/>
      </w:pPr>
      <w:r>
        <w:t xml:space="preserve">In short, the infrastructure of quantitative trading has evolved from batch calculations to real-time, data-driven machine analysis, enabling strategies that were impossible a generation ago.</w:t>
      </w:r>
    </w:p>
    <w:bookmarkEnd w:id="36"/>
    <w:bookmarkStart w:id="38" w:name="key-mathematical-and-statistical-methods"/>
    <w:p>
      <w:pPr>
        <w:pStyle w:val="Heading2"/>
      </w:pPr>
      <w:r>
        <w:t xml:space="preserve">Key Mathematical and Statistical Methods</w:t>
      </w:r>
    </w:p>
    <w:p>
      <w:pPr>
        <w:pStyle w:val="FirstParagraph"/>
      </w:pPr>
      <w:r>
        <w:rPr>
          <w:b/>
          <w:bCs/>
        </w:rPr>
        <w:t xml:space="preserve">Portfolio Theory and Factor Models.</w:t>
      </w:r>
      <w:r>
        <w:t xml:space="preserve"> </w:t>
      </w:r>
      <w:r>
        <w:t xml:space="preserve">We start with Markowitz’s mean–variance MPT</w:t>
      </w:r>
      <w:hyperlink r:id="rId22">
        <w:r>
          <w:rPr>
            <w:rStyle w:val="Hyperlink"/>
          </w:rPr>
          <w:t xml:space="preserve">[2]</w:t>
        </w:r>
      </w:hyperlink>
      <w:r>
        <w:t xml:space="preserve">, which optimizes portfolios by balancing expected return vs. volatility. CAPM (Sharpe, 1964) built on MPT by showing expected return is a linear function of market beta</w:t>
      </w:r>
      <w:hyperlink r:id="rId30">
        <w:r>
          <w:rPr>
            <w:rStyle w:val="Hyperlink"/>
          </w:rPr>
          <w:t xml:space="preserve">[10]</w:t>
        </w:r>
      </w:hyperlink>
      <w:r>
        <w:t xml:space="preserve">. These formed the core of rational-investor theory for decades. Factor models extended this framework: Arbitrage Pricing Theory (Ross, 1976) allowed multiple risk factors; Fama–French (1993) introduced size and value factors; Carhart (1997) added momentum. More recent academics have added quality, low-volatility and profitability factors. Research (e.g. AQR’s</w:t>
      </w:r>
      <w:r>
        <w:t xml:space="preserve"> </w:t>
      </w:r>
      <w:r>
        <w:rPr>
          <w:i/>
          <w:iCs/>
        </w:rPr>
        <w:t xml:space="preserve">“Value and Momentum Everywhere”</w:t>
      </w:r>
      <w:r>
        <w:t xml:space="preserve">) documents that value and momentum premia persist across global markets</w:t>
      </w:r>
      <w:hyperlink r:id="rId37">
        <w:r>
          <w:rPr>
            <w:rStyle w:val="Hyperlink"/>
          </w:rPr>
          <w:t xml:space="preserve">[15]</w:t>
        </w:r>
      </w:hyperlink>
      <w:r>
        <w:t xml:space="preserve">.</w:t>
      </w:r>
    </w:p>
    <w:p>
      <w:pPr>
        <w:pStyle w:val="BodyText"/>
      </w:pPr>
      <w:r>
        <w:rPr>
          <w:b/>
          <w:bCs/>
        </w:rPr>
        <w:t xml:space="preserve">Stochastic Calculus and Derivatives Pricing.</w:t>
      </w:r>
      <w:r>
        <w:t xml:space="preserve"> </w:t>
      </w:r>
      <w:r>
        <w:t xml:space="preserve">The Black–Scholes model (1973) assumed asset prices follow a geometric Brownian motion and used stochastic calculus to derive option prices</w:t>
      </w:r>
      <w:hyperlink r:id="rId23">
        <w:r>
          <w:rPr>
            <w:rStyle w:val="Hyperlink"/>
          </w:rPr>
          <w:t xml:space="preserve">[3]</w:t>
        </w:r>
      </w:hyperlink>
      <w:r>
        <w:t xml:space="preserve">. This revolutionized derivatives markets, underpinning modern risk-neutral pricing. Later work generalized it: Hull-White, Vasicek and others built interest-rate models; local and stochastic volatility models (SABR, etc.) improved exotic option pricing. Monte Carlo and finite-difference methods became standard for path-dependent payoffs.</w:t>
      </w:r>
    </w:p>
    <w:p>
      <w:pPr>
        <w:pStyle w:val="BodyText"/>
      </w:pPr>
      <w:r>
        <w:rPr>
          <w:b/>
          <w:bCs/>
        </w:rPr>
        <w:t xml:space="preserve">Econometrics and Time-Series.</w:t>
      </w:r>
      <w:r>
        <w:t xml:space="preserve"> </w:t>
      </w:r>
      <w:r>
        <w:t xml:space="preserve">Techniques from econometrics are central. Models like ARIMA and cointegration are used to model price series and pairs trading. For volatility, Engle’s ARCH (1982) and Bollerslev’s GARCH captured time-varying volatility and are widely used for risk forecasts. State-space and Kalman filters serve for dynamic estimation (e.g. yield curves, latent factors). More advanced econometric tools like copulas and extreme-value theory help model tail risk and correlations in crises.</w:t>
      </w:r>
    </w:p>
    <w:p>
      <w:pPr>
        <w:pStyle w:val="BodyText"/>
      </w:pPr>
      <w:r>
        <w:rPr>
          <w:b/>
          <w:bCs/>
        </w:rPr>
        <w:t xml:space="preserve">Machine Learning and AI.</w:t>
      </w:r>
      <w:r>
        <w:t xml:space="preserve"> </w:t>
      </w:r>
      <w:r>
        <w:t xml:space="preserve">In recent years, data-driven methods have permeated quant research. Supervised learning (regression, trees, neural networks) is used for forecasting returns or risk factors. Unsupervised learning (clustering, PCA) helps identify latent structures. Reinforcement learning and natural-language processing are emerging tools (e.g. for market signal generation from news). However, practitioners caution that</w:t>
      </w:r>
      <w:r>
        <w:t xml:space="preserve"> </w:t>
      </w:r>
      <w:r>
        <w:rPr>
          <w:b/>
          <w:bCs/>
        </w:rPr>
        <w:t xml:space="preserve">ML is an evolution, not a panacea</w:t>
      </w:r>
      <w:r>
        <w:t xml:space="preserve">: domain knowledge and rigorous validation remain essential. As one asset manager notes, ML “provides substantial new flexibility” but also increases the risk of data-mined overfit, requiring disciplined research to find genuine predictive signals</w:t>
      </w:r>
      <w:hyperlink r:id="rId29">
        <w:r>
          <w:rPr>
            <w:rStyle w:val="Hyperlink"/>
          </w:rPr>
          <w:t xml:space="preserve">[9]</w:t>
        </w:r>
      </w:hyperlink>
      <w:r>
        <w:t xml:space="preserve">.</w:t>
      </w:r>
    </w:p>
    <w:p>
      <w:pPr>
        <w:pStyle w:val="BodyText"/>
      </w:pPr>
      <w:r>
        <w:rPr>
          <w:b/>
          <w:bCs/>
        </w:rPr>
        <w:t xml:space="preserve">Statistical Modeling in Execution.</w:t>
      </w:r>
      <w:r>
        <w:t xml:space="preserve"> </w:t>
      </w:r>
      <w:r>
        <w:t xml:space="preserve">Beyond strategy, quantitative methods are used for execution algorithms (e.g. VWAP, POV algorithms) that slice large orders. Optimal execution models (Almgren–Chriss) and real-time risk monitors use probability and control theory to minimize market impact. Algorithmic trading platforms incorporate statistical alerts to detect anomalies.</w:t>
      </w:r>
    </w:p>
    <w:p>
      <w:pPr>
        <w:pStyle w:val="BodyText"/>
      </w:pPr>
      <w:r>
        <w:t xml:space="preserve">Collectively, these mathematical tools form the backbone of quant trading research. They are deployed in combination to generate alpha (excess returns) while monitoring and controlling risk.</w:t>
      </w:r>
    </w:p>
    <w:bookmarkEnd w:id="38"/>
    <w:bookmarkStart w:id="43" w:name="major-quantitative-strategy-families"/>
    <w:p>
      <w:pPr>
        <w:pStyle w:val="Heading2"/>
      </w:pPr>
      <w:r>
        <w:t xml:space="preserve">Major Quantitative Strategy Families</w:t>
      </w:r>
    </w:p>
    <w:p>
      <w:pPr>
        <w:pStyle w:val="FirstParagraph"/>
      </w:pPr>
      <w:r>
        <w:t xml:space="preserve">Quantitative strategies are often categorized by horizon and style. Key families include:</w:t>
      </w:r>
    </w:p>
    <w:p>
      <w:pPr>
        <w:numPr>
          <w:ilvl w:val="0"/>
          <w:numId w:val="1002"/>
        </w:numPr>
      </w:pPr>
      <w:r>
        <w:rPr>
          <w:b/>
          <w:bCs/>
        </w:rPr>
        <w:t xml:space="preserve">Statistical Arbitrage:</w:t>
      </w:r>
      <w:r>
        <w:t xml:space="preserve"> </w:t>
      </w:r>
      <w:r>
        <w:t xml:space="preserve">Market-neutral, short-term (minutes–days) trades exploiting mean reversion or small mispricings. Examples include equity</w:t>
      </w:r>
      <w:r>
        <w:t xml:space="preserve"> </w:t>
      </w:r>
      <w:r>
        <w:rPr>
          <w:i/>
          <w:iCs/>
        </w:rPr>
        <w:t xml:space="preserve">pairs trading</w:t>
      </w:r>
      <w:r>
        <w:t xml:space="preserve"> </w:t>
      </w:r>
      <w:r>
        <w:t xml:space="preserve">or index arbitrage. Quant models score and trade portfolios of related securities, long and short simultaneously</w:t>
      </w:r>
      <w:hyperlink r:id="rId39">
        <w:r>
          <w:rPr>
            <w:rStyle w:val="Hyperlink"/>
          </w:rPr>
          <w:t xml:space="preserve">[16]</w:t>
        </w:r>
      </w:hyperlink>
      <w:hyperlink r:id="rId40">
        <w:r>
          <w:rPr>
            <w:rStyle w:val="Hyperlink"/>
          </w:rPr>
          <w:t xml:space="preserve">[17]</w:t>
        </w:r>
      </w:hyperlink>
      <w:r>
        <w:t xml:space="preserve">. The goal is to profit from prices converging to historical norms. Pioneered in the 1980s–90s, stat-arb is often high-turnover and requires high leverage.</w:t>
      </w:r>
    </w:p>
    <w:p>
      <w:pPr>
        <w:numPr>
          <w:ilvl w:val="0"/>
          <w:numId w:val="1002"/>
        </w:numPr>
      </w:pPr>
      <w:r>
        <w:rPr>
          <w:b/>
          <w:bCs/>
        </w:rPr>
        <w:t xml:space="preserve">Trend-Following / Momentum (CTAs):</w:t>
      </w:r>
      <w:r>
        <w:t xml:space="preserve"> </w:t>
      </w:r>
      <w:r>
        <w:t xml:space="preserve">Medium- to long-term strategies (weeks–months) that ride persistent price trends. These include managed futures and commodity trading advisors (CTAs) that systematically go long in rising markets and short in falling ones. Academic momentum (Jagadeesh/Titman 1993) is a related equity strategy (e.g. buying winners, selling losers). These strategies capitalize on market inertia and broad shifts in asset prices. Famous examples include the Winton or AHL trend funds, and risk-parity or “All-Weather” funds (e.g. Bridgewater) that blend trends across asset classes.</w:t>
      </w:r>
    </w:p>
    <w:p>
      <w:pPr>
        <w:numPr>
          <w:ilvl w:val="0"/>
          <w:numId w:val="1002"/>
        </w:numPr>
      </w:pPr>
      <w:r>
        <w:rPr>
          <w:b/>
          <w:bCs/>
        </w:rPr>
        <w:t xml:space="preserve">High-Frequency Trading (HFT):</w:t>
      </w:r>
      <w:r>
        <w:t xml:space="preserve"> </w:t>
      </w:r>
      <w:r>
        <w:t xml:space="preserve">Ultra-short-term (milliseconds) trading using powerful algorithms. HFT encompasses market-making (posting bid/ask continuously), statistical arbitrage, cross-market arbitrage, and very short-term directional trades. HFT firms exploit tiny price discrepancies and order-flow patterns. They rely on speed: co-located servers, custom hardware, and direct data feeds. In aggregate, HFT firms now account for roughly 50% of U.S. equity trading volume</w:t>
      </w:r>
      <w:hyperlink r:id="rId41">
        <w:r>
          <w:rPr>
            <w:rStyle w:val="Hyperlink"/>
          </w:rPr>
          <w:t xml:space="preserve">[18]</w:t>
        </w:r>
      </w:hyperlink>
      <w:r>
        <w:t xml:space="preserve">. Major players include Virtu, Citadel Securities, Jump Trading and Jane Street</w:t>
      </w:r>
      <w:hyperlink r:id="rId42">
        <w:r>
          <w:rPr>
            <w:rStyle w:val="Hyperlink"/>
          </w:rPr>
          <w:t xml:space="preserve">[19]</w:t>
        </w:r>
      </w:hyperlink>
      <w:r>
        <w:t xml:space="preserve">. While providing liquidity (tightening bid-ask spreads), HFT also faces ethical scrutiny; practices like “quote stuffing” or front-running are regulated or banned.</w:t>
      </w:r>
    </w:p>
    <w:p>
      <w:pPr>
        <w:numPr>
          <w:ilvl w:val="0"/>
          <w:numId w:val="1002"/>
        </w:numPr>
      </w:pPr>
      <w:r>
        <w:rPr>
          <w:b/>
          <w:bCs/>
        </w:rPr>
        <w:t xml:space="preserve">Market Making:</w:t>
      </w:r>
      <w:r>
        <w:t xml:space="preserve"> </w:t>
      </w:r>
      <w:r>
        <w:t xml:space="preserve">Often overlapping with HFT, this involves continuously providing liquidity in one or more securities. Market makers earn the bid-ask spread and rebates. They must manage inventory risk with statistical hedging. Today’s market-making is almost entirely electronic and automated (e.g. firms like Citadel Securities or Jane Street in ETFs/equities).</w:t>
      </w:r>
    </w:p>
    <w:p>
      <w:pPr>
        <w:numPr>
          <w:ilvl w:val="0"/>
          <w:numId w:val="1002"/>
        </w:numPr>
      </w:pPr>
      <w:r>
        <w:rPr>
          <w:b/>
          <w:bCs/>
        </w:rPr>
        <w:t xml:space="preserve">Factor/Smart-Beta Investing:</w:t>
      </w:r>
      <w:r>
        <w:t xml:space="preserve"> </w:t>
      </w:r>
      <w:r>
        <w:t xml:space="preserve">Medium- to long-term, systematic investing based on style factors (value, quality, low-volatility, etc.). Instead of market timing, these strategies rebalance to harvest risk premia identified in academic research. They are often implemented in low-cost ETFs. For instance, AQR’s multi-factor funds and Kenneth French’s Fama-French style portfolios are examples. Empirical studies (e.g.</w:t>
      </w:r>
      <w:r>
        <w:t xml:space="preserve"> </w:t>
      </w:r>
      <w:r>
        <w:rPr>
          <w:i/>
          <w:iCs/>
        </w:rPr>
        <w:t xml:space="preserve">“Value and Momentum Everywhere”</w:t>
      </w:r>
      <w:r>
        <w:t xml:space="preserve">) find persistent factor premiums across asset classes</w:t>
      </w:r>
      <w:hyperlink r:id="rId37">
        <w:r>
          <w:rPr>
            <w:rStyle w:val="Hyperlink"/>
          </w:rPr>
          <w:t xml:space="preserve">[15]</w:t>
        </w:r>
      </w:hyperlink>
      <w:r>
        <w:t xml:space="preserve">. Smart-beta funds have proliferated in recent years to bring quant factors to retail and institutional portfolios.</w:t>
      </w:r>
    </w:p>
    <w:p>
      <w:pPr>
        <w:numPr>
          <w:ilvl w:val="0"/>
          <w:numId w:val="1002"/>
        </w:numPr>
      </w:pPr>
      <w:r>
        <w:rPr>
          <w:b/>
          <w:bCs/>
        </w:rPr>
        <w:t xml:space="preserve">Volatility / Options Strategies:</w:t>
      </w:r>
      <w:r>
        <w:t xml:space="preserve"> </w:t>
      </w:r>
      <w:r>
        <w:t xml:space="preserve">Exploiting implied vs. realized volatility. These include volatility arbitrage (taking offsetting positions in options and underlying), dispersion trading (selling index options, buying constituent options), gamma scalping, and selling premium (e.g. strangle writing). Sophisticated quants use stochastic-volatility models to predict option mispricings. Firms like Optiver, Susquehanna, and Citadel have large options trading operations. Volatility-targeting (e.g. volatility risk premia funds) also belong here.</w:t>
      </w:r>
    </w:p>
    <w:p>
      <w:pPr>
        <w:numPr>
          <w:ilvl w:val="0"/>
          <w:numId w:val="1002"/>
        </w:numPr>
      </w:pPr>
      <w:r>
        <w:rPr>
          <w:b/>
          <w:bCs/>
        </w:rPr>
        <w:t xml:space="preserve">Macro and Multi-Strategy:</w:t>
      </w:r>
      <w:r>
        <w:t xml:space="preserve"> </w:t>
      </w:r>
      <w:r>
        <w:t xml:space="preserve">Some quant firms apply systematic models to macroeconomic signals (e.g. quantitative global macro). Others run multi-strategy portfolios mixing the above or overlaying quant overlays on discretionary trading. Bridgewater’s Pure Alpha (systematic macro) and risk-parity strategies are hybrid examples.</w:t>
      </w:r>
    </w:p>
    <w:p>
      <w:pPr>
        <w:pStyle w:val="FirstParagraph"/>
      </w:pPr>
      <w:r>
        <w:t xml:space="preserve">The table below summarizes key strategy dimensions: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Strategy</w:t>
            </w:r>
          </w:p>
        </w:tc>
        <w:tc>
          <w:tcPr/>
          <w:p>
            <w:pPr>
              <w:pStyle w:val="Compact"/>
            </w:pPr>
            <w:r>
              <w:rPr>
                <w:b/>
                <w:bCs/>
              </w:rPr>
              <w:t xml:space="preserve">Typical Horizon</w:t>
            </w:r>
          </w:p>
        </w:tc>
        <w:tc>
          <w:tcPr/>
          <w:p>
            <w:pPr>
              <w:pStyle w:val="Compact"/>
            </w:pPr>
            <w:r>
              <w:rPr>
                <w:b/>
                <w:bCs/>
              </w:rPr>
              <w:t xml:space="preserve">Core Idea</w:t>
            </w:r>
          </w:p>
        </w:tc>
        <w:tc>
          <w:tcPr/>
          <w:p>
            <w:pPr>
              <w:pStyle w:val="Compact"/>
            </w:pPr>
            <w:r>
              <w:rPr>
                <w:b/>
                <w:bCs/>
              </w:rPr>
              <w:t xml:space="preserve">Examples / Firms</w:t>
            </w:r>
          </w:p>
        </w:tc>
      </w:tr>
      <w:tr>
        <w:tc>
          <w:tcPr/>
          <w:p>
            <w:pPr>
              <w:pStyle w:val="Compact"/>
            </w:pPr>
            <w:r>
              <w:t xml:space="preserve">Statistical Arbitrage</w:t>
            </w:r>
          </w:p>
        </w:tc>
        <w:tc>
          <w:tcPr/>
          <w:p>
            <w:pPr>
              <w:pStyle w:val="Compact"/>
            </w:pPr>
            <w:r>
              <w:t xml:space="preserve">Seconds–Days</w:t>
            </w:r>
          </w:p>
        </w:tc>
        <w:tc>
          <w:tcPr/>
          <w:p>
            <w:pPr>
              <w:pStyle w:val="Compact"/>
            </w:pPr>
            <w:r>
              <w:t xml:space="preserve">Mean-reversion in price spreads (e.g. pairs, baskets)</w:t>
            </w:r>
          </w:p>
        </w:tc>
        <w:tc>
          <w:tcPr/>
          <w:p>
            <w:pPr>
              <w:pStyle w:val="Compact"/>
            </w:pPr>
            <w:r>
              <w:t xml:space="preserve">Millennium, GSPS, AQR (PMP), Morgan HFA</w:t>
            </w:r>
          </w:p>
        </w:tc>
      </w:tr>
      <w:tr>
        <w:tc>
          <w:tcPr/>
          <w:p>
            <w:pPr>
              <w:pStyle w:val="Compact"/>
            </w:pPr>
            <w:r>
              <w:t xml:space="preserve">Trend-Following / Momentum</w:t>
            </w:r>
          </w:p>
        </w:tc>
        <w:tc>
          <w:tcPr/>
          <w:p>
            <w:pPr>
              <w:pStyle w:val="Compact"/>
            </w:pPr>
            <w:r>
              <w:t xml:space="preserve">Days–Months</w:t>
            </w:r>
          </w:p>
        </w:tc>
        <w:tc>
          <w:tcPr/>
          <w:p>
            <w:pPr>
              <w:pStyle w:val="Compact"/>
            </w:pPr>
            <w:r>
              <w:t xml:space="preserve">Ride price trends across assets</w:t>
            </w:r>
          </w:p>
        </w:tc>
        <w:tc>
          <w:tcPr/>
          <w:p>
            <w:pPr>
              <w:pStyle w:val="Compact"/>
            </w:pPr>
            <w:r>
              <w:t xml:space="preserve">Winton, Man AHL, AQR (momentum funds)</w:t>
            </w:r>
          </w:p>
        </w:tc>
      </w:tr>
      <w:tr>
        <w:tc>
          <w:tcPr/>
          <w:p>
            <w:pPr>
              <w:pStyle w:val="Compact"/>
            </w:pPr>
            <w:r>
              <w:t xml:space="preserve">High-Frequency Trading</w:t>
            </w:r>
          </w:p>
        </w:tc>
        <w:tc>
          <w:tcPr/>
          <w:p>
            <w:pPr>
              <w:pStyle w:val="Compact"/>
            </w:pPr>
            <w:r>
              <w:t xml:space="preserve">Microsecs–Seconds</w:t>
            </w:r>
          </w:p>
        </w:tc>
        <w:tc>
          <w:tcPr/>
          <w:p>
            <w:pPr>
              <w:pStyle w:val="Compact"/>
            </w:pPr>
            <w:r>
              <w:t xml:space="preserve">Arbitrage and market-making using speed and automation</w:t>
            </w:r>
          </w:p>
        </w:tc>
        <w:tc>
          <w:tcPr/>
          <w:p>
            <w:pPr>
              <w:pStyle w:val="Compact"/>
            </w:pPr>
            <w:r>
              <w:t xml:space="preserve">Citadel Securities, Virtu, Jane Street</w:t>
            </w:r>
          </w:p>
        </w:tc>
      </w:tr>
      <w:tr>
        <w:tc>
          <w:tcPr/>
          <w:p>
            <w:pPr>
              <w:pStyle w:val="Compact"/>
            </w:pPr>
            <w:r>
              <w:t xml:space="preserve">Market Making</w:t>
            </w:r>
          </w:p>
        </w:tc>
        <w:tc>
          <w:tcPr/>
          <w:p>
            <w:pPr>
              <w:pStyle w:val="Compact"/>
            </w:pPr>
            <w:r>
              <w:t xml:space="preserve">Microsecs–Seconds</w:t>
            </w:r>
          </w:p>
        </w:tc>
        <w:tc>
          <w:tcPr/>
          <w:p>
            <w:pPr>
              <w:pStyle w:val="Compact"/>
            </w:pPr>
            <w:r>
              <w:t xml:space="preserve">Provide continuous liquidity (bid-ask spread capture)</w:t>
            </w:r>
          </w:p>
        </w:tc>
        <w:tc>
          <w:tcPr/>
          <w:p>
            <w:pPr>
              <w:pStyle w:val="Compact"/>
            </w:pPr>
            <w:r>
              <w:t xml:space="preserve">Citadel Securities, Virtu, Jane Street</w:t>
            </w:r>
          </w:p>
        </w:tc>
      </w:tr>
      <w:tr>
        <w:tc>
          <w:tcPr/>
          <w:p>
            <w:pPr>
              <w:pStyle w:val="Compact"/>
            </w:pPr>
            <w:r>
              <w:t xml:space="preserve">Factor Investing</w:t>
            </w:r>
          </w:p>
        </w:tc>
        <w:tc>
          <w:tcPr/>
          <w:p>
            <w:pPr>
              <w:pStyle w:val="Compact"/>
            </w:pPr>
            <w:r>
              <w:t xml:space="preserve">Months–Years</w:t>
            </w:r>
          </w:p>
        </w:tc>
        <w:tc>
          <w:tcPr/>
          <w:p>
            <w:pPr>
              <w:pStyle w:val="Compact"/>
            </w:pPr>
            <w:r>
              <w:t xml:space="preserve">Harvest style premiums (value, quality, low vol, etc.)</w:t>
            </w:r>
          </w:p>
        </w:tc>
        <w:tc>
          <w:tcPr/>
          <w:p>
            <w:pPr>
              <w:pStyle w:val="Compact"/>
            </w:pPr>
            <w:r>
              <w:t xml:space="preserve">AQR, Dimensional Fund Advisors, BlackRock</w:t>
            </w:r>
          </w:p>
        </w:tc>
      </w:tr>
      <w:tr>
        <w:tc>
          <w:tcPr/>
          <w:p>
            <w:pPr>
              <w:pStyle w:val="Compact"/>
            </w:pPr>
            <w:r>
              <w:t xml:space="preserve">Options / Volatility</w:t>
            </w:r>
          </w:p>
        </w:tc>
        <w:tc>
          <w:tcPr/>
          <w:p>
            <w:pPr>
              <w:pStyle w:val="Compact"/>
            </w:pPr>
            <w:r>
              <w:t xml:space="preserve">Days–Months</w:t>
            </w:r>
          </w:p>
        </w:tc>
        <w:tc>
          <w:tcPr/>
          <w:p>
            <w:pPr>
              <w:pStyle w:val="Compact"/>
            </w:pPr>
            <w:r>
              <w:t xml:space="preserve">Arbitrage between implied and realized volatility</w:t>
            </w:r>
          </w:p>
        </w:tc>
        <w:tc>
          <w:tcPr/>
          <w:p>
            <w:pPr>
              <w:pStyle w:val="Compact"/>
            </w:pPr>
            <w:r>
              <w:t xml:space="preserve">Susquehanna, Optiver, DRW</w:t>
            </w:r>
          </w:p>
        </w:tc>
      </w:tr>
      <w:tr>
        <w:tc>
          <w:tcPr/>
          <w:p>
            <w:pPr>
              <w:pStyle w:val="Compact"/>
            </w:pPr>
            <w:r>
              <w:t xml:space="preserve">Quant Macro / Multi-Strategy</w:t>
            </w:r>
          </w:p>
        </w:tc>
        <w:tc>
          <w:tcPr/>
          <w:p>
            <w:pPr>
              <w:pStyle w:val="Compact"/>
            </w:pPr>
            <w:r>
              <w:t xml:space="preserve">Weeks–Years</w:t>
            </w:r>
          </w:p>
        </w:tc>
        <w:tc>
          <w:tcPr/>
          <w:p>
            <w:pPr>
              <w:pStyle w:val="Compact"/>
            </w:pPr>
            <w:r>
              <w:t xml:space="preserve">Systematic macro models or diversified quant portfolios</w:t>
            </w:r>
          </w:p>
        </w:tc>
        <w:tc>
          <w:tcPr/>
          <w:p>
            <w:pPr>
              <w:pStyle w:val="Compact"/>
            </w:pPr>
            <w:r>
              <w:t xml:space="preserve">Bridgewater, Two Sigma, WorldQuant</w:t>
            </w:r>
          </w:p>
        </w:tc>
      </w:tr>
    </w:tbl>
    <w:p>
      <w:pPr>
        <w:pStyle w:val="BodyText"/>
      </w:pPr>
      <w:r>
        <w:rPr>
          <w:i/>
          <w:iCs/>
        </w:rPr>
        <w:t xml:space="preserve">Table: Major quantitative strategy families (horizon and examples).</w:t>
      </w:r>
    </w:p>
    <w:bookmarkEnd w:id="43"/>
    <w:bookmarkStart w:id="47" w:name="empirical-performance-and-case-studies"/>
    <w:p>
      <w:pPr>
        <w:pStyle w:val="Heading2"/>
      </w:pPr>
      <w:r>
        <w:t xml:space="preserve">Empirical Performance and Case Studies</w:t>
      </w:r>
    </w:p>
    <w:p>
      <w:pPr>
        <w:pStyle w:val="FirstParagraph"/>
      </w:pPr>
      <w:r>
        <w:t xml:space="preserve">In aggregate, systematic strategies have delivered mixed but generally positive results over the long run. Hedge fund indices (like HFRI) show modest outperformance over equities pre-fees, but high fees often erode net gains. The most extreme examples come from top quant firms: for instance, Renaissance’s Medallion fund (closed to outside investors) reportedly delivered ~60–70% annualized net returns from 1988–2018 (per various sources), far eclipsing traditional funds. By contrast, many quantitative trend or CTA funds have “sticky” performance – good in some market regimes (like persistent trends) and poor in others (choppy or mean‐reverting markets). Academically, factor portfolios (value, momentum, low vol) have shown positive premia on average, but with long multi-year drawdowns.</w:t>
      </w:r>
    </w:p>
    <w:p>
      <w:pPr>
        <w:pStyle w:val="BodyText"/>
      </w:pPr>
      <w:r>
        <w:rPr>
          <w:b/>
          <w:bCs/>
        </w:rPr>
        <w:t xml:space="preserve">Case Study – LTCM (1998):</w:t>
      </w:r>
      <w:r>
        <w:t xml:space="preserve"> </w:t>
      </w:r>
      <w:r>
        <w:t xml:space="preserve">LTCM’s collapse is the canonical cautionary tale. The fund used highly‐leveraged convergence trades in bonds and derivatives. After stellar early returns, it lost \$4.6B in 1998 amid market turmoil</w:t>
      </w:r>
      <w:hyperlink r:id="rId32">
        <w:r>
          <w:rPr>
            <w:rStyle w:val="Hyperlink"/>
          </w:rPr>
          <w:t xml:space="preserve">[12]</w:t>
        </w:r>
      </w:hyperlink>
      <w:r>
        <w:t xml:space="preserve">. The NY Fed famously convened 14 banks to inject \$3.65B to avoid fire-sale contagion</w:t>
      </w:r>
      <w:hyperlink r:id="rId25">
        <w:r>
          <w:rPr>
            <w:rStyle w:val="Hyperlink"/>
          </w:rPr>
          <w:t xml:space="preserve">[5]</w:t>
        </w:r>
      </w:hyperlink>
      <w:r>
        <w:t xml:space="preserve">. Investigations found that LTCM’s models underestimated the risk of simultaneous foreign exchange, bond and equity shocks. The episode prompted greater awareness of systemic risk in hedge fund leverage.</w:t>
      </w:r>
    </w:p>
    <w:p>
      <w:pPr>
        <w:pStyle w:val="BodyText"/>
      </w:pPr>
      <w:r>
        <w:rPr>
          <w:b/>
          <w:bCs/>
        </w:rPr>
        <w:t xml:space="preserve">Case Study – Flash Crash (2010) and Knight Capital (2012):</w:t>
      </w:r>
      <w:r>
        <w:t xml:space="preserve"> </w:t>
      </w:r>
      <w:r>
        <w:t xml:space="preserve">These events highlight operational risks in quant trading. In May 2010, a rapid sell-off erased ~1000 S&amp;P points in minutes. The SEC/CFTC analysis showed one mutual-fund’s large sell order triggered automated selling: high-frequency traders initially absorbed the sell orders (building positions), then rapidly reversed and sold ~2,000 E-mini S&amp;P futures contracts around 2:42–2:44pm</w:t>
      </w:r>
      <w:hyperlink r:id="rId28">
        <w:r>
          <w:rPr>
            <w:rStyle w:val="Hyperlink"/>
          </w:rPr>
          <w:t xml:space="preserve">[8]</w:t>
        </w:r>
      </w:hyperlink>
      <w:r>
        <w:t xml:space="preserve">. At the crash peak, 17 HFT firms accounted for ~50% of market volume</w:t>
      </w:r>
      <w:hyperlink r:id="rId44">
        <w:r>
          <w:rPr>
            <w:rStyle w:val="Hyperlink"/>
          </w:rPr>
          <w:t xml:space="preserve">[20]</w:t>
        </w:r>
      </w:hyperlink>
      <w:r>
        <w:t xml:space="preserve">. In essence, HFT liquidity evaporated just as prices plunged, amplifying volatility.</w:t>
      </w:r>
    </w:p>
    <w:p>
      <w:pPr>
        <w:pStyle w:val="BodyText"/>
      </w:pPr>
      <w:r>
        <w:t xml:space="preserve">Similarly, in August 2012 Knight Capital deployed flawed code that sent 4 million unintended orders in 45 minutes, resulting in a \$460 million loss</w:t>
      </w:r>
      <w:hyperlink r:id="rId27">
        <w:r>
          <w:rPr>
            <w:rStyle w:val="Hyperlink"/>
          </w:rPr>
          <w:t xml:space="preserve">[7]</w:t>
        </w:r>
      </w:hyperlink>
      <w:r>
        <w:t xml:space="preserve">. This single error (in a liquidity-provision algorithm) nearly bankrupt the firm. The SEC’s post-mortem cited lack of version control, testing and real-time safeguards as core failures</w:t>
      </w:r>
      <w:hyperlink r:id="rId45">
        <w:r>
          <w:rPr>
            <w:rStyle w:val="Hyperlink"/>
          </w:rPr>
          <w:t xml:space="preserve">[21]</w:t>
        </w:r>
      </w:hyperlink>
      <w:r>
        <w:t xml:space="preserve">.</w:t>
      </w:r>
    </w:p>
    <w:p>
      <w:pPr>
        <w:pStyle w:val="BodyText"/>
      </w:pPr>
      <w:r>
        <w:t xml:space="preserve">These episodes forced the industry to strengthen risk controls (e.g. kill switches, better testing) and led regulators to impose new rules (see below).</w:t>
      </w:r>
    </w:p>
    <w:p>
      <w:pPr>
        <w:pStyle w:val="BodyText"/>
      </w:pPr>
      <w:r>
        <w:rPr>
          <w:b/>
          <w:bCs/>
        </w:rPr>
        <w:t xml:space="preserve">Factor Investing Performance:</w:t>
      </w:r>
      <w:r>
        <w:t xml:space="preserve"> </w:t>
      </w:r>
      <w:r>
        <w:t xml:space="preserve">Large-scale studies by academics and practitioners document long-run factor returns. For example, AQR finds that global</w:t>
      </w:r>
      <w:r>
        <w:t xml:space="preserve"> </w:t>
      </w:r>
      <w:r>
        <w:rPr>
          <w:b/>
          <w:bCs/>
        </w:rPr>
        <w:t xml:space="preserve">value</w:t>
      </w:r>
      <w:r>
        <w:t xml:space="preserve"> </w:t>
      </w:r>
      <w:r>
        <w:t xml:space="preserve">and</w:t>
      </w:r>
      <w:r>
        <w:t xml:space="preserve"> </w:t>
      </w:r>
      <w:r>
        <w:rPr>
          <w:b/>
          <w:bCs/>
        </w:rPr>
        <w:t xml:space="preserve">momentum</w:t>
      </w:r>
      <w:r>
        <w:t xml:space="preserve"> </w:t>
      </w:r>
      <w:r>
        <w:t xml:space="preserve">strategies earn positive premia across stocks, bonds, currencies and commodities</w:t>
      </w:r>
      <w:hyperlink r:id="rId37">
        <w:r>
          <w:rPr>
            <w:rStyle w:val="Hyperlink"/>
          </w:rPr>
          <w:t xml:space="preserve">[15]</w:t>
        </w:r>
      </w:hyperlink>
      <w:r>
        <w:t xml:space="preserve">. However, these premia can “go to sleep” for years. After 2018-2020, many institutional factor funds underperformed (so-called “factor headwinds”), generating skepticism before eventually rebounding. Ongoing research (e.g. AQR’s “Fact, Fiction, and Factor Investing”) emphasizes that factor strategies require patience and can suffer in “crowded” markets, but are not dead</w:t>
      </w:r>
      <w:hyperlink r:id="rId37">
        <w:r>
          <w:rPr>
            <w:rStyle w:val="Hyperlink"/>
          </w:rPr>
          <w:t xml:space="preserve">[15]</w:t>
        </w:r>
      </w:hyperlink>
      <w:hyperlink r:id="rId29">
        <w:r>
          <w:rPr>
            <w:rStyle w:val="Hyperlink"/>
          </w:rPr>
          <w:t xml:space="preserve">[9]</w:t>
        </w:r>
      </w:hyperlink>
      <w:r>
        <w:t xml:space="preserve">.</w:t>
      </w:r>
    </w:p>
    <w:p>
      <w:pPr>
        <w:pStyle w:val="BodyText"/>
      </w:pPr>
      <w:r>
        <w:rPr>
          <w:b/>
          <w:bCs/>
        </w:rPr>
        <w:t xml:space="preserve">Quantitative Funds:</w:t>
      </w:r>
      <w:r>
        <w:t xml:space="preserve"> </w:t>
      </w:r>
      <w:r>
        <w:t xml:space="preserve">Some firms have public track records. Bridgewater’s All-Weather risk-parity portfolios did well in some crises but suffered when bonds rallied and equities slumped. On average, multi-strategy quant funds (like those tracked by EurekaHedge) deliver high Sharpe ratios but modest net returns (5–10% annual). Notably, the aggregate hedge fund industry saw negative flows post-2008, indicating some investor skepticism, but AUM has grown in absolute terms to over \$4 trillion globally.</w:t>
      </w:r>
    </w:p>
    <w:p>
      <w:pPr>
        <w:pStyle w:val="BodyText"/>
      </w:pPr>
      <w:r>
        <w:t xml:space="preserve">Overall, the quantitative approach tends to smooth returns relative to single-asset bets, but it is not immune to drawdowns – especially when multiple quant players are on the same side of a trade. Indeed, the Fed warned in 2007 that</w:t>
      </w:r>
      <w:r>
        <w:t xml:space="preserve"> </w:t>
      </w:r>
      <w:r>
        <w:rPr>
          <w:i/>
          <w:iCs/>
        </w:rPr>
        <w:t xml:space="preserve">“high correlations among hedge fund returns”</w:t>
      </w:r>
      <w:r>
        <w:t xml:space="preserve"> </w:t>
      </w:r>
      <w:r>
        <w:t xml:space="preserve">could signal systemic risk akin to the LTCM era</w:t>
      </w:r>
      <w:hyperlink r:id="rId46">
        <w:r>
          <w:rPr>
            <w:rStyle w:val="Hyperlink"/>
          </w:rPr>
          <w:t xml:space="preserve">[22]</w:t>
        </w:r>
      </w:hyperlink>
      <w:r>
        <w:t xml:space="preserve">.</w:t>
      </w:r>
    </w:p>
    <w:bookmarkEnd w:id="47"/>
    <w:bookmarkStart w:id="50" w:name="risk-management-and-regulatory-impacts"/>
    <w:p>
      <w:pPr>
        <w:pStyle w:val="Heading2"/>
      </w:pPr>
      <w:r>
        <w:t xml:space="preserve">Risk Management and Regulatory Impacts</w:t>
      </w:r>
    </w:p>
    <w:p>
      <w:pPr>
        <w:pStyle w:val="FirstParagraph"/>
      </w:pPr>
      <w:r>
        <w:rPr>
          <w:b/>
          <w:bCs/>
        </w:rPr>
        <w:t xml:space="preserve">Risk Controls:</w:t>
      </w:r>
      <w:r>
        <w:t xml:space="preserve"> </w:t>
      </w:r>
      <w:r>
        <w:t xml:space="preserve">Modern quant firms invest heavily in risk management. Techniques include Value-at-Risk (VaR) models, scenario analysis, stress testing, and real-time monitoring of exposures (and we now often mandate</w:t>
      </w:r>
      <w:r>
        <w:t xml:space="preserve"> </w:t>
      </w:r>
      <w:r>
        <w:rPr>
          <w:i/>
          <w:iCs/>
        </w:rPr>
        <w:t xml:space="preserve">stop-loss</w:t>
      </w:r>
      <w:r>
        <w:t xml:space="preserve"> </w:t>
      </w:r>
      <w:r>
        <w:t xml:space="preserve">logic in algorithms). After crises like LTCM and the 2008 crash, many firms moved from naive volatility models to more robust stress tests (e.g. multi-factor stress models and Monte Carlo simulations). Operational risk (software bugs, data errors) is managed via code reviews and circuit breakers.</w:t>
      </w:r>
    </w:p>
    <w:p>
      <w:pPr>
        <w:pStyle w:val="BodyText"/>
      </w:pPr>
      <w:r>
        <w:rPr>
          <w:b/>
          <w:bCs/>
        </w:rPr>
        <w:t xml:space="preserve">Regulation:</w:t>
      </w:r>
      <w:r>
        <w:t xml:space="preserve"> </w:t>
      </w:r>
      <w:r>
        <w:t xml:space="preserve">Historically, hedge funds faced minimal oversight: as late as 2007 regulators noted they were</w:t>
      </w:r>
      <w:r>
        <w:t xml:space="preserve"> </w:t>
      </w:r>
      <w:r>
        <w:rPr>
          <w:i/>
          <w:iCs/>
        </w:rPr>
        <w:t xml:space="preserve">“very lightly regulated”</w:t>
      </w:r>
      <w:hyperlink r:id="rId48">
        <w:r>
          <w:rPr>
            <w:rStyle w:val="Hyperlink"/>
          </w:rPr>
          <w:t xml:space="preserve">[23]</w:t>
        </w:r>
      </w:hyperlink>
      <w:r>
        <w:t xml:space="preserve">. Post-2008 reforms imposed new rules: the Dodd-Frank Act (2010) required larger quant funds to register with the SEC and limited certain proprietary trading by banks (Volcker Rule). Market structure rules were also tightened. In the US, Regulation NMS (2005) improved market access and order handling. After the Flash Crash, exchanges and regulators implemented circuit breakers and stricter quoting requirements. On the compliance front, the SEC’s 2015 RegSCI rules compel trading venues and large firms to have robust systems safeguards.</w:t>
      </w:r>
    </w:p>
    <w:p>
      <w:pPr>
        <w:pStyle w:val="BodyText"/>
      </w:pPr>
      <w:r>
        <w:t xml:space="preserve">In Europe, MiFID II (2018) introduced strict controls on algorithmic trading (e.g. requiring firms to have authorized algorithm inventories and kill switches). The FCA’s recent review emphasized strong governance and technical compliance for algos</w:t>
      </w:r>
      <w:hyperlink r:id="rId35">
        <w:r>
          <w:rPr>
            <w:rStyle w:val="Hyperlink"/>
          </w:rPr>
          <w:t xml:space="preserve">[14]</w:t>
        </w:r>
      </w:hyperlink>
      <w:r>
        <w:t xml:space="preserve">. For example, the 2025 FCA report lists best practices (skilled staff, documentation, surveillance), noting that failures in these areas previously led to disasters</w:t>
      </w:r>
      <w:hyperlink r:id="rId35">
        <w:r>
          <w:rPr>
            <w:rStyle w:val="Hyperlink"/>
          </w:rPr>
          <w:t xml:space="preserve">[14]</w:t>
        </w:r>
      </w:hyperlink>
      <w:hyperlink r:id="rId27">
        <w:r>
          <w:rPr>
            <w:rStyle w:val="Hyperlink"/>
          </w:rPr>
          <w:t xml:space="preserve">[7]</w:t>
        </w:r>
      </w:hyperlink>
      <w:r>
        <w:t xml:space="preserve">.</w:t>
      </w:r>
    </w:p>
    <w:p>
      <w:pPr>
        <w:pStyle w:val="BodyText"/>
      </w:pPr>
      <w:r>
        <w:rPr>
          <w:b/>
          <w:bCs/>
        </w:rPr>
        <w:t xml:space="preserve">Regulatory Case Notes:</w:t>
      </w:r>
      <w:r>
        <w:t xml:space="preserve"> </w:t>
      </w:r>
      <w:r>
        <w:t xml:space="preserve">-</w:t>
      </w:r>
      <w:r>
        <w:t xml:space="preserve"> </w:t>
      </w:r>
      <w:r>
        <w:rPr>
          <w:b/>
          <w:bCs/>
        </w:rPr>
        <w:t xml:space="preserve">Knight Capital (2012):</w:t>
      </w:r>
      <w:r>
        <w:t xml:space="preserve"> </w:t>
      </w:r>
      <w:r>
        <w:t xml:space="preserve">SEC enforcement fined Knight for inadequate controls after the \$460M loss</w:t>
      </w:r>
      <w:hyperlink r:id="rId27">
        <w:r>
          <w:rPr>
            <w:rStyle w:val="Hyperlink"/>
          </w:rPr>
          <w:t xml:space="preserve">[7]</w:t>
        </w:r>
      </w:hyperlink>
      <w:r>
        <w:t xml:space="preserve">.</w:t>
      </w:r>
    </w:p>
    <w:p>
      <w:pPr>
        <w:pStyle w:val="Compact"/>
        <w:numPr>
          <w:ilvl w:val="0"/>
          <w:numId w:val="1003"/>
        </w:numPr>
      </w:pPr>
      <w:r>
        <w:rPr>
          <w:b/>
          <w:bCs/>
        </w:rPr>
        <w:t xml:space="preserve">“The Hammer” (2007):</w:t>
      </w:r>
      <w:r>
        <w:t xml:space="preserve"> </w:t>
      </w:r>
      <w:r>
        <w:t xml:space="preserve">CFTC prosecuted traders who manipulated oil futures via simple algorithms; the tactic was described as “really bully[ing] the market”</w:t>
      </w:r>
      <w:hyperlink r:id="rId49">
        <w:r>
          <w:rPr>
            <w:rStyle w:val="Hyperlink"/>
          </w:rPr>
          <w:t xml:space="preserve">[24]</w:t>
        </w:r>
      </w:hyperlink>
      <w:r>
        <w:t xml:space="preserve">.</w:t>
      </w:r>
    </w:p>
    <w:p>
      <w:pPr>
        <w:pStyle w:val="Compact"/>
        <w:numPr>
          <w:ilvl w:val="0"/>
          <w:numId w:val="1003"/>
        </w:numPr>
      </w:pPr>
      <w:r>
        <w:rPr>
          <w:b/>
          <w:bCs/>
        </w:rPr>
        <w:t xml:space="preserve">MiFID II and beyond:</w:t>
      </w:r>
      <w:r>
        <w:t xml:space="preserve"> </w:t>
      </w:r>
      <w:r>
        <w:t xml:space="preserve">Regulators now scrutinize HFT/algorithms for market abuse (front-running, spoofing) and require pre-trade risk limits.</w:t>
      </w:r>
    </w:p>
    <w:p>
      <w:pPr>
        <w:pStyle w:val="FirstParagraph"/>
      </w:pPr>
      <w:r>
        <w:t xml:space="preserve">In sum, regulation has moved to address the risks of algorithmic trading: mandatory disclosures, liquidity requirements, and capital rules (Basel III for banks) all indirectly affect quant trading capacity. Firms today balance agility with compliance: they must document and test algorithms, and often simulate them on historical data to avoid the extremes of the past.</w:t>
      </w:r>
    </w:p>
    <w:bookmarkEnd w:id="50"/>
    <w:bookmarkStart w:id="53" w:name="organizational-structure-and-roles"/>
    <w:p>
      <w:pPr>
        <w:pStyle w:val="Heading2"/>
      </w:pPr>
      <w:r>
        <w:t xml:space="preserve">Organizational Structure and Roles</w:t>
      </w:r>
    </w:p>
    <w:p>
      <w:pPr>
        <w:pStyle w:val="FirstParagraph"/>
      </w:pPr>
      <w:r>
        <w:t xml:space="preserve">Quant firms (and quant desks at banks) typically combine research, trading, and technology under one roof. A simplified structure is: a CEO or CIO oversees a</w:t>
      </w:r>
      <w:r>
        <w:t xml:space="preserve"> </w:t>
      </w:r>
      <w:r>
        <w:rPr>
          <w:b/>
          <w:bCs/>
        </w:rPr>
        <w:t xml:space="preserve">Quant Research</w:t>
      </w:r>
      <w:r>
        <w:t xml:space="preserve"> </w:t>
      </w:r>
      <w:r>
        <w:t xml:space="preserve">unit (economists, PhD quants, data scientists), a</w:t>
      </w:r>
      <w:r>
        <w:t xml:space="preserve"> </w:t>
      </w:r>
      <w:r>
        <w:rPr>
          <w:b/>
          <w:bCs/>
        </w:rPr>
        <w:t xml:space="preserve">Trading / Execution</w:t>
      </w:r>
      <w:r>
        <w:t xml:space="preserve"> </w:t>
      </w:r>
      <w:r>
        <w:t xml:space="preserve">unit (traders and operations), and a</w:t>
      </w:r>
      <w:r>
        <w:t xml:space="preserve"> </w:t>
      </w:r>
      <w:r>
        <w:rPr>
          <w:b/>
          <w:bCs/>
        </w:rPr>
        <w:t xml:space="preserve">Technology</w:t>
      </w:r>
      <w:r>
        <w:t xml:space="preserve"> </w:t>
      </w:r>
      <w:r>
        <w:t xml:space="preserve">unit (software engineers, IT). Risk and compliance functions span all groups. Researchers develop models and signals; traders implement strategies in live markets, adjusting positions. Tech teams build and maintain low-latency platforms, databases, and analytics tools.</w:t>
      </w:r>
    </w:p>
    <w:p>
      <w:pPr>
        <w:pStyle w:val="BodyText"/>
      </w:pPr>
      <w:r>
        <w:t xml:space="preserve">In practice, many hedge funds are small (10–100 employees) and cross-functional. For example, Renaissance Technologies historically employed ~150 staff (half of them PhDs in math/physics) working in tightly integrated research labs</w:t>
      </w:r>
      <w:hyperlink r:id="rId51">
        <w:r>
          <w:rPr>
            <w:rStyle w:val="Hyperlink"/>
          </w:rPr>
          <w:t xml:space="preserve">[25]</w:t>
        </w:r>
      </w:hyperlink>
      <w:r>
        <w:t xml:space="preserve">. Larger firms (Two Sigma, Citadel) have hundreds of quants and engineers. Roles include</w:t>
      </w:r>
      <w:r>
        <w:t xml:space="preserve"> </w:t>
      </w:r>
      <w:r>
        <w:rPr>
          <w:b/>
          <w:bCs/>
        </w:rPr>
        <w:t xml:space="preserve">Quantitative Analysts</w:t>
      </w:r>
      <w:r>
        <w:t xml:space="preserve"> </w:t>
      </w:r>
      <w:r>
        <w:t xml:space="preserve">(model building),</w:t>
      </w:r>
      <w:r>
        <w:t xml:space="preserve"> </w:t>
      </w:r>
      <w:r>
        <w:rPr>
          <w:b/>
          <w:bCs/>
        </w:rPr>
        <w:t xml:space="preserve">Quantitative Traders</w:t>
      </w:r>
      <w:r>
        <w:t xml:space="preserve"> </w:t>
      </w:r>
      <w:r>
        <w:t xml:space="preserve">(strategy implementation),</w:t>
      </w:r>
      <w:r>
        <w:t xml:space="preserve"> </w:t>
      </w:r>
      <w:r>
        <w:rPr>
          <w:b/>
          <w:bCs/>
        </w:rPr>
        <w:t xml:space="preserve">Developers</w:t>
      </w:r>
      <w:r>
        <w:t xml:space="preserve"> </w:t>
      </w:r>
      <w:r>
        <w:t xml:space="preserve">(coding infrastructure),</w:t>
      </w:r>
      <w:r>
        <w:t xml:space="preserve"> </w:t>
      </w:r>
      <w:r>
        <w:rPr>
          <w:b/>
          <w:bCs/>
        </w:rPr>
        <w:t xml:space="preserve">Risk Managers</w:t>
      </w:r>
      <w:r>
        <w:t xml:space="preserve">, and</w:t>
      </w:r>
      <w:r>
        <w:t xml:space="preserve"> </w:t>
      </w:r>
      <w:r>
        <w:rPr>
          <w:b/>
          <w:bCs/>
        </w:rPr>
        <w:t xml:space="preserve">Data Scientists</w:t>
      </w:r>
      <w:r>
        <w:t xml:space="preserve">. Hiring often prioritizes technical skill over finance background – many successful quants come from physics or computer science. Universities and new degree programs (e.g. financial engineering, data science with finance) now feed this talent pipeline</w:t>
      </w:r>
      <w:hyperlink r:id="rId52">
        <w:r>
          <w:rPr>
            <w:rStyle w:val="Hyperlink"/>
          </w:rPr>
          <w:t xml:space="preserve">[26]</w:t>
        </w:r>
      </w:hyperlink>
      <w:r>
        <w:t xml:space="preserve">.</w:t>
      </w:r>
    </w:p>
    <w:p>
      <w:pPr>
        <w:pStyle w:val="SourceCode"/>
      </w:pPr>
      <w:r>
        <w:rPr>
          <w:rStyle w:val="VerbatimChar"/>
        </w:rPr>
        <w:t xml:space="preserve">graph TD</w:t>
      </w:r>
      <w:r>
        <w:br/>
      </w:r>
      <w:r>
        <w:rPr>
          <w:rStyle w:val="VerbatimChar"/>
        </w:rPr>
        <w:t xml:space="preserve">    CEO --&gt; CIO["Head of Quant Research"]</w:t>
      </w:r>
      <w:r>
        <w:br/>
      </w:r>
      <w:r>
        <w:rPr>
          <w:rStyle w:val="VerbatimChar"/>
        </w:rPr>
        <w:t xml:space="preserve">    CEO --&gt; CTO["Head of Technology"]</w:t>
      </w:r>
      <w:r>
        <w:br/>
      </w:r>
      <w:r>
        <w:rPr>
          <w:rStyle w:val="VerbatimChar"/>
        </w:rPr>
        <w:t xml:space="preserve">    CEO --&gt; COO["Head of Trading &amp; Risk Management"]</w:t>
      </w:r>
      <w:r>
        <w:br/>
      </w:r>
      <w:r>
        <w:rPr>
          <w:rStyle w:val="VerbatimChar"/>
        </w:rPr>
        <w:t xml:space="preserve">    CIO --&gt; Quants[Quants &amp; Data Scientists]</w:t>
      </w:r>
      <w:r>
        <w:br/>
      </w:r>
      <w:r>
        <w:rPr>
          <w:rStyle w:val="VerbatimChar"/>
        </w:rPr>
        <w:t xml:space="preserve">    CTO --&gt; Devs[Software Developers &amp; Engineers]</w:t>
      </w:r>
      <w:r>
        <w:br/>
      </w:r>
      <w:r>
        <w:rPr>
          <w:rStyle w:val="VerbatimChar"/>
        </w:rPr>
        <w:t xml:space="preserve">    COO --&gt; Traders[Traders &amp; Portfolio Managers]</w:t>
      </w:r>
      <w:r>
        <w:br/>
      </w:r>
      <w:r>
        <w:rPr>
          <w:rStyle w:val="VerbatimChar"/>
        </w:rPr>
        <w:t xml:space="preserve">    COO --&gt; Risk[Risk Managers &amp; Compliance]</w:t>
      </w:r>
    </w:p>
    <w:p>
      <w:pPr>
        <w:pStyle w:val="FirstParagraph"/>
      </w:pPr>
      <w:r>
        <w:rPr>
          <w:i/>
          <w:iCs/>
        </w:rPr>
        <w:t xml:space="preserve">Figure: Typical organization of a quantitative trading firm.</w:t>
      </w:r>
    </w:p>
    <w:bookmarkEnd w:id="53"/>
    <w:bookmarkStart w:id="54" w:name="technology-stacks-and-data-sources"/>
    <w:p>
      <w:pPr>
        <w:pStyle w:val="Heading2"/>
      </w:pPr>
      <w:r>
        <w:t xml:space="preserve">Technology Stacks and Data Sources</w:t>
      </w:r>
    </w:p>
    <w:p>
      <w:pPr>
        <w:pStyle w:val="FirstParagraph"/>
      </w:pPr>
      <w:r>
        <w:t xml:space="preserve">Modern quant organizations use a rich technology stack. Key components include:</w:t>
      </w:r>
    </w:p>
    <w:p>
      <w:pPr>
        <w:pStyle w:val="Compact"/>
        <w:numPr>
          <w:ilvl w:val="0"/>
          <w:numId w:val="1004"/>
        </w:numPr>
      </w:pPr>
      <w:r>
        <w:rPr>
          <w:b/>
          <w:bCs/>
        </w:rPr>
        <w:t xml:space="preserve">Data Acquisition:</w:t>
      </w:r>
      <w:r>
        <w:t xml:space="preserve"> </w:t>
      </w:r>
      <w:r>
        <w:t xml:space="preserve">Market data feeds (Bloomberg, Refinitiv, exchange feeds) provide real-time prices; reference and fundamental data (Compustat, CRSP) for backtests; and alternative sources (satellite, ESG, sentiment, web-scraped data). Data vendors also supply historical tick and fundamental databases.</w:t>
      </w:r>
    </w:p>
    <w:p>
      <w:pPr>
        <w:pStyle w:val="Compact"/>
        <w:numPr>
          <w:ilvl w:val="0"/>
          <w:numId w:val="1004"/>
        </w:numPr>
      </w:pPr>
      <w:r>
        <w:rPr>
          <w:b/>
          <w:bCs/>
        </w:rPr>
        <w:t xml:space="preserve">Database and Storage:</w:t>
      </w:r>
      <w:r>
        <w:t xml:space="preserve"> </w:t>
      </w:r>
      <w:r>
        <w:t xml:space="preserve">High-performance time-series databases (e.g. Kdb+/q), relational/NoSQL databases, and cloud storage (S3) for large datasets. Many firms build data warehouses storing petabytes of cleaned market data and features.</w:t>
      </w:r>
    </w:p>
    <w:p>
      <w:pPr>
        <w:pStyle w:val="Compact"/>
        <w:numPr>
          <w:ilvl w:val="0"/>
          <w:numId w:val="1004"/>
        </w:numPr>
      </w:pPr>
      <w:r>
        <w:rPr>
          <w:b/>
          <w:bCs/>
        </w:rPr>
        <w:t xml:space="preserve">Languages:</w:t>
      </w:r>
      <w:r>
        <w:t xml:space="preserve"> </w:t>
      </w:r>
      <w:r>
        <w:t xml:space="preserve">C++ and low-level languages (FPGA/Verilog) for ultra-low-latency execution; Python is ubiquitous for research and quick development; R, MATLAB, and Julia are also used by quant researchers. SQL and custom query languages (Kdb+/q) retrieve data. Open-source quant libraries (QuantLib, TA-Lib) are often integrated.</w:t>
      </w:r>
    </w:p>
    <w:p>
      <w:pPr>
        <w:pStyle w:val="Compact"/>
        <w:numPr>
          <w:ilvl w:val="0"/>
          <w:numId w:val="1004"/>
        </w:numPr>
      </w:pPr>
      <w:r>
        <w:rPr>
          <w:b/>
          <w:bCs/>
        </w:rPr>
        <w:t xml:space="preserve">Infrastructure:</w:t>
      </w:r>
      <w:r>
        <w:t xml:space="preserve"> </w:t>
      </w:r>
      <w:r>
        <w:t xml:space="preserve">Unix/Linux servers for most quant and trading systems. Firms co-locate in exchange data centers for minimal latency. Containerization (Docker, Kubernetes) and cloud computing (AWS/Azure) are increasingly used for flexible backtesting and data analysis.</w:t>
      </w:r>
    </w:p>
    <w:p>
      <w:pPr>
        <w:pStyle w:val="Compact"/>
        <w:numPr>
          <w:ilvl w:val="0"/>
          <w:numId w:val="1004"/>
        </w:numPr>
      </w:pPr>
      <w:r>
        <w:rPr>
          <w:b/>
          <w:bCs/>
        </w:rPr>
        <w:t xml:space="preserve">Trading Platforms:</w:t>
      </w:r>
      <w:r>
        <w:t xml:space="preserve"> </w:t>
      </w:r>
      <w:r>
        <w:t xml:space="preserve">Custom or third-party platforms implementing order-routing (via FIX protocol) to exchanges. Execution management systems (EMS) and order management systems (OMS) integrate signals to market orders.</w:t>
      </w:r>
    </w:p>
    <w:p>
      <w:pPr>
        <w:pStyle w:val="Compact"/>
        <w:numPr>
          <w:ilvl w:val="0"/>
          <w:numId w:val="1004"/>
        </w:numPr>
      </w:pPr>
      <w:r>
        <w:rPr>
          <w:b/>
          <w:bCs/>
        </w:rPr>
        <w:t xml:space="preserve">Analytics &amp; ML:</w:t>
      </w:r>
      <w:r>
        <w:t xml:space="preserve"> </w:t>
      </w:r>
      <w:r>
        <w:t xml:space="preserve">Machine-learning frameworks (TensorFlow, PyTorch) are used for research models, especially for unstructured data (text, images). Big-data tools (Hadoop, Spark) may be used for initial data preprocessing.</w:t>
      </w:r>
    </w:p>
    <w:p>
      <w:pPr>
        <w:pStyle w:val="Compact"/>
        <w:numPr>
          <w:ilvl w:val="0"/>
          <w:numId w:val="1004"/>
        </w:numPr>
      </w:pPr>
      <w:r>
        <w:rPr>
          <w:b/>
          <w:bCs/>
        </w:rPr>
        <w:t xml:space="preserve">Risk and Monitoring:</w:t>
      </w:r>
      <w:r>
        <w:t xml:space="preserve"> </w:t>
      </w:r>
      <w:r>
        <w:t xml:space="preserve">Real-time risk engines track exposure, P&amp;L and limit breaches. Visualization tools (Tableau, Excel, web dashboards) report performance and risk metrics.</w:t>
      </w:r>
    </w:p>
    <w:p>
      <w:pPr>
        <w:pStyle w:val="FirstParagraph"/>
      </w:pPr>
      <w:r>
        <w:t xml:space="preserve">The table below highlights typical elements of the quant tech stack: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Component</w:t>
            </w:r>
          </w:p>
        </w:tc>
        <w:tc>
          <w:tcPr/>
          <w:p>
            <w:pPr>
              <w:pStyle w:val="Compact"/>
            </w:pPr>
            <w:r>
              <w:rPr>
                <w:b/>
                <w:bCs/>
              </w:rPr>
              <w:t xml:space="preserve">Examples / Tools</w:t>
            </w:r>
          </w:p>
        </w:tc>
      </w:tr>
      <w:tr>
        <w:tc>
          <w:tcPr/>
          <w:p>
            <w:pPr>
              <w:pStyle w:val="Compact"/>
            </w:pPr>
            <w:r>
              <w:t xml:space="preserve">Data Providers</w:t>
            </w:r>
          </w:p>
        </w:tc>
        <w:tc>
          <w:tcPr/>
          <w:p>
            <w:pPr>
              <w:pStyle w:val="Compact"/>
            </w:pPr>
            <w:r>
              <w:t xml:space="preserve">Bloomberg, Refinitiv, Direct exchange feeds (NYSE, CME, etc.), FactSet, S&amp;P Global, alternative-data vendors (e.g. satellite, ESG)</w:t>
            </w:r>
          </w:p>
        </w:tc>
      </w:tr>
      <w:tr>
        <w:tc>
          <w:tcPr/>
          <w:p>
            <w:pPr>
              <w:pStyle w:val="Compact"/>
            </w:pPr>
            <w:r>
              <w:t xml:space="preserve">Databases / Storage</w:t>
            </w:r>
          </w:p>
        </w:tc>
        <w:tc>
          <w:tcPr/>
          <w:p>
            <w:pPr>
              <w:pStyle w:val="Compact"/>
            </w:pPr>
            <w:r>
              <w:t xml:space="preserve">Kdb+/q, SQL/NoSQL (e.g. PostgreSQL, MongoDB), Parquet/S3, HDF5 files</w:t>
            </w:r>
          </w:p>
        </w:tc>
      </w:tr>
      <w:tr>
        <w:tc>
          <w:tcPr/>
          <w:p>
            <w:pPr>
              <w:pStyle w:val="Compact"/>
            </w:pPr>
            <w:r>
              <w:t xml:space="preserve">Languages</w:t>
            </w:r>
          </w:p>
        </w:tc>
        <w:tc>
          <w:tcPr/>
          <w:p>
            <w:pPr>
              <w:pStyle w:val="Compact"/>
            </w:pPr>
            <w:r>
              <w:t xml:space="preserve">C++, Python, Java, MATLAB, R, Kdb+/q</w:t>
            </w:r>
          </w:p>
        </w:tc>
      </w:tr>
      <w:tr>
        <w:tc>
          <w:tcPr/>
          <w:p>
            <w:pPr>
              <w:pStyle w:val="Compact"/>
            </w:pPr>
            <w:r>
              <w:t xml:space="preserve">Platforms / OS</w:t>
            </w:r>
          </w:p>
        </w:tc>
        <w:tc>
          <w:tcPr/>
          <w:p>
            <w:pPr>
              <w:pStyle w:val="Compact"/>
            </w:pPr>
            <w:r>
              <w:t xml:space="preserve">Linux/Unix servers, Windows terminals, Docker/Kubernetes, Cloud (AWS, GCP, Azure)</w:t>
            </w:r>
          </w:p>
        </w:tc>
      </w:tr>
      <w:tr>
        <w:tc>
          <w:tcPr/>
          <w:p>
            <w:pPr>
              <w:pStyle w:val="Compact"/>
            </w:pPr>
            <w:r>
              <w:t xml:space="preserve">Libraries / Tools</w:t>
            </w:r>
          </w:p>
        </w:tc>
        <w:tc>
          <w:tcPr/>
          <w:p>
            <w:pPr>
              <w:pStyle w:val="Compact"/>
            </w:pPr>
            <w:r>
              <w:t xml:space="preserve">QuantLib, pandas, NumPy/SciPy, TensorFlow/PyTorch/Scikit-learn, statsmodels, TA-Lib, Jupyter notebooks</w:t>
            </w:r>
          </w:p>
        </w:tc>
      </w:tr>
      <w:tr>
        <w:tc>
          <w:tcPr/>
          <w:p>
            <w:pPr>
              <w:pStyle w:val="Compact"/>
            </w:pPr>
            <w:r>
              <w:t xml:space="preserve">Messaging / FIX</w:t>
            </w:r>
          </w:p>
        </w:tc>
        <w:tc>
          <w:tcPr/>
          <w:p>
            <w:pPr>
              <w:pStyle w:val="Compact"/>
            </w:pPr>
            <w:r>
              <w:t xml:space="preserve">FIX Protocol for orders, AMQP/ZeroMQ for internal messaging</w:t>
            </w:r>
          </w:p>
        </w:tc>
      </w:tr>
      <w:tr>
        <w:tc>
          <w:tcPr/>
          <w:p>
            <w:pPr>
              <w:pStyle w:val="Compact"/>
            </w:pPr>
            <w:r>
              <w:t xml:space="preserve">Execution Systems</w:t>
            </w:r>
          </w:p>
        </w:tc>
        <w:tc>
          <w:tcPr/>
          <w:p>
            <w:pPr>
              <w:pStyle w:val="Compact"/>
            </w:pPr>
            <w:r>
              <w:t xml:space="preserve">Proprietary matching engines, order management systems, low-latency FPGA or kernel-bypass network cards</w:t>
            </w:r>
          </w:p>
        </w:tc>
      </w:tr>
      <w:tr>
        <w:tc>
          <w:tcPr/>
          <w:p>
            <w:pPr>
              <w:pStyle w:val="Compact"/>
            </w:pPr>
            <w:r>
              <w:t xml:space="preserve">Risk Engines</w:t>
            </w:r>
          </w:p>
        </w:tc>
        <w:tc>
          <w:tcPr/>
          <w:p>
            <w:pPr>
              <w:pStyle w:val="Compact"/>
            </w:pPr>
            <w:r>
              <w:t xml:space="preserve">In-house VaR/stress testers, third-party risk packages (e.g. MSCI RiskMetrics), real-time P&amp;L monitors</w:t>
            </w:r>
          </w:p>
        </w:tc>
      </w:tr>
    </w:tbl>
    <w:p>
      <w:pPr>
        <w:pStyle w:val="BodyText"/>
      </w:pPr>
      <w:r>
        <w:t xml:space="preserve">Firms design these stacks to be fast, scalable and reliable. Technology choices often differ by team: exotic derivatives desks may use MATLAB prototypes, while HFT desks deploy optimized C++ kernels. A common trend is increasing use of Python for analytics, with computational bottlenecks offloaded to optimized libraries or C++ modules.</w:t>
      </w:r>
    </w:p>
    <w:bookmarkEnd w:id="54"/>
    <w:bookmarkStart w:id="56" w:name="talent-and-hiring-trends"/>
    <w:p>
      <w:pPr>
        <w:pStyle w:val="Heading2"/>
      </w:pPr>
      <w:r>
        <w:t xml:space="preserve">Talent and Hiring Trends</w:t>
      </w:r>
    </w:p>
    <w:p>
      <w:pPr>
        <w:pStyle w:val="FirstParagraph"/>
      </w:pPr>
      <w:r>
        <w:t xml:space="preserve">The demand for “quants” has grown steadily. Quant firms compete for PhDs in mathematics, physics, engineering, computer science and statistics – often paying high compensation. According to industry surveys, quantitative analyst salaries average well into six figures (U.S.), reflecting their specialized skillset</w:t>
      </w:r>
      <w:hyperlink r:id="rId55">
        <w:r>
          <w:rPr>
            <w:rStyle w:val="Hyperlink"/>
          </w:rPr>
          <w:t xml:space="preserve">[27]</w:t>
        </w:r>
      </w:hyperlink>
      <w:r>
        <w:t xml:space="preserve">. Top firms actively recruit from academia, and many new graduates pursue master’s programs in financial engineering or computational finance.</w:t>
      </w:r>
    </w:p>
    <w:p>
      <w:pPr>
        <w:pStyle w:val="BodyText"/>
      </w:pPr>
      <w:r>
        <w:t xml:space="preserve">Interest in quant careers is bolstered by new educational offerings. For example, University programs like Wharton’s Quantitative Finance major explicitly train students at the intersection of AI and finance</w:t>
      </w:r>
      <w:hyperlink r:id="rId52">
        <w:r>
          <w:rPr>
            <w:rStyle w:val="Hyperlink"/>
          </w:rPr>
          <w:t xml:space="preserve">[26]</w:t>
        </w:r>
      </w:hyperlink>
      <w:r>
        <w:t xml:space="preserve">. Students build machine-learning models (e.g. custom large-language models to parse earnings reports) to support investment decisions</w:t>
      </w:r>
      <w:hyperlink r:id="rId52">
        <w:r>
          <w:rPr>
            <w:rStyle w:val="Hyperlink"/>
          </w:rPr>
          <w:t xml:space="preserve">[26]</w:t>
        </w:r>
      </w:hyperlink>
      <w:r>
        <w:t xml:space="preserve">. Similarly, specialized forums and seminars (Marcos López de Prado, Jacobs Levy conferences, etc.) keep professionals updated.</w:t>
      </w:r>
    </w:p>
    <w:p>
      <w:pPr>
        <w:pStyle w:val="BodyText"/>
      </w:pPr>
      <w:r>
        <w:t xml:space="preserve">Broadly, hiring trends show a shift from finance MBAs to STEM PhDs/data scientists. Roles are also more specialized:</w:t>
      </w:r>
      <w:r>
        <w:t xml:space="preserve"> </w:t>
      </w:r>
      <w:r>
        <w:rPr>
          <w:i/>
          <w:iCs/>
        </w:rPr>
        <w:t xml:space="preserve">quant researcher</w:t>
      </w:r>
      <w:r>
        <w:t xml:space="preserve"> </w:t>
      </w:r>
      <w:r>
        <w:t xml:space="preserve">(model developer) vs</w:t>
      </w:r>
      <w:r>
        <w:t xml:space="preserve"> </w:t>
      </w:r>
      <w:r>
        <w:rPr>
          <w:i/>
          <w:iCs/>
        </w:rPr>
        <w:t xml:space="preserve">quant developer</w:t>
      </w:r>
      <w:r>
        <w:t xml:space="preserve"> </w:t>
      </w:r>
      <w:r>
        <w:t xml:space="preserve">(infrastructure engineer) vs</w:t>
      </w:r>
      <w:r>
        <w:t xml:space="preserve"> </w:t>
      </w:r>
      <w:r>
        <w:rPr>
          <w:i/>
          <w:iCs/>
        </w:rPr>
        <w:t xml:space="preserve">quant trader</w:t>
      </w:r>
      <w:r>
        <w:t xml:space="preserve"> </w:t>
      </w:r>
      <w:r>
        <w:t xml:space="preserve">(execution). As portfolios incorporate more big data, some firms now also hire data engineers and cloud specialists. Flexibility and coding skills (especially Python) are often as important as mathematical acumen.</w:t>
      </w:r>
    </w:p>
    <w:p>
      <w:pPr>
        <w:pStyle w:val="BodyText"/>
      </w:pPr>
      <w:r>
        <w:t xml:space="preserve">Overall, the quant talent market remains strong, with opportunities in hedge funds, prop shops, and “quant” divisions of banks and asset managers. However, past booms (e.g. the dot-com era) have shown that hiring can be cyclical with markets. Emerging trends include interest in crypto markets (driving crypto‐native quants) and a growing emphasis on AI literacy within quantitative teams.</w:t>
      </w:r>
    </w:p>
    <w:bookmarkEnd w:id="56"/>
    <w:bookmarkStart w:id="57" w:name="Xd3cbf2f8c08a5c188a12857a61e388ca4096d3c"/>
    <w:p>
      <w:pPr>
        <w:pStyle w:val="Heading2"/>
      </w:pPr>
      <w:r>
        <w:t xml:space="preserve">Ethical and Market-Structure Considerations</w:t>
      </w:r>
    </w:p>
    <w:p>
      <w:pPr>
        <w:pStyle w:val="FirstParagraph"/>
      </w:pPr>
      <w:r>
        <w:t xml:space="preserve">Quantitative trading has brought efficiency but also ethical questions. Proponents argue that HFT and algorithmic strategies add liquidity and tighten spreads. Critics counter that ultra-fast trading can create unfair advantages. For instance, HFT firms can “front-run” slower order flows or exploit millisecond timing differences between exchanges. Incidents like the 2010 Flash Crash demonstrated how liquidity can evaporate under stress, momentarily destabilizing markets</w:t>
      </w:r>
      <w:hyperlink r:id="rId28">
        <w:r>
          <w:rPr>
            <w:rStyle w:val="Hyperlink"/>
          </w:rPr>
          <w:t xml:space="preserve">[8]</w:t>
        </w:r>
      </w:hyperlink>
      <w:hyperlink r:id="rId44">
        <w:r>
          <w:rPr>
            <w:rStyle w:val="Hyperlink"/>
          </w:rPr>
          <w:t xml:space="preserve">[20]</w:t>
        </w:r>
      </w:hyperlink>
      <w:r>
        <w:t xml:space="preserve">.</w:t>
      </w:r>
    </w:p>
    <w:p>
      <w:pPr>
        <w:pStyle w:val="BodyText"/>
      </w:pPr>
      <w:r>
        <w:t xml:space="preserve">Manipulation concerns have also emerged. The CFTC’s prosecution of the 2007 “Hammer” scheme in oil futures showed how even simple algorithms could distort prices. In that case, traders used an automated strategy to “really bully” settlement prices</w:t>
      </w:r>
      <w:hyperlink r:id="rId49">
        <w:r>
          <w:rPr>
            <w:rStyle w:val="Hyperlink"/>
          </w:rPr>
          <w:t xml:space="preserve">[24]</w:t>
        </w:r>
      </w:hyperlink>
      <w:r>
        <w:t xml:space="preserve">. Regulators now monitor for spoofing (placing fake orders) and layering. Exchange rules often forbid excessive order cancellations and require quoting obligations.</w:t>
      </w:r>
    </w:p>
    <w:p>
      <w:pPr>
        <w:pStyle w:val="BodyText"/>
      </w:pPr>
      <w:r>
        <w:t xml:space="preserve">Ethics also touch on data usage. The rise of “alternative data” (e.g. personal or proprietary information) raises questions about privacy and fairness. Is it acceptable for a fund to trade on satellite images of store parking lots to predict sales? Currently, most such data are public (e.g. Google Street View) or aggregated, but the boundary is debated.</w:t>
      </w:r>
    </w:p>
    <w:p>
      <w:pPr>
        <w:pStyle w:val="BodyText"/>
      </w:pPr>
      <w:r>
        <w:t xml:space="preserve">Another issue is systemic risk: if many quants use similar models, a market shock could cause correlated losses. Both industry and regulators watch for “crowding” in factor trades or arbitrage. Post-crisis, there has been a push for hedge funds to adopt enterprise-risk frameworks similar to banks.</w:t>
      </w:r>
    </w:p>
    <w:p>
      <w:pPr>
        <w:pStyle w:val="BodyText"/>
      </w:pPr>
      <w:r>
        <w:t xml:space="preserve">As algorithms become more complex (incorporating AI), transparency is a concern. Some have called for “explainable AI” in finance to prevent hidden biases. The ethical landscape is evolving: initiatives like Fairness in Machine Learning suggest future oversight of AI-driven trading to prevent market abuses.</w:t>
      </w:r>
    </w:p>
    <w:p>
      <w:pPr>
        <w:pStyle w:val="BodyText"/>
      </w:pPr>
      <w:r>
        <w:t xml:space="preserve">In summary, while quant trading has improved market efficiency overall, it also requires vigilance. The industry’s self-regulation (best practices, audits) is complemented by official oversight (exchange rules, SEC/CFTC enforcement) to ensure fair and stable markets.</w:t>
      </w:r>
    </w:p>
    <w:bookmarkEnd w:id="57"/>
    <w:bookmarkStart w:id="59" w:name="future-directions"/>
    <w:p>
      <w:pPr>
        <w:pStyle w:val="Heading2"/>
      </w:pPr>
      <w:r>
        <w:t xml:space="preserve">Future Directions</w:t>
      </w:r>
    </w:p>
    <w:p>
      <w:pPr>
        <w:pStyle w:val="FirstParagraph"/>
      </w:pPr>
      <w:r>
        <w:t xml:space="preserve">The field of quantitative trading is dynamic. Several trends promise to shape its future:</w:t>
      </w:r>
    </w:p>
    <w:p>
      <w:pPr>
        <w:numPr>
          <w:ilvl w:val="0"/>
          <w:numId w:val="1005"/>
        </w:numPr>
      </w:pPr>
      <w:r>
        <w:rPr>
          <w:b/>
          <w:bCs/>
        </w:rPr>
        <w:t xml:space="preserve">Artificial Intelligence and Machine Learning:</w:t>
      </w:r>
      <w:r>
        <w:t xml:space="preserve"> </w:t>
      </w:r>
      <w:r>
        <w:t xml:space="preserve">Deep learning and AI will play a growing role in signal generation (e.g. analyzing unstructured data) and even in execution strategies. As noted, ML is seen as an</w:t>
      </w:r>
      <w:r>
        <w:t xml:space="preserve"> </w:t>
      </w:r>
      <w:r>
        <w:rPr>
          <w:b/>
          <w:bCs/>
        </w:rPr>
        <w:t xml:space="preserve">augmentation</w:t>
      </w:r>
      <w:r>
        <w:t xml:space="preserve"> </w:t>
      </w:r>
      <w:r>
        <w:t xml:space="preserve">of quant methods rather than a replacement</w:t>
      </w:r>
      <w:hyperlink r:id="rId29">
        <w:r>
          <w:rPr>
            <w:rStyle w:val="Hyperlink"/>
          </w:rPr>
          <w:t xml:space="preserve">[9]</w:t>
        </w:r>
      </w:hyperlink>
      <w:r>
        <w:t xml:space="preserve">. Firms will likely invest in explainable AI and robust validation frameworks to harness ML while controlling overfitting</w:t>
      </w:r>
      <w:hyperlink r:id="rId29">
        <w:r>
          <w:rPr>
            <w:rStyle w:val="Hyperlink"/>
          </w:rPr>
          <w:t xml:space="preserve">[9]</w:t>
        </w:r>
      </w:hyperlink>
      <w:r>
        <w:t xml:space="preserve">. Natural-language models could drive new alpha by interpreting news, earnings calls or social media.</w:t>
      </w:r>
    </w:p>
    <w:p>
      <w:pPr>
        <w:numPr>
          <w:ilvl w:val="0"/>
          <w:numId w:val="1005"/>
        </w:numPr>
      </w:pPr>
      <w:r>
        <w:rPr>
          <w:b/>
          <w:bCs/>
        </w:rPr>
        <w:t xml:space="preserve">Alternative Data Explosion:</w:t>
      </w:r>
      <w:r>
        <w:t xml:space="preserve"> </w:t>
      </w:r>
      <w:r>
        <w:t xml:space="preserve">The variety of data will continue to expand (e.g. IoT sensors, Web3 on-chain data). The challenge will be filtering signal from noise. We may see more in-house data science teams and partnerships with data providers.</w:t>
      </w:r>
    </w:p>
    <w:p>
      <w:pPr>
        <w:numPr>
          <w:ilvl w:val="0"/>
          <w:numId w:val="1005"/>
        </w:numPr>
      </w:pPr>
      <w:r>
        <w:rPr>
          <w:b/>
          <w:bCs/>
        </w:rPr>
        <w:t xml:space="preserve">Quantum Computing:</w:t>
      </w:r>
      <w:r>
        <w:t xml:space="preserve"> </w:t>
      </w:r>
      <w:r>
        <w:t xml:space="preserve">Though nascent, quantum algorithms for optimization and sampling could eventually revolutionize portfolio optimization and risk calculation. Several banks and quants are exploring quantum tech in research labs.</w:t>
      </w:r>
    </w:p>
    <w:p>
      <w:pPr>
        <w:numPr>
          <w:ilvl w:val="0"/>
          <w:numId w:val="1005"/>
        </w:numPr>
      </w:pPr>
      <w:r>
        <w:rPr>
          <w:b/>
          <w:bCs/>
        </w:rPr>
        <w:t xml:space="preserve">RegTech and Compliance AI:</w:t>
      </w:r>
      <w:r>
        <w:t xml:space="preserve"> </w:t>
      </w:r>
      <w:r>
        <w:t xml:space="preserve">Regulators are also embracing AI to monitor market abuse. Quant firms may use similar tech for surveillance and compliance. We may see standardized tests or certifications for trading algorithms.</w:t>
      </w:r>
    </w:p>
    <w:p>
      <w:pPr>
        <w:numPr>
          <w:ilvl w:val="0"/>
          <w:numId w:val="1005"/>
        </w:numPr>
      </w:pPr>
      <w:r>
        <w:rPr>
          <w:b/>
          <w:bCs/>
        </w:rPr>
        <w:t xml:space="preserve">Market Structure Evolution:</w:t>
      </w:r>
      <w:r>
        <w:t xml:space="preserve"> </w:t>
      </w:r>
      <w:r>
        <w:t xml:space="preserve">Ongoing consolidation of trading venues and the rise of crypto/DeFi markets present new opportunities and challenges. Tokenized assets and decentralized exchanges could spawn a new class of quantitative strategies, but will require navigating novel technical and regulatory environments.</w:t>
      </w:r>
    </w:p>
    <w:p>
      <w:pPr>
        <w:numPr>
          <w:ilvl w:val="0"/>
          <w:numId w:val="1005"/>
        </w:numPr>
      </w:pPr>
      <w:r>
        <w:rPr>
          <w:b/>
          <w:bCs/>
        </w:rPr>
        <w:t xml:space="preserve">ESG and Social Impact:</w:t>
      </w:r>
      <w:r>
        <w:t xml:space="preserve"> </w:t>
      </w:r>
      <w:r>
        <w:t xml:space="preserve">Quant investors will increasingly incorporate ESG factors using data analytics, balancing return with social goals. Smart-beta ESG indices are already growing. Ethical considerations (climate risk modeling, avoiding market manipulation, data privacy) will be more prominent.</w:t>
      </w:r>
    </w:p>
    <w:p>
      <w:pPr>
        <w:pStyle w:val="FirstParagraph"/>
      </w:pPr>
      <w:r>
        <w:t xml:space="preserve">In conclusion, quantitative finance has come a long way from Bachelier’s random walk. Today’s quants stand on decades of academic theory and technological innovation. The field continually reinvents itself: new data, faster computing, and advanced algorithms expand what is possible, while each market disruption or scandal feeds back into better models and regulations. The future of quant trading will likely be defined by human–AI collaboration, as quantitative researchers adapt ever-smarter tools to navigate complex, high-speed markets.</w:t>
      </w:r>
    </w:p>
    <w:p>
      <w:pPr>
        <w:pStyle w:val="BodyText"/>
      </w:pPr>
      <w:r>
        <w:rPr>
          <w:b/>
          <w:bCs/>
        </w:rPr>
        <w:t xml:space="preserve">Sources:</w:t>
      </w:r>
      <w:r>
        <w:t xml:space="preserve"> </w:t>
      </w:r>
      <w:r>
        <w:t xml:space="preserve">Authoritative academic papers and industry reports were used. For example, foundational works (Markowitz 1952, Sharpe 1964) are documented in historical reviews</w:t>
      </w:r>
      <w:hyperlink r:id="rId22">
        <w:r>
          <w:rPr>
            <w:rStyle w:val="Hyperlink"/>
          </w:rPr>
          <w:t xml:space="preserve">[2]</w:t>
        </w:r>
      </w:hyperlink>
      <w:hyperlink r:id="rId30">
        <w:r>
          <w:rPr>
            <w:rStyle w:val="Hyperlink"/>
          </w:rPr>
          <w:t xml:space="preserve">[10]</w:t>
        </w:r>
      </w:hyperlink>
      <w:r>
        <w:t xml:space="preserve">; events like the LTCM bailout and Knight Capital loss are chronicled by Reuters and regulatory findings</w:t>
      </w:r>
      <w:hyperlink r:id="rId25">
        <w:r>
          <w:rPr>
            <w:rStyle w:val="Hyperlink"/>
          </w:rPr>
          <w:t xml:space="preserve">[5]</w:t>
        </w:r>
      </w:hyperlink>
      <w:hyperlink r:id="rId27">
        <w:r>
          <w:rPr>
            <w:rStyle w:val="Hyperlink"/>
          </w:rPr>
          <w:t xml:space="preserve">[7]</w:t>
        </w:r>
      </w:hyperlink>
      <w:r>
        <w:t xml:space="preserve">; quantitative strategy research is supported by industry data (e.g. AQR’s factor premia studies</w:t>
      </w:r>
      <w:hyperlink r:id="rId37">
        <w:r>
          <w:rPr>
            <w:rStyle w:val="Hyperlink"/>
          </w:rPr>
          <w:t xml:space="preserve">[15]</w:t>
        </w:r>
      </w:hyperlink>
      <w:r>
        <w:t xml:space="preserve">) and financial media (e.g. Investopedia on stat arb</w:t>
      </w:r>
      <w:hyperlink r:id="rId39">
        <w:r>
          <w:rPr>
            <w:rStyle w:val="Hyperlink"/>
          </w:rPr>
          <w:t xml:space="preserve">[16]</w:t>
        </w:r>
      </w:hyperlink>
      <w:hyperlink r:id="rId40">
        <w:r>
          <w:rPr>
            <w:rStyle w:val="Hyperlink"/>
          </w:rPr>
          <w:t xml:space="preserve">[17]</w:t>
        </w:r>
      </w:hyperlink>
      <w:r>
        <w:t xml:space="preserve"> </w:t>
      </w:r>
      <w:r>
        <w:t xml:space="preserve">and HFT</w:t>
      </w:r>
      <w:hyperlink r:id="rId58">
        <w:r>
          <w:rPr>
            <w:rStyle w:val="Hyperlink"/>
          </w:rPr>
          <w:t xml:space="preserve">[28]</w:t>
        </w:r>
      </w:hyperlink>
      <w:hyperlink r:id="rId41">
        <w:r>
          <w:rPr>
            <w:rStyle w:val="Hyperlink"/>
          </w:rPr>
          <w:t xml:space="preserve">[18]</w:t>
        </w:r>
      </w:hyperlink>
      <w:r>
        <w:t xml:space="preserve">). These and other cited sources provide factual anchors for the above analysis.</w:t>
      </w:r>
    </w:p>
    <w:bookmarkEnd w:id="59"/>
    <w:bookmarkEnd w:id="60"/>
    <w:bookmarkEnd w:id="61"/>
    <w:p>
      <w:r>
        <w:pict>
          <v:rect style="width:0;height:1.5pt" o:hralign="center" o:hrstd="t" o:hr="t"/>
        </w:pict>
      </w:r>
    </w:p>
    <w:bookmarkStart w:id="75"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r>
        <w:t xml:space="preserve">(PDF) A Review on the History and Development Direction of Quantitative Finance</w:t>
      </w:r>
    </w:p>
    <w:p>
      <w:pPr>
        <w:pStyle w:val="BodyText"/>
      </w:pPr>
      <w:hyperlink r:id="rId62">
        <w:r>
          <w:rPr>
            <w:rStyle w:val="Hyperlink"/>
          </w:rPr>
          <w:t xml:space="preserve">https://www.researchgate.net/publication/379916956_A_Review_on_the_History_and_Development_Direction_of_Quantitative_Finance</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hyperlink r:id="rId46">
        <w:r>
          <w:rPr>
            <w:rStyle w:val="Hyperlink"/>
          </w:rPr>
          <w:t xml:space="preserve">[22]</w:t>
        </w:r>
      </w:hyperlink>
      <w:r>
        <w:t xml:space="preserve"> </w:t>
      </w:r>
      <w:hyperlink r:id="rId48">
        <w:r>
          <w:rPr>
            <w:rStyle w:val="Hyperlink"/>
          </w:rPr>
          <w:t xml:space="preserve">[23]</w:t>
        </w:r>
      </w:hyperlink>
      <w:r>
        <w:t xml:space="preserve"> </w:t>
      </w:r>
      <w:r>
        <w:t xml:space="preserve">Hedge fund risks worst since '98 crisis, Fed says | Reuters</w:t>
      </w:r>
    </w:p>
    <w:p>
      <w:pPr>
        <w:pStyle w:val="BodyText"/>
      </w:pPr>
      <w:hyperlink r:id="rId63">
        <w:r>
          <w:rPr>
            <w:rStyle w:val="Hyperlink"/>
          </w:rPr>
          <w:t xml:space="preserve">https://www.reuters.com/article/us-usa-fed-hedgefunds/hedge-fund-risks-worst-since-98-crisis-fed-says-idUSN0234192420070502/</w:t>
        </w:r>
      </w:hyperlink>
    </w:p>
    <w:p>
      <w:pPr>
        <w:pStyle w:val="BodyText"/>
      </w:pPr>
      <w:hyperlink r:id="rId26">
        <w:r>
          <w:rPr>
            <w:rStyle w:val="Hyperlink"/>
          </w:rPr>
          <w:t xml:space="preserve">[6]</w:t>
        </w:r>
      </w:hyperlink>
      <w:r>
        <w:t xml:space="preserve"> </w:t>
      </w:r>
      <w:hyperlink r:id="rId51">
        <w:r>
          <w:rPr>
            <w:rStyle w:val="Hyperlink"/>
          </w:rPr>
          <w:t xml:space="preserve">[25]</w:t>
        </w:r>
      </w:hyperlink>
      <w:r>
        <w:t xml:space="preserve"> </w:t>
      </w:r>
      <w:r>
        <w:t xml:space="preserve">Renaissance Technologies - Wikipedia</w:t>
      </w:r>
    </w:p>
    <w:p>
      <w:pPr>
        <w:pStyle w:val="BodyText"/>
      </w:pPr>
      <w:hyperlink r:id="rId64">
        <w:r>
          <w:rPr>
            <w:rStyle w:val="Hyperlink"/>
          </w:rPr>
          <w:t xml:space="preserve">https://en.wikipedia.org/wiki/Renaissance_Technologies</w:t>
        </w:r>
      </w:hyperlink>
    </w:p>
    <w:p>
      <w:pPr>
        <w:pStyle w:val="BodyText"/>
      </w:pPr>
      <w:hyperlink r:id="rId27">
        <w:r>
          <w:rPr>
            <w:rStyle w:val="Hyperlink"/>
          </w:rPr>
          <w:t xml:space="preserve">[7]</w:t>
        </w:r>
      </w:hyperlink>
      <w:r>
        <w:t xml:space="preserve"> </w:t>
      </w:r>
      <w:hyperlink r:id="rId35">
        <w:r>
          <w:rPr>
            <w:rStyle w:val="Hyperlink"/>
          </w:rPr>
          <w:t xml:space="preserve">[14]</w:t>
        </w:r>
      </w:hyperlink>
      <w:r>
        <w:t xml:space="preserve"> </w:t>
      </w:r>
      <w:hyperlink r:id="rId45">
        <w:r>
          <w:rPr>
            <w:rStyle w:val="Hyperlink"/>
          </w:rPr>
          <w:t xml:space="preserve">[21]</w:t>
        </w:r>
      </w:hyperlink>
      <w:r>
        <w:t xml:space="preserve"> </w:t>
      </w:r>
      <w:hyperlink r:id="rId49">
        <w:r>
          <w:rPr>
            <w:rStyle w:val="Hyperlink"/>
          </w:rPr>
          <w:t xml:space="preserve">[24]</w:t>
        </w:r>
      </w:hyperlink>
      <w:r>
        <w:t xml:space="preserve"> </w:t>
      </w:r>
      <w:r>
        <w:t xml:space="preserve">Algorithmic Trading Controls: Best Practices and Two Landmark Cases | Nasdaq</w:t>
      </w:r>
    </w:p>
    <w:p>
      <w:pPr>
        <w:pStyle w:val="BodyText"/>
      </w:pPr>
      <w:hyperlink r:id="rId65">
        <w:r>
          <w:rPr>
            <w:rStyle w:val="Hyperlink"/>
          </w:rPr>
          <w:t xml:space="preserve">https://www.nasdaq.com/articles/fintech/regulatory-roundup-september-2025</w:t>
        </w:r>
      </w:hyperlink>
    </w:p>
    <w:p>
      <w:pPr>
        <w:pStyle w:val="BodyText"/>
      </w:pPr>
      <w:hyperlink r:id="rId28">
        <w:r>
          <w:rPr>
            <w:rStyle w:val="Hyperlink"/>
          </w:rPr>
          <w:t xml:space="preserve">[8]</w:t>
        </w:r>
      </w:hyperlink>
      <w:r>
        <w:t xml:space="preserve"> </w:t>
      </w:r>
      <w:hyperlink r:id="rId44">
        <w:r>
          <w:rPr>
            <w:rStyle w:val="Hyperlink"/>
          </w:rPr>
          <w:t xml:space="preserve">[20]</w:t>
        </w:r>
      </w:hyperlink>
      <w:r>
        <w:t xml:space="preserve"> </w:t>
      </w:r>
      <w:r>
        <w:t xml:space="preserve">Findings Regarding the Market Events of May 6, 2010: Report of the Staffs of the CFTC and SEC to the Joint Advisory Committee on Emerging Regulatory Issues</w:t>
      </w:r>
    </w:p>
    <w:p>
      <w:pPr>
        <w:pStyle w:val="BodyText"/>
      </w:pPr>
      <w:hyperlink r:id="rId66">
        <w:r>
          <w:rPr>
            <w:rStyle w:val="Hyperlink"/>
          </w:rPr>
          <w:t xml:space="preserve">https://www.sec.gov/files/marketevents-report.pdf</w:t>
        </w:r>
      </w:hyperlink>
    </w:p>
    <w:p>
      <w:pPr>
        <w:pStyle w:val="BodyText"/>
      </w:pPr>
      <w:hyperlink r:id="rId29">
        <w:r>
          <w:rPr>
            <w:rStyle w:val="Hyperlink"/>
          </w:rPr>
          <w:t xml:space="preserve">[9]</w:t>
        </w:r>
      </w:hyperlink>
      <w:r>
        <w:t xml:space="preserve"> </w:t>
      </w:r>
      <w:r>
        <w:t xml:space="preserve">Machine Learning in Quant Investing | Investment Insights</w:t>
      </w:r>
    </w:p>
    <w:p>
      <w:pPr>
        <w:pStyle w:val="BodyText"/>
      </w:pPr>
      <w:hyperlink r:id="rId67">
        <w:r>
          <w:rPr>
            <w:rStyle w:val="Hyperlink"/>
          </w:rPr>
          <w:t xml:space="preserve">https://www.acadian-asset.com/investment-insights/systematic-methods/machine-learning-in-quant-investing-revolution-or-evolution</w:t>
        </w:r>
      </w:hyperlink>
    </w:p>
    <w:p>
      <w:pPr>
        <w:pStyle w:val="BodyText"/>
      </w:pPr>
      <w:hyperlink r:id="rId32">
        <w:r>
          <w:rPr>
            <w:rStyle w:val="Hyperlink"/>
          </w:rPr>
          <w:t xml:space="preserve">[12]</w:t>
        </w:r>
      </w:hyperlink>
      <w:r>
        <w:t xml:space="preserve"> </w:t>
      </w:r>
      <w:r>
        <w:t xml:space="preserve">Long-Term Capital Management - Wikipedia</w:t>
      </w:r>
    </w:p>
    <w:p>
      <w:pPr>
        <w:pStyle w:val="BodyText"/>
      </w:pPr>
      <w:hyperlink r:id="rId68">
        <w:r>
          <w:rPr>
            <w:rStyle w:val="Hyperlink"/>
          </w:rPr>
          <w:t xml:space="preserve">https://en.wikipedia.org/wiki/Long-Term_Capital_Management</w:t>
        </w:r>
      </w:hyperlink>
    </w:p>
    <w:p>
      <w:pPr>
        <w:pStyle w:val="BodyText"/>
      </w:pPr>
      <w:hyperlink r:id="rId34">
        <w:r>
          <w:rPr>
            <w:rStyle w:val="Hyperlink"/>
          </w:rPr>
          <w:t xml:space="preserve">[13]</w:t>
        </w:r>
      </w:hyperlink>
      <w:r>
        <w:t xml:space="preserve"> </w:t>
      </w:r>
      <w:r>
        <w:t xml:space="preserve">Bloomberg Terminal - Wikipedia</w:t>
      </w:r>
    </w:p>
    <w:p>
      <w:pPr>
        <w:pStyle w:val="BodyText"/>
      </w:pPr>
      <w:hyperlink r:id="rId69">
        <w:r>
          <w:rPr>
            <w:rStyle w:val="Hyperlink"/>
          </w:rPr>
          <w:t xml:space="preserve">https://en.wikipedia.org/wiki/Bloomberg_Terminal</w:t>
        </w:r>
      </w:hyperlink>
    </w:p>
    <w:p>
      <w:pPr>
        <w:pStyle w:val="BodyText"/>
      </w:pPr>
      <w:hyperlink r:id="rId37">
        <w:r>
          <w:rPr>
            <w:rStyle w:val="Hyperlink"/>
          </w:rPr>
          <w:t xml:space="preserve">[15]</w:t>
        </w:r>
      </w:hyperlink>
      <w:r>
        <w:t xml:space="preserve"> </w:t>
      </w:r>
      <w:r>
        <w:t xml:space="preserve">Value and Momentum Everywhere: Factors, Monthly</w:t>
      </w:r>
    </w:p>
    <w:p>
      <w:pPr>
        <w:pStyle w:val="BodyText"/>
      </w:pPr>
      <w:hyperlink r:id="rId70">
        <w:r>
          <w:rPr>
            <w:rStyle w:val="Hyperlink"/>
          </w:rPr>
          <w:t xml:space="preserve">https://www.aqr.com/Insights/Datasets/Value-and-Momentum-Everywhere-Factors-Monthly</w:t>
        </w:r>
      </w:hyperlink>
    </w:p>
    <w:p>
      <w:pPr>
        <w:pStyle w:val="BodyText"/>
      </w:pPr>
      <w:hyperlink r:id="rId39">
        <w:r>
          <w:rPr>
            <w:rStyle w:val="Hyperlink"/>
          </w:rPr>
          <w:t xml:space="preserve">[16]</w:t>
        </w:r>
      </w:hyperlink>
      <w:r>
        <w:t xml:space="preserve"> </w:t>
      </w:r>
      <w:hyperlink r:id="rId40">
        <w:r>
          <w:rPr>
            <w:rStyle w:val="Hyperlink"/>
          </w:rPr>
          <w:t xml:space="preserve">[17]</w:t>
        </w:r>
      </w:hyperlink>
      <w:r>
        <w:t xml:space="preserve"> </w:t>
      </w:r>
      <w:r>
        <w:t xml:space="preserve">Understanding Statistical Arbitrage: Strategies and Risks Explained</w:t>
      </w:r>
    </w:p>
    <w:p>
      <w:pPr>
        <w:pStyle w:val="BodyText"/>
      </w:pPr>
      <w:hyperlink r:id="rId71">
        <w:r>
          <w:rPr>
            <w:rStyle w:val="Hyperlink"/>
          </w:rPr>
          <w:t xml:space="preserve">https://www.investopedia.com/terms/s/statisticalarbitrage.asp</w:t>
        </w:r>
      </w:hyperlink>
    </w:p>
    <w:p>
      <w:pPr>
        <w:pStyle w:val="BodyText"/>
      </w:pPr>
      <w:hyperlink r:id="rId41">
        <w:r>
          <w:rPr>
            <w:rStyle w:val="Hyperlink"/>
          </w:rPr>
          <w:t xml:space="preserve">[18]</w:t>
        </w:r>
      </w:hyperlink>
      <w:r>
        <w:t xml:space="preserve"> </w:t>
      </w:r>
      <w:hyperlink r:id="rId42">
        <w:r>
          <w:rPr>
            <w:rStyle w:val="Hyperlink"/>
          </w:rPr>
          <w:t xml:space="preserve">[19]</w:t>
        </w:r>
      </w:hyperlink>
      <w:r>
        <w:t xml:space="preserve"> </w:t>
      </w:r>
      <w:hyperlink r:id="rId58">
        <w:r>
          <w:rPr>
            <w:rStyle w:val="Hyperlink"/>
          </w:rPr>
          <w:t xml:space="preserve">[28]</w:t>
        </w:r>
      </w:hyperlink>
      <w:r>
        <w:t xml:space="preserve"> </w:t>
      </w:r>
      <w:r>
        <w:t xml:space="preserve">Unveiling High-Frequency Trading: Strategies, Secrets, and Key Players</w:t>
      </w:r>
    </w:p>
    <w:p>
      <w:pPr>
        <w:pStyle w:val="BodyText"/>
      </w:pPr>
      <w:hyperlink r:id="rId72">
        <w:r>
          <w:rPr>
            <w:rStyle w:val="Hyperlink"/>
          </w:rPr>
          <w:t xml:space="preserve">https://www.investopedia.com/articles/active-trading/092114/strategies-and-secrets-high-frequency-trading-hft-firms.asp</w:t>
        </w:r>
      </w:hyperlink>
    </w:p>
    <w:p>
      <w:pPr>
        <w:pStyle w:val="BodyText"/>
      </w:pPr>
      <w:hyperlink r:id="rId52">
        <w:r>
          <w:rPr>
            <w:rStyle w:val="Hyperlink"/>
          </w:rPr>
          <w:t xml:space="preserve">[26]</w:t>
        </w:r>
      </w:hyperlink>
      <w:r>
        <w:t xml:space="preserve"> </w:t>
      </w:r>
      <w:r>
        <w:t xml:space="preserve">Inspiring Tomorrow's Leaders - Wharton Magazine</w:t>
      </w:r>
    </w:p>
    <w:p>
      <w:pPr>
        <w:pStyle w:val="BodyText"/>
      </w:pPr>
      <w:hyperlink r:id="rId73">
        <w:r>
          <w:rPr>
            <w:rStyle w:val="Hyperlink"/>
          </w:rPr>
          <w:t xml:space="preserve">https://magazine.wharton.upenn.edu/issues/spring-summer-2026/inspiring-tomorrows-leaders/</w:t>
        </w:r>
      </w:hyperlink>
    </w:p>
    <w:p>
      <w:pPr>
        <w:pStyle w:val="BodyText"/>
      </w:pPr>
      <w:hyperlink r:id="rId55">
        <w:r>
          <w:rPr>
            <w:rStyle w:val="Hyperlink"/>
          </w:rPr>
          <w:t xml:space="preserve">[27]</w:t>
        </w:r>
      </w:hyperlink>
      <w:r>
        <w:t xml:space="preserve"> </w:t>
      </w:r>
      <w:r>
        <w:t xml:space="preserve">Who Are Quants? (NYIF)</w:t>
      </w:r>
    </w:p>
    <w:p>
      <w:pPr>
        <w:pStyle w:val="BodyText"/>
      </w:pPr>
      <w:hyperlink r:id="rId74">
        <w:r>
          <w:rPr>
            <w:rStyle w:val="Hyperlink"/>
          </w:rPr>
          <w:t xml:space="preserve">https://info.nyif.com/who-are-quants/</w:t>
        </w:r>
      </w:hyperlink>
    </w:p>
    <w:bookmarkEnd w:id="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9" Target="https://en.wikipedia.org/wiki/Bloomberg_Terminal" TargetMode="External" /><Relationship Type="http://schemas.openxmlformats.org/officeDocument/2006/relationships/hyperlink" Id="rId34" Target="https://en.wikipedia.org/wiki/Bloomberg_Terminal#:~:text=financial%20data%20vendor%20%20,was%20released%20in%20December%201982" TargetMode="External" /><Relationship Type="http://schemas.openxmlformats.org/officeDocument/2006/relationships/hyperlink" Id="rId68" Target="https://en.wikipedia.org/wiki/Long-Term_Capital_Management" TargetMode="External" /><Relationship Type="http://schemas.openxmlformats.org/officeDocument/2006/relationships/hyperlink" Id="rId32" Target="https://en.wikipedia.org/wiki/Long-Term_Capital_Management#:~:text=LTCM%20was%20initially%20successful%2C%20with,5" TargetMode="External" /><Relationship Type="http://schemas.openxmlformats.org/officeDocument/2006/relationships/hyperlink" Id="rId64" Target="https://en.wikipedia.org/wiki/Renaissance_Technologies" TargetMode="External" /><Relationship Type="http://schemas.openxmlformats.org/officeDocument/2006/relationships/hyperlink" Id="rId51" Target="https://en.wikipedia.org/wiki/Renaissance_Technologies#:~:text=%22Quants%22%20with%20non" TargetMode="External" /><Relationship Type="http://schemas.openxmlformats.org/officeDocument/2006/relationships/hyperlink" Id="rId26" Target="https://en.wikipedia.org/wiki/Renaissance_Technologies#:~:text=The%20firm%20uses%20quantitative%20trading,16" TargetMode="External" /><Relationship Type="http://schemas.openxmlformats.org/officeDocument/2006/relationships/hyperlink" Id="rId74" Target="https://info.nyif.com/who-are-quants/" TargetMode="External" /><Relationship Type="http://schemas.openxmlformats.org/officeDocument/2006/relationships/hyperlink" Id="rId55" Target="https://info.nyif.com/who-are-quants/#:~:text=Who%20Are%20Quants%3F%20,Those%20working" TargetMode="External" /><Relationship Type="http://schemas.openxmlformats.org/officeDocument/2006/relationships/hyperlink" Id="rId73" Target="https://magazine.wharton.upenn.edu/issues/spring-summer-2026/inspiring-tomorrows-leaders/" TargetMode="External" /><Relationship Type="http://schemas.openxmlformats.org/officeDocument/2006/relationships/hyperlink" Id="rId52" Target="https://magazine.wharton.upenn.edu/issues/spring-summer-2026/inspiring-tomorrows-leaders/#:~:text=It%E2%80%99s%20fitting%20that%20the%20most,make%20that%20goal%20a%20reality" TargetMode="External" /><Relationship Type="http://schemas.openxmlformats.org/officeDocument/2006/relationships/hyperlink" Id="rId67" Target="https://www.acadian-asset.com/investment-insights/systematic-methods/machine-learning-in-quant-investing-revolution-or-evolution" TargetMode="External" /><Relationship Type="http://schemas.openxmlformats.org/officeDocument/2006/relationships/hyperlink" Id="rId29" Target="https://www.acadian-asset.com/investment-insights/systematic-methods/machine-learning-in-quant-investing-revolution-or-evolution#:~:text=,mined%20results" TargetMode="External" /><Relationship Type="http://schemas.openxmlformats.org/officeDocument/2006/relationships/hyperlink" Id="rId70" Target="https://www.aqr.com/Insights/Datasets/Value-and-Momentum-Everywhere-Factors-Monthly" TargetMode="External" /><Relationship Type="http://schemas.openxmlformats.org/officeDocument/2006/relationships/hyperlink" Id="rId37" Target="https://www.aqr.com/Insights/Datasets/Value-and-Momentum-Everywhere-Factors-Monthly#:~:text=Value%20and%20Momentum%20Everywhere%3A%20Factors%2C,Monthly" TargetMode="External" /><Relationship Type="http://schemas.openxmlformats.org/officeDocument/2006/relationships/hyperlink" Id="rId72" Target="https://www.investopedia.com/articles/active-trading/092114/strategies-and-secrets-high-frequency-trading-hft-firms.asp" TargetMode="External" /><Relationship Type="http://schemas.openxmlformats.org/officeDocument/2006/relationships/hyperlink" Id="rId41" Target="https://www.investopedia.com/articles/active-trading/092114/strategies-and-secrets-high-frequency-trading-hft-firms.asp#:~:text=Estimates%20put%20about%20half%20of,trading%3B%20and%20passive%20market%20making" TargetMode="External" /><Relationship Type="http://schemas.openxmlformats.org/officeDocument/2006/relationships/hyperlink" Id="rId58" Target="https://www.investopedia.com/articles/active-trading/092114/strategies-and-secrets-high-frequency-trading-hft-firms.asp#:~:text=High,unfair%20advantages%20over%20traditional%20traders" TargetMode="External" /><Relationship Type="http://schemas.openxmlformats.org/officeDocument/2006/relationships/hyperlink" Id="rId42" Target="https://www.investopedia.com/articles/active-trading/092114/strategies-and-secrets-high-frequency-trading-hft-firms.asp#:~:text=trading%20for%20profit" TargetMode="External" /><Relationship Type="http://schemas.openxmlformats.org/officeDocument/2006/relationships/hyperlink" Id="rId71" Target="https://www.investopedia.com/terms/s/statisticalarbitrage.asp" TargetMode="External" /><Relationship Type="http://schemas.openxmlformats.org/officeDocument/2006/relationships/hyperlink" Id="rId40" Target="https://www.investopedia.com/terms/s/statisticalarbitrage.asp#:~:text=Statistical%20arbitrage%20is%20market%20neutral,inefficient%20pricing%20in%20correlated%20securities" TargetMode="External" /><Relationship Type="http://schemas.openxmlformats.org/officeDocument/2006/relationships/hyperlink" Id="rId39" Target="https://www.investopedia.com/terms/s/statisticalarbitrage.asp#:~:text=Statistical%20arbitrage%2C%20or%20stat%20arb%2C,managed%20portfolios%20through%20mathematical%20modeling" TargetMode="External" /><Relationship Type="http://schemas.openxmlformats.org/officeDocument/2006/relationships/hyperlink" Id="rId65" Target="https://www.nasdaq.com/articles/fintech/regulatory-roundup-september-2025" TargetMode="External" /><Relationship Type="http://schemas.openxmlformats.org/officeDocument/2006/relationships/hyperlink" Id="rId45" Target="https://www.nasdaq.com/articles/fintech/regulatory-roundup-september-2025#:~:text=,460%20million%20USD%20in%20losses" TargetMode="External" /><Relationship Type="http://schemas.openxmlformats.org/officeDocument/2006/relationships/hyperlink" Id="rId35" Target="https://www.nasdaq.com/articles/fintech/regulatory-roundup-september-2025#:~:text=,Controls%20at%20Principal%20Trading%20Firms" TargetMode="External" /><Relationship Type="http://schemas.openxmlformats.org/officeDocument/2006/relationships/hyperlink" Id="rId27" Target="https://www.nasdaq.com/articles/fintech/regulatory-roundup-september-2025#:~:text=,to%20Lose%20%24160%2C000%20Per%20Second" TargetMode="External" /><Relationship Type="http://schemas.openxmlformats.org/officeDocument/2006/relationships/hyperlink" Id="rId49" Target="https://www.nasdaq.com/articles/fintech/regulatory-roundup-september-2025#:~:text=While%20Knight%27s%20case%20stemmed%20from,TAS%29%20positions" TargetMode="External" /><Relationship Type="http://schemas.openxmlformats.org/officeDocument/2006/relationships/hyperlink" Id="rId62" Target="https://www.researchgate.net/publication/379916956_A_Review_on_the_History_and_Development_Direction_of_Quantitative_Finance" TargetMode="External" /><Relationship Type="http://schemas.openxmlformats.org/officeDocument/2006/relationships/hyperlink" Id="rId30" Target="https://www.researchgate.net/publication/379916956_A_Review_on_the_History_and_Development_Direction_of_Quantitative_Finance#:~:text=In%20%201964%2C%20%20William,A%20THEORY%20%20O%20F" TargetMode="External" /><Relationship Type="http://schemas.openxmlformats.org/officeDocument/2006/relationships/hyperlink" Id="rId22" Target="https://www.researchgate.net/publication/379916956_A_Review_on_the_History_and_Development_Direction_of_Quantitative_Finance#:~:text=In%201952%2C%20economist%20Harry%20Markowitz,which%20proposed%20the" TargetMode="External" /><Relationship Type="http://schemas.openxmlformats.org/officeDocument/2006/relationships/hyperlink" Id="rId23" Target="https://www.researchgate.net/publication/379916956_A_Review_on_the_History_and_Development_Direction_of_Quantitative_Finance#:~:text=In%201973%2C%20Fisher%20Black%20and,The%20Pricing%20of%20Options%20and" TargetMode="External" /><Relationship Type="http://schemas.openxmlformats.org/officeDocument/2006/relationships/hyperlink" Id="rId21" Target="https://www.researchgate.net/publication/379916956_A_Review_on_the_History_and_Development_Direction_of_Quantitative_Finance#:~:text=Louis%20Bachelier%20published%20The%20Theory,regarded%20as%20the%20beginning%20of" TargetMode="External" /><Relationship Type="http://schemas.openxmlformats.org/officeDocument/2006/relationships/hyperlink" Id="rId31" Target="https://www.researchgate.net/publication/379916956_A_Review_on_the_History_and_Development_Direction_of_Quantitative_Finance#:~:text=match%20at%20L725%20Fama%27s%20Market,theory%20and%2C%20on%20this%20basis" TargetMode="External" /><Relationship Type="http://schemas.openxmlformats.org/officeDocument/2006/relationships/hyperlink" Id="rId63" Target="https://www.reuters.com/article/us-usa-fed-hedgefunds/hedge-fund-risks-worst-since-98-crisis-fed-says-idUSN0234192420070502/" TargetMode="External" /><Relationship Type="http://schemas.openxmlformats.org/officeDocument/2006/relationships/hyperlink" Id="rId25" Target="https://www.reuters.com/article/us-usa-fed-hedgefunds/hedge-fund-risks-worst-since-98-crisis-fed-says-idUSN0234192420070502/#:~:text=Back%20in%201998%2C%20the%20New,6%20billion%20bailout" TargetMode="External" /><Relationship Type="http://schemas.openxmlformats.org/officeDocument/2006/relationships/hyperlink" Id="rId48" Target="https://www.reuters.com/article/us-usa-fed-hedgefunds/hedge-fund-risks-worst-since-98-crisis-fed-says-idUSN0234192420070502/#:~:text=Hedge%20funds%2C%20investment%20pools%20that,facing%20only%20vague%20registration%20requirements" TargetMode="External" /><Relationship Type="http://schemas.openxmlformats.org/officeDocument/2006/relationships/hyperlink" Id="rId24" Target="https://www.reuters.com/article/us-usa-fed-hedgefunds/hedge-fund-risks-worst-since-98-crisis-fed-says-idUSN0234192420070502/#:~:text=NEW%20YORK%20%28Reuters%29%20,Federal%20Reserve%20said%20on%20Wednesday" TargetMode="External" /><Relationship Type="http://schemas.openxmlformats.org/officeDocument/2006/relationships/hyperlink" Id="rId46" Target="https://www.reuters.com/article/us-usa-fed-hedgefunds/hedge-fund-risks-worst-since-98-crisis-fed-says-idUSN0234192420070502/#:~:text=The%20LTCM%20crisis%20was%20all,market%20savvy%20and%20mathematical%20prowess" TargetMode="External" /><Relationship Type="http://schemas.openxmlformats.org/officeDocument/2006/relationships/hyperlink" Id="rId66" Target="https://www.sec.gov/files/marketevents-report.pdf" TargetMode="External" /><Relationship Type="http://schemas.openxmlformats.org/officeDocument/2006/relationships/hyperlink" Id="rId44" Target="https://www.sec.gov/files/marketevents-report.pdf#:~:text=As%20a%20percentage%20of%20total,before%20sharply%20falling%20to" TargetMode="External" /><Relationship Type="http://schemas.openxmlformats.org/officeDocument/2006/relationships/hyperlink" Id="rId28" Target="https://www.sec.gov/files/marketevents-report.pdf#:~:text=HFTs%20and%20Intermediaries%20were%20the,Thus%2C%20at%20this%20time" TargetMode="External" /></Relationships>
</file>

<file path=word/_rels/footnotes.xml.rels><?xml version="1.0" encoding="UTF-8"?><Relationships xmlns="http://schemas.openxmlformats.org/package/2006/relationships"><Relationship Type="http://schemas.openxmlformats.org/officeDocument/2006/relationships/hyperlink" Id="rId69" Target="https://en.wikipedia.org/wiki/Bloomberg_Terminal" TargetMode="External" /><Relationship Type="http://schemas.openxmlformats.org/officeDocument/2006/relationships/hyperlink" Id="rId34" Target="https://en.wikipedia.org/wiki/Bloomberg_Terminal#:~:text=financial%20data%20vendor%20%20,was%20released%20in%20December%201982" TargetMode="External" /><Relationship Type="http://schemas.openxmlformats.org/officeDocument/2006/relationships/hyperlink" Id="rId68" Target="https://en.wikipedia.org/wiki/Long-Term_Capital_Management" TargetMode="External" /><Relationship Type="http://schemas.openxmlformats.org/officeDocument/2006/relationships/hyperlink" Id="rId32" Target="https://en.wikipedia.org/wiki/Long-Term_Capital_Management#:~:text=LTCM%20was%20initially%20successful%2C%20with,5" TargetMode="External" /><Relationship Type="http://schemas.openxmlformats.org/officeDocument/2006/relationships/hyperlink" Id="rId64" Target="https://en.wikipedia.org/wiki/Renaissance_Technologies" TargetMode="External" /><Relationship Type="http://schemas.openxmlformats.org/officeDocument/2006/relationships/hyperlink" Id="rId51" Target="https://en.wikipedia.org/wiki/Renaissance_Technologies#:~:text=%22Quants%22%20with%20non" TargetMode="External" /><Relationship Type="http://schemas.openxmlformats.org/officeDocument/2006/relationships/hyperlink" Id="rId26" Target="https://en.wikipedia.org/wiki/Renaissance_Technologies#:~:text=The%20firm%20uses%20quantitative%20trading,16" TargetMode="External" /><Relationship Type="http://schemas.openxmlformats.org/officeDocument/2006/relationships/hyperlink" Id="rId74" Target="https://info.nyif.com/who-are-quants/" TargetMode="External" /><Relationship Type="http://schemas.openxmlformats.org/officeDocument/2006/relationships/hyperlink" Id="rId55" Target="https://info.nyif.com/who-are-quants/#:~:text=Who%20Are%20Quants%3F%20,Those%20working" TargetMode="External" /><Relationship Type="http://schemas.openxmlformats.org/officeDocument/2006/relationships/hyperlink" Id="rId73" Target="https://magazine.wharton.upenn.edu/issues/spring-summer-2026/inspiring-tomorrows-leaders/" TargetMode="External" /><Relationship Type="http://schemas.openxmlformats.org/officeDocument/2006/relationships/hyperlink" Id="rId52" Target="https://magazine.wharton.upenn.edu/issues/spring-summer-2026/inspiring-tomorrows-leaders/#:~:text=It%E2%80%99s%20fitting%20that%20the%20most,make%20that%20goal%20a%20reality" TargetMode="External" /><Relationship Type="http://schemas.openxmlformats.org/officeDocument/2006/relationships/hyperlink" Id="rId67" Target="https://www.acadian-asset.com/investment-insights/systematic-methods/machine-learning-in-quant-investing-revolution-or-evolution" TargetMode="External" /><Relationship Type="http://schemas.openxmlformats.org/officeDocument/2006/relationships/hyperlink" Id="rId29" Target="https://www.acadian-asset.com/investment-insights/systematic-methods/machine-learning-in-quant-investing-revolution-or-evolution#:~:text=,mined%20results" TargetMode="External" /><Relationship Type="http://schemas.openxmlformats.org/officeDocument/2006/relationships/hyperlink" Id="rId70" Target="https://www.aqr.com/Insights/Datasets/Value-and-Momentum-Everywhere-Factors-Monthly" TargetMode="External" /><Relationship Type="http://schemas.openxmlformats.org/officeDocument/2006/relationships/hyperlink" Id="rId37" Target="https://www.aqr.com/Insights/Datasets/Value-and-Momentum-Everywhere-Factors-Monthly#:~:text=Value%20and%20Momentum%20Everywhere%3A%20Factors%2C,Monthly" TargetMode="External" /><Relationship Type="http://schemas.openxmlformats.org/officeDocument/2006/relationships/hyperlink" Id="rId72" Target="https://www.investopedia.com/articles/active-trading/092114/strategies-and-secrets-high-frequency-trading-hft-firms.asp" TargetMode="External" /><Relationship Type="http://schemas.openxmlformats.org/officeDocument/2006/relationships/hyperlink" Id="rId41" Target="https://www.investopedia.com/articles/active-trading/092114/strategies-and-secrets-high-frequency-trading-hft-firms.asp#:~:text=Estimates%20put%20about%20half%20of,trading%3B%20and%20passive%20market%20making" TargetMode="External" /><Relationship Type="http://schemas.openxmlformats.org/officeDocument/2006/relationships/hyperlink" Id="rId58" Target="https://www.investopedia.com/articles/active-trading/092114/strategies-and-secrets-high-frequency-trading-hft-firms.asp#:~:text=High,unfair%20advantages%20over%20traditional%20traders" TargetMode="External" /><Relationship Type="http://schemas.openxmlformats.org/officeDocument/2006/relationships/hyperlink" Id="rId42" Target="https://www.investopedia.com/articles/active-trading/092114/strategies-and-secrets-high-frequency-trading-hft-firms.asp#:~:text=trading%20for%20profit" TargetMode="External" /><Relationship Type="http://schemas.openxmlformats.org/officeDocument/2006/relationships/hyperlink" Id="rId71" Target="https://www.investopedia.com/terms/s/statisticalarbitrage.asp" TargetMode="External" /><Relationship Type="http://schemas.openxmlformats.org/officeDocument/2006/relationships/hyperlink" Id="rId40" Target="https://www.investopedia.com/terms/s/statisticalarbitrage.asp#:~:text=Statistical%20arbitrage%20is%20market%20neutral,inefficient%20pricing%20in%20correlated%20securities" TargetMode="External" /><Relationship Type="http://schemas.openxmlformats.org/officeDocument/2006/relationships/hyperlink" Id="rId39" Target="https://www.investopedia.com/terms/s/statisticalarbitrage.asp#:~:text=Statistical%20arbitrage%2C%20or%20stat%20arb%2C,managed%20portfolios%20through%20mathematical%20modeling" TargetMode="External" /><Relationship Type="http://schemas.openxmlformats.org/officeDocument/2006/relationships/hyperlink" Id="rId65" Target="https://www.nasdaq.com/articles/fintech/regulatory-roundup-september-2025" TargetMode="External" /><Relationship Type="http://schemas.openxmlformats.org/officeDocument/2006/relationships/hyperlink" Id="rId45" Target="https://www.nasdaq.com/articles/fintech/regulatory-roundup-september-2025#:~:text=,460%20million%20USD%20in%20losses" TargetMode="External" /><Relationship Type="http://schemas.openxmlformats.org/officeDocument/2006/relationships/hyperlink" Id="rId35" Target="https://www.nasdaq.com/articles/fintech/regulatory-roundup-september-2025#:~:text=,Controls%20at%20Principal%20Trading%20Firms" TargetMode="External" /><Relationship Type="http://schemas.openxmlformats.org/officeDocument/2006/relationships/hyperlink" Id="rId27" Target="https://www.nasdaq.com/articles/fintech/regulatory-roundup-september-2025#:~:text=,to%20Lose%20%24160%2C000%20Per%20Second" TargetMode="External" /><Relationship Type="http://schemas.openxmlformats.org/officeDocument/2006/relationships/hyperlink" Id="rId49" Target="https://www.nasdaq.com/articles/fintech/regulatory-roundup-september-2025#:~:text=While%20Knight%27s%20case%20stemmed%20from,TAS%29%20positions" TargetMode="External" /><Relationship Type="http://schemas.openxmlformats.org/officeDocument/2006/relationships/hyperlink" Id="rId62" Target="https://www.researchgate.net/publication/379916956_A_Review_on_the_History_and_Development_Direction_of_Quantitative_Finance" TargetMode="External" /><Relationship Type="http://schemas.openxmlformats.org/officeDocument/2006/relationships/hyperlink" Id="rId30" Target="https://www.researchgate.net/publication/379916956_A_Review_on_the_History_and_Development_Direction_of_Quantitative_Finance#:~:text=In%20%201964%2C%20%20William,A%20THEORY%20%20O%20F" TargetMode="External" /><Relationship Type="http://schemas.openxmlformats.org/officeDocument/2006/relationships/hyperlink" Id="rId22" Target="https://www.researchgate.net/publication/379916956_A_Review_on_the_History_and_Development_Direction_of_Quantitative_Finance#:~:text=In%201952%2C%20economist%20Harry%20Markowitz,which%20proposed%20the" TargetMode="External" /><Relationship Type="http://schemas.openxmlformats.org/officeDocument/2006/relationships/hyperlink" Id="rId23" Target="https://www.researchgate.net/publication/379916956_A_Review_on_the_History_and_Development_Direction_of_Quantitative_Finance#:~:text=In%201973%2C%20Fisher%20Black%20and,The%20Pricing%20of%20Options%20and" TargetMode="External" /><Relationship Type="http://schemas.openxmlformats.org/officeDocument/2006/relationships/hyperlink" Id="rId21" Target="https://www.researchgate.net/publication/379916956_A_Review_on_the_History_and_Development_Direction_of_Quantitative_Finance#:~:text=Louis%20Bachelier%20published%20The%20Theory,regarded%20as%20the%20beginning%20of" TargetMode="External" /><Relationship Type="http://schemas.openxmlformats.org/officeDocument/2006/relationships/hyperlink" Id="rId31" Target="https://www.researchgate.net/publication/379916956_A_Review_on_the_History_and_Development_Direction_of_Quantitative_Finance#:~:text=match%20at%20L725%20Fama%27s%20Market,theory%20and%2C%20on%20this%20basis" TargetMode="External" /><Relationship Type="http://schemas.openxmlformats.org/officeDocument/2006/relationships/hyperlink" Id="rId63" Target="https://www.reuters.com/article/us-usa-fed-hedgefunds/hedge-fund-risks-worst-since-98-crisis-fed-says-idUSN0234192420070502/" TargetMode="External" /><Relationship Type="http://schemas.openxmlformats.org/officeDocument/2006/relationships/hyperlink" Id="rId25" Target="https://www.reuters.com/article/us-usa-fed-hedgefunds/hedge-fund-risks-worst-since-98-crisis-fed-says-idUSN0234192420070502/#:~:text=Back%20in%201998%2C%20the%20New,6%20billion%20bailout" TargetMode="External" /><Relationship Type="http://schemas.openxmlformats.org/officeDocument/2006/relationships/hyperlink" Id="rId48" Target="https://www.reuters.com/article/us-usa-fed-hedgefunds/hedge-fund-risks-worst-since-98-crisis-fed-says-idUSN0234192420070502/#:~:text=Hedge%20funds%2C%20investment%20pools%20that,facing%20only%20vague%20registration%20requirements" TargetMode="External" /><Relationship Type="http://schemas.openxmlformats.org/officeDocument/2006/relationships/hyperlink" Id="rId24" Target="https://www.reuters.com/article/us-usa-fed-hedgefunds/hedge-fund-risks-worst-since-98-crisis-fed-says-idUSN0234192420070502/#:~:text=NEW%20YORK%20%28Reuters%29%20,Federal%20Reserve%20said%20on%20Wednesday" TargetMode="External" /><Relationship Type="http://schemas.openxmlformats.org/officeDocument/2006/relationships/hyperlink" Id="rId46" Target="https://www.reuters.com/article/us-usa-fed-hedgefunds/hedge-fund-risks-worst-since-98-crisis-fed-says-idUSN0234192420070502/#:~:text=The%20LTCM%20crisis%20was%20all,market%20savvy%20and%20mathematical%20prowess" TargetMode="External" /><Relationship Type="http://schemas.openxmlformats.org/officeDocument/2006/relationships/hyperlink" Id="rId66" Target="https://www.sec.gov/files/marketevents-report.pdf" TargetMode="External" /><Relationship Type="http://schemas.openxmlformats.org/officeDocument/2006/relationships/hyperlink" Id="rId44" Target="https://www.sec.gov/files/marketevents-report.pdf#:~:text=As%20a%20percentage%20of%20total,before%20sharply%20falling%20to" TargetMode="External" /><Relationship Type="http://schemas.openxmlformats.org/officeDocument/2006/relationships/hyperlink" Id="rId28" Target="https://www.sec.gov/files/marketevents-report.pdf#:~:text=HFTs%20and%20Intermediaries%20were%20the,Thus%2C%20at%20this%20tim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2026-05-04T17:47:08Z</dcterms:created>
  <dcterms:modified xsi:type="dcterms:W3CDTF">2026-05-04T17:47:08Z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