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31ec6088dd0c47625274b88121d7ebd5bcece8c"/>
    <w:p>
      <w:pPr>
        <w:pStyle w:val="Heading1"/>
      </w:pPr>
      <w:r>
        <w:t xml:space="preserve">Current-Year Structure of Taxes in the United States</w:t>
      </w:r>
    </w:p>
    <w:bookmarkStart w:id="29" w:name="executive-summary"/>
    <w:p>
      <w:pPr>
        <w:pStyle w:val="Heading2"/>
      </w:pPr>
      <w:r>
        <w:t xml:space="preserve">Executive summary</w:t>
      </w:r>
    </w:p>
    <w:p>
      <w:pPr>
        <w:pStyle w:val="FirstParagraph"/>
      </w:pPr>
      <w:r>
        <w:t xml:space="preserve">This report uses the</w:t>
      </w:r>
      <w:r>
        <w:t xml:space="preserve"> </w:t>
      </w:r>
      <w:r>
        <w:rPr>
          <w:b/>
          <w:bCs/>
        </w:rPr>
        <w:t xml:space="preserve">latest official data available as of April 27, 2026</w:t>
      </w:r>
      <w:r>
        <w:t xml:space="preserve">, but the data year differs by topic. Current federal</w:t>
      </w:r>
      <w:r>
        <w:t xml:space="preserve"> </w:t>
      </w:r>
      <w:r>
        <w:rPr>
          <w:b/>
          <w:bCs/>
        </w:rPr>
        <w:t xml:space="preserve">rate parameters</w:t>
      </w:r>
      <w:r>
        <w:t xml:space="preserve"> </w:t>
      </w:r>
      <w:r>
        <w:t xml:space="preserve">are for</w:t>
      </w:r>
      <w:r>
        <w:t xml:space="preserve"> </w:t>
      </w:r>
      <w:r>
        <w:rPr>
          <w:b/>
          <w:bCs/>
        </w:rPr>
        <w:t xml:space="preserve">tax year 2026</w:t>
      </w:r>
      <w:r>
        <w:t xml:space="preserve">; the latest full-year federal</w:t>
      </w:r>
      <w:r>
        <w:t xml:space="preserve"> </w:t>
      </w:r>
      <w:r>
        <w:rPr>
          <w:b/>
          <w:bCs/>
        </w:rPr>
        <w:t xml:space="preserve">revenue</w:t>
      </w:r>
      <w:r>
        <w:t xml:space="preserve"> </w:t>
      </w:r>
      <w:r>
        <w:t xml:space="preserve">data are</w:t>
      </w:r>
      <w:r>
        <w:t xml:space="preserve"> </w:t>
      </w:r>
      <w:r>
        <w:rPr>
          <w:b/>
          <w:bCs/>
        </w:rPr>
        <w:t xml:space="preserve">FY2025 actual receipts</w:t>
      </w:r>
      <w:r>
        <w:t xml:space="preserve">; the latest official all-federal</w:t>
      </w:r>
      <w:r>
        <w:t xml:space="preserve"> </w:t>
      </w:r>
      <w:r>
        <w:rPr>
          <w:b/>
          <w:bCs/>
        </w:rPr>
        <w:t xml:space="preserve">distributional-incidence</w:t>
      </w:r>
      <w:r>
        <w:t xml:space="preserve"> </w:t>
      </w:r>
      <w:r>
        <w:t xml:space="preserve">data are</w:t>
      </w:r>
      <w:r>
        <w:t xml:space="preserve"> </w:t>
      </w:r>
      <w:r>
        <w:rPr>
          <w:b/>
          <w:bCs/>
        </w:rPr>
        <w:t xml:space="preserve">calendar year 2022</w:t>
      </w:r>
      <w:r>
        <w:t xml:space="preserve"> </w:t>
      </w:r>
      <w:r>
        <w:t xml:space="preserve">from the Congressional Budget Office</w:t>
      </w:r>
      <w:hyperlink r:id="rId21">
        <w:r>
          <w:rPr>
            <w:rStyle w:val="Hyperlink"/>
          </w:rPr>
          <w:t xml:space="preserve">[1]</w:t>
        </w:r>
      </w:hyperlink>
      <w:r>
        <w:t xml:space="preserve">; the latest IRS-based</w:t>
      </w:r>
      <w:r>
        <w:t xml:space="preserve"> </w:t>
      </w:r>
      <w:r>
        <w:rPr>
          <w:b/>
          <w:bCs/>
        </w:rPr>
        <w:t xml:space="preserve">individual income-tax percentile</w:t>
      </w:r>
      <w:r>
        <w:t xml:space="preserve"> </w:t>
      </w:r>
      <w:r>
        <w:t xml:space="preserve">data are</w:t>
      </w:r>
      <w:r>
        <w:t xml:space="preserve"> </w:t>
      </w:r>
      <w:r>
        <w:rPr>
          <w:b/>
          <w:bCs/>
        </w:rPr>
        <w:t xml:space="preserve">tax year 2023</w:t>
      </w:r>
      <w:r>
        <w:t xml:space="preserve">; and the latest national</w:t>
      </w:r>
      <w:r>
        <w:t xml:space="preserve"> </w:t>
      </w:r>
      <w:r>
        <w:rPr>
          <w:b/>
          <w:bCs/>
        </w:rPr>
        <w:t xml:space="preserve">state-local tax</w:t>
      </w:r>
      <w:r>
        <w:t xml:space="preserve"> </w:t>
      </w:r>
      <w:r>
        <w:t xml:space="preserve">data are</w:t>
      </w:r>
      <w:r>
        <w:t xml:space="preserve"> </w:t>
      </w:r>
      <w:r>
        <w:rPr>
          <w:b/>
          <w:bCs/>
        </w:rPr>
        <w:t xml:space="preserve">Q4 2025 annualized BEA data</w:t>
      </w:r>
      <w:r>
        <w:t xml:space="preserve"> </w:t>
      </w:r>
      <w:r>
        <w:t xml:space="preserve">plus</w:t>
      </w:r>
      <w:r>
        <w:t xml:space="preserve"> </w:t>
      </w:r>
      <w:r>
        <w:rPr>
          <w:b/>
          <w:bCs/>
        </w:rPr>
        <w:t xml:space="preserve">rolling four-quarter 2025 Census QTAX data</w:t>
      </w:r>
      <w:r>
        <w:t xml:space="preserve"> </w:t>
      </w:r>
      <w:r>
        <w:t xml:space="preserve">and</w:t>
      </w:r>
      <w:r>
        <w:t xml:space="preserve"> </w:t>
      </w:r>
      <w:r>
        <w:rPr>
          <w:b/>
          <w:bCs/>
        </w:rPr>
        <w:t xml:space="preserve">2025 annual state tax collections</w:t>
      </w:r>
      <w:r>
        <w:t xml:space="preserve"> </w:t>
      </w:r>
      <w:r>
        <w:t xml:space="preserve">released in April 2026.</w:t>
      </w:r>
      <w:r>
        <w:t xml:space="preserve"> </w:t>
      </w:r>
      <w:hyperlink r:id="rId21">
        <w:r>
          <w:rPr>
            <w:rStyle w:val="Hyperlink"/>
          </w:rPr>
          <w:t xml:space="preserve">[2]</w:t>
        </w:r>
      </w:hyperlink>
    </w:p>
    <w:p>
      <w:pPr>
        <w:pStyle w:val="BodyText"/>
      </w:pPr>
      <w:r>
        <w:t xml:space="preserve">At the federal level, the tax system remains dominated by</w:t>
      </w:r>
      <w:r>
        <w:t xml:space="preserve"> </w:t>
      </w:r>
      <w:r>
        <w:rPr>
          <w:b/>
          <w:bCs/>
        </w:rPr>
        <w:t xml:space="preserve">individual income taxes</w:t>
      </w:r>
      <w:r>
        <w:t xml:space="preserve"> </w:t>
      </w:r>
      <w:r>
        <w:t xml:space="preserve">and</w:t>
      </w:r>
      <w:r>
        <w:t xml:space="preserve"> </w:t>
      </w:r>
      <w:r>
        <w:rPr>
          <w:b/>
          <w:bCs/>
        </w:rPr>
        <w:t xml:space="preserve">payroll taxes</w:t>
      </w:r>
      <w:r>
        <w:t xml:space="preserve">. In FY2025, individual income taxes generated about</w:t>
      </w:r>
      <w:r>
        <w:t xml:space="preserve"> </w:t>
      </w:r>
      <w:r>
        <w:rPr>
          <w:b/>
          <w:bCs/>
        </w:rPr>
        <w:t xml:space="preserve">$2.684 trillion</w:t>
      </w:r>
      <w:r>
        <w:t xml:space="preserve"> </w:t>
      </w:r>
      <w:r>
        <w:t xml:space="preserve">and payroll taxes about</w:t>
      </w:r>
      <w:r>
        <w:t xml:space="preserve"> </w:t>
      </w:r>
      <w:r>
        <w:rPr>
          <w:b/>
          <w:bCs/>
        </w:rPr>
        <w:t xml:space="preserve">$1.766 trillion</w:t>
      </w:r>
      <w:r>
        <w:t xml:space="preserve">, together accounting for roughly</w:t>
      </w:r>
      <w:r>
        <w:t xml:space="preserve"> </w:t>
      </w:r>
      <w:r>
        <w:rPr>
          <w:b/>
          <w:bCs/>
        </w:rPr>
        <w:t xml:space="preserve">84 percent</w:t>
      </w:r>
      <w:r>
        <w:t xml:space="preserve"> </w:t>
      </w:r>
      <w:r>
        <w:t xml:space="preserve">of federal receipts. Corporate income taxes raised</w:t>
      </w:r>
      <w:r>
        <w:t xml:space="preserve"> </w:t>
      </w:r>
      <w:r>
        <w:rPr>
          <w:b/>
          <w:bCs/>
        </w:rPr>
        <w:t xml:space="preserve">$456 billion</w:t>
      </w:r>
      <w:r>
        <w:t xml:space="preserve">; customs duties rose sharply to</w:t>
      </w:r>
      <w:r>
        <w:t xml:space="preserve"> </w:t>
      </w:r>
      <w:r>
        <w:rPr>
          <w:b/>
          <w:bCs/>
        </w:rPr>
        <w:t xml:space="preserve">$194 billion</w:t>
      </w:r>
      <w:r>
        <w:t xml:space="preserve">; excise taxes raised</w:t>
      </w:r>
      <w:r>
        <w:t xml:space="preserve"> </w:t>
      </w:r>
      <w:r>
        <w:rPr>
          <w:b/>
          <w:bCs/>
        </w:rPr>
        <w:t xml:space="preserve">$105 billion</w:t>
      </w:r>
      <w:r>
        <w:t xml:space="preserve">; and estate and gift taxes raised</w:t>
      </w:r>
      <w:r>
        <w:t xml:space="preserve"> </w:t>
      </w:r>
      <w:r>
        <w:rPr>
          <w:b/>
          <w:bCs/>
        </w:rPr>
        <w:t xml:space="preserve">$31 billion</w:t>
      </w:r>
      <w:r>
        <w:t xml:space="preserve">.</w:t>
      </w:r>
      <w:r>
        <w:t xml:space="preserve"> </w:t>
      </w:r>
      <w:hyperlink r:id="rId22">
        <w:r>
          <w:rPr>
            <w:rStyle w:val="Hyperlink"/>
          </w:rPr>
          <w:t xml:space="preserve">[3]</w:t>
        </w:r>
      </w:hyperlink>
    </w:p>
    <w:p>
      <w:pPr>
        <w:pStyle w:val="BodyText"/>
      </w:pPr>
      <w:r>
        <w:t xml:space="preserve">For</w:t>
      </w:r>
      <w:r>
        <w:t xml:space="preserve"> </w:t>
      </w:r>
      <w:r>
        <w:rPr>
          <w:b/>
          <w:bCs/>
        </w:rPr>
        <w:t xml:space="preserve">tax year 2026</w:t>
      </w:r>
      <w:r>
        <w:t xml:space="preserve">, the Internal Revenue Service</w:t>
      </w:r>
      <w:hyperlink r:id="rId23">
        <w:r>
          <w:rPr>
            <w:rStyle w:val="Hyperlink"/>
          </w:rPr>
          <w:t xml:space="preserve">[4]</w:t>
        </w:r>
      </w:hyperlink>
      <w:r>
        <w:t xml:space="preserve"> </w:t>
      </w:r>
      <w:r>
        <w:t xml:space="preserve">reports that the ordinary federal individual income tax keeps its</w:t>
      </w:r>
      <w:r>
        <w:t xml:space="preserve"> </w:t>
      </w:r>
      <w:r>
        <w:rPr>
          <w:b/>
          <w:bCs/>
        </w:rPr>
        <w:t xml:space="preserve">seven-rate structure</w:t>
      </w:r>
      <w:r>
        <w:t xml:space="preserve">—10, 12, 22, 24, 32, 35, and 37 percent—with the top rate beginning at</w:t>
      </w:r>
      <w:r>
        <w:t xml:space="preserve"> </w:t>
      </w:r>
      <w:r>
        <w:rPr>
          <w:b/>
          <w:bCs/>
        </w:rPr>
        <w:t xml:space="preserve">$640,600</w:t>
      </w:r>
      <w:r>
        <w:t xml:space="preserve"> </w:t>
      </w:r>
      <w:r>
        <w:t xml:space="preserve">for single filers and</w:t>
      </w:r>
      <w:r>
        <w:t xml:space="preserve"> </w:t>
      </w:r>
      <w:r>
        <w:rPr>
          <w:b/>
          <w:bCs/>
        </w:rPr>
        <w:t xml:space="preserve">$768,700</w:t>
      </w:r>
      <w:r>
        <w:t xml:space="preserve"> </w:t>
      </w:r>
      <w:r>
        <w:t xml:space="preserve">for married couples filing jointly. The standard deduction is</w:t>
      </w:r>
      <w:r>
        <w:t xml:space="preserve"> </w:t>
      </w:r>
      <w:r>
        <w:rPr>
          <w:b/>
          <w:bCs/>
        </w:rPr>
        <w:t xml:space="preserve">$16,100</w:t>
      </w:r>
      <w:r>
        <w:t xml:space="preserve"> </w:t>
      </w:r>
      <w:r>
        <w:t xml:space="preserve">for single filers and</w:t>
      </w:r>
      <w:r>
        <w:t xml:space="preserve"> </w:t>
      </w:r>
      <w:r>
        <w:rPr>
          <w:b/>
          <w:bCs/>
        </w:rPr>
        <w:t xml:space="preserve">$32,200</w:t>
      </w:r>
      <w:r>
        <w:t xml:space="preserve"> </w:t>
      </w:r>
      <w:r>
        <w:t xml:space="preserve">for joint filers. The federal estate tax basic exclusion amount rises to</w:t>
      </w:r>
      <w:r>
        <w:t xml:space="preserve"> </w:t>
      </w:r>
      <w:r>
        <w:rPr>
          <w:b/>
          <w:bCs/>
        </w:rPr>
        <w:t xml:space="preserve">$15.0 million</w:t>
      </w:r>
      <w:r>
        <w:t xml:space="preserve"> </w:t>
      </w:r>
      <w:r>
        <w:t xml:space="preserve">in 2026.</w:t>
      </w:r>
      <w:r>
        <w:t xml:space="preserve"> </w:t>
      </w:r>
      <w:hyperlink r:id="rId21">
        <w:r>
          <w:rPr>
            <w:rStyle w:val="Hyperlink"/>
          </w:rPr>
          <w:t xml:space="preserve">[5]</w:t>
        </w:r>
      </w:hyperlink>
    </w:p>
    <w:p>
      <w:pPr>
        <w:pStyle w:val="BodyText"/>
      </w:pPr>
      <w:r>
        <w:t xml:space="preserve">The most important recent federal legislative change is the</w:t>
      </w:r>
      <w:r>
        <w:t xml:space="preserve"> </w:t>
      </w:r>
      <w:r>
        <w:rPr>
          <w:b/>
          <w:bCs/>
        </w:rPr>
        <w:t xml:space="preserve">One, Big, Beautiful Bill Act</w:t>
      </w:r>
      <w:r>
        <w:t xml:space="preserve"> </w:t>
      </w:r>
      <w:r>
        <w:t xml:space="preserve">(</w:t>
      </w:r>
      <w:r>
        <w:rPr>
          <w:b/>
          <w:bCs/>
        </w:rPr>
        <w:t xml:space="preserve">Public Law 119-21</w:t>
      </w:r>
      <w:r>
        <w:t xml:space="preserve">, signed July 4, 2025), which the IRS says significantly changed federal taxes, credits, and deductions and made the 2017-style seven-rate individual schedule effectively permanent. Other recent structural changes still shaping the code are the</w:t>
      </w:r>
      <w:r>
        <w:t xml:space="preserve"> </w:t>
      </w:r>
      <w:r>
        <w:rPr>
          <w:b/>
          <w:bCs/>
        </w:rPr>
        <w:t xml:space="preserve">Inflation Reduction Act of 2022</w:t>
      </w:r>
      <w:r>
        <w:t xml:space="preserve">, which created the</w:t>
      </w:r>
      <w:r>
        <w:t xml:space="preserve"> </w:t>
      </w:r>
      <w:r>
        <w:rPr>
          <w:b/>
          <w:bCs/>
        </w:rPr>
        <w:t xml:space="preserve">15 percent corporate alternative minimum tax</w:t>
      </w:r>
      <w:r>
        <w:t xml:space="preserve"> </w:t>
      </w:r>
      <w:r>
        <w:t xml:space="preserve">for very large corporations and funded a large IRS modernization/enforcement effort, and the subsequent rescissions and appropriations laws that reduced part of that funding.</w:t>
      </w:r>
      <w:r>
        <w:t xml:space="preserve"> </w:t>
      </w:r>
      <w:hyperlink r:id="rId24">
        <w:r>
          <w:rPr>
            <w:rStyle w:val="Hyperlink"/>
          </w:rPr>
          <w:t xml:space="preserve">[6]</w:t>
        </w:r>
      </w:hyperlink>
    </w:p>
    <w:p>
      <w:pPr>
        <w:pStyle w:val="BodyText"/>
      </w:pPr>
      <w:r>
        <w:t xml:space="preserve">Federal tax expenditures remain enormous. Treasury’s budget estimates for FY2026 indicate that some of the largest revenue losses come from the</w:t>
      </w:r>
      <w:r>
        <w:t xml:space="preserve"> </w:t>
      </w:r>
      <w:r>
        <w:rPr>
          <w:b/>
          <w:bCs/>
        </w:rPr>
        <w:t xml:space="preserve">exclusion of employer-provided health insurance</w:t>
      </w:r>
      <w:r>
        <w:t xml:space="preserve">,</w:t>
      </w:r>
      <w:r>
        <w:t xml:space="preserve"> </w:t>
      </w:r>
      <w:r>
        <w:rPr>
          <w:b/>
          <w:bCs/>
        </w:rPr>
        <w:t xml:space="preserve">retirement saving preferences</w:t>
      </w:r>
      <w:r>
        <w:t xml:space="preserve">, and</w:t>
      </w:r>
      <w:r>
        <w:t xml:space="preserve"> </w:t>
      </w:r>
      <w:r>
        <w:rPr>
          <w:b/>
          <w:bCs/>
        </w:rPr>
        <w:t xml:space="preserve">preferential treatment of capital gains and dividends</w:t>
      </w:r>
      <w:r>
        <w:t xml:space="preserve">. On Treasury’s FY2026 estimates, the employer health exclusion is roughly</w:t>
      </w:r>
      <w:r>
        <w:t xml:space="preserve"> </w:t>
      </w:r>
      <w:r>
        <w:rPr>
          <w:b/>
          <w:bCs/>
        </w:rPr>
        <w:t xml:space="preserve">$296 billion</w:t>
      </w:r>
      <w:r>
        <w:t xml:space="preserve">, retirement-savings exclusions are on the order of</w:t>
      </w:r>
      <w:r>
        <w:t xml:space="preserve"> </w:t>
      </w:r>
      <w:r>
        <w:rPr>
          <w:b/>
          <w:bCs/>
        </w:rPr>
        <w:t xml:space="preserve">$156 billion</w:t>
      </w:r>
      <w:r>
        <w:t xml:space="preserve">, and lower rates on capital gains and dividends about</w:t>
      </w:r>
      <w:r>
        <w:t xml:space="preserve"> </w:t>
      </w:r>
      <w:r>
        <w:rPr>
          <w:b/>
          <w:bCs/>
        </w:rPr>
        <w:t xml:space="preserve">$135 billion</w:t>
      </w:r>
      <w:r>
        <w:t xml:space="preserve">.</w:t>
      </w:r>
      <w:r>
        <w:t xml:space="preserve"> </w:t>
      </w:r>
      <w:hyperlink r:id="rId25">
        <w:r>
          <w:rPr>
            <w:rStyle w:val="Hyperlink"/>
          </w:rPr>
          <w:t xml:space="preserve">[7]</w:t>
        </w:r>
      </w:hyperlink>
    </w:p>
    <w:p>
      <w:pPr>
        <w:pStyle w:val="BodyText"/>
      </w:pPr>
      <w:r>
        <w:t xml:space="preserve">Distributionally, the federal system is still progressive overall, but not uniformly so across tax instruments. The latest CBO distributional release shows that in</w:t>
      </w:r>
      <w:r>
        <w:t xml:space="preserve"> </w:t>
      </w:r>
      <w:r>
        <w:rPr>
          <w:b/>
          <w:bCs/>
        </w:rPr>
        <w:t xml:space="preserve">2022</w:t>
      </w:r>
      <w:r>
        <w:t xml:space="preserve"> </w:t>
      </w:r>
      <w:r>
        <w:t xml:space="preserve">the effective federal tax rate rose from about</w:t>
      </w:r>
      <w:r>
        <w:t xml:space="preserve"> </w:t>
      </w:r>
      <w:r>
        <w:rPr>
          <w:b/>
          <w:bCs/>
        </w:rPr>
        <w:t xml:space="preserve">1.4 percent</w:t>
      </w:r>
      <w:r>
        <w:t xml:space="preserve"> </w:t>
      </w:r>
      <w:r>
        <w:t xml:space="preserve">for the bottom quintile to</w:t>
      </w:r>
      <w:r>
        <w:t xml:space="preserve"> </w:t>
      </w:r>
      <w:r>
        <w:rPr>
          <w:b/>
          <w:bCs/>
        </w:rPr>
        <w:t xml:space="preserve">23.2 percent</w:t>
      </w:r>
      <w:r>
        <w:t xml:space="preserve"> </w:t>
      </w:r>
      <w:r>
        <w:t xml:space="preserve">for the top quintile and</w:t>
      </w:r>
      <w:r>
        <w:t xml:space="preserve"> </w:t>
      </w:r>
      <w:r>
        <w:rPr>
          <w:b/>
          <w:bCs/>
        </w:rPr>
        <w:t xml:space="preserve">31.5 percent</w:t>
      </w:r>
      <w:r>
        <w:t xml:space="preserve"> </w:t>
      </w:r>
      <w:r>
        <w:t xml:space="preserve">for the top 1 percent. For the narrower</w:t>
      </w:r>
      <w:r>
        <w:t xml:space="preserve"> </w:t>
      </w:r>
      <w:r>
        <w:rPr>
          <w:b/>
          <w:bCs/>
        </w:rPr>
        <w:t xml:space="preserve">individual income tax</w:t>
      </w:r>
      <w:r>
        <w:t xml:space="preserve"> </w:t>
      </w:r>
      <w:r>
        <w:t xml:space="preserve">alone, IRS-based published data for</w:t>
      </w:r>
      <w:r>
        <w:t xml:space="preserve"> </w:t>
      </w:r>
      <w:r>
        <w:rPr>
          <w:b/>
          <w:bCs/>
        </w:rPr>
        <w:t xml:space="preserve">tax year 2023</w:t>
      </w:r>
      <w:r>
        <w:t xml:space="preserve"> </w:t>
      </w:r>
      <w:r>
        <w:t xml:space="preserve">show the top 1 percent still paid a disproportionately large share of tax relative to income.</w:t>
      </w:r>
      <w:r>
        <w:t xml:space="preserve"> </w:t>
      </w:r>
      <w:hyperlink r:id="rId23">
        <w:r>
          <w:rPr>
            <w:rStyle w:val="Hyperlink"/>
          </w:rPr>
          <w:t xml:space="preserve">[8]</w:t>
        </w:r>
      </w:hyperlink>
    </w:p>
    <w:p>
      <w:pPr>
        <w:pStyle w:val="BodyText"/>
      </w:pPr>
      <w:r>
        <w:t xml:space="preserve">Compliance remains a central fiscal issue. The IRS’s latest official tax-gap page reports an average</w:t>
      </w:r>
      <w:r>
        <w:t xml:space="preserve"> </w:t>
      </w:r>
      <w:r>
        <w:rPr>
          <w:b/>
          <w:bCs/>
        </w:rPr>
        <w:t xml:space="preserve">gross tax gap of $496 billion</w:t>
      </w:r>
      <w:r>
        <w:t xml:space="preserve"> </w:t>
      </w:r>
      <w:r>
        <w:t xml:space="preserve">for</w:t>
      </w:r>
      <w:r>
        <w:t xml:space="preserve"> </w:t>
      </w:r>
      <w:r>
        <w:rPr>
          <w:b/>
          <w:bCs/>
        </w:rPr>
        <w:t xml:space="preserve">tax years 2014–2016</w:t>
      </w:r>
      <w:r>
        <w:t xml:space="preserve">, with a projected average</w:t>
      </w:r>
      <w:r>
        <w:t xml:space="preserve"> </w:t>
      </w:r>
      <w:r>
        <w:rPr>
          <w:b/>
          <w:bCs/>
        </w:rPr>
        <w:t xml:space="preserve">gross tax gap of $540 billion</w:t>
      </w:r>
      <w:r>
        <w:t xml:space="preserve"> </w:t>
      </w:r>
      <w:r>
        <w:t xml:space="preserve">for</w:t>
      </w:r>
      <w:r>
        <w:t xml:space="preserve"> </w:t>
      </w:r>
      <w:r>
        <w:rPr>
          <w:b/>
          <w:bCs/>
        </w:rPr>
        <w:t xml:space="preserve">2017–2019</w:t>
      </w:r>
      <w:r>
        <w:t xml:space="preserve">, and a projected</w:t>
      </w:r>
      <w:r>
        <w:t xml:space="preserve"> </w:t>
      </w:r>
      <w:r>
        <w:rPr>
          <w:b/>
          <w:bCs/>
        </w:rPr>
        <w:t xml:space="preserve">net tax gap of $470 billion</w:t>
      </w:r>
      <w:r>
        <w:t xml:space="preserve"> </w:t>
      </w:r>
      <w:r>
        <w:t xml:space="preserve">after late payments and enforcement. In FY2024 the IRS closed</w:t>
      </w:r>
      <w:r>
        <w:t xml:space="preserve"> </w:t>
      </w:r>
      <w:r>
        <w:rPr>
          <w:b/>
          <w:bCs/>
        </w:rPr>
        <w:t xml:space="preserve">505,514</w:t>
      </w:r>
      <w:r>
        <w:t xml:space="preserve"> </w:t>
      </w:r>
      <w:r>
        <w:t xml:space="preserve">audits producing over</w:t>
      </w:r>
      <w:r>
        <w:t xml:space="preserve"> </w:t>
      </w:r>
      <w:r>
        <w:rPr>
          <w:b/>
          <w:bCs/>
        </w:rPr>
        <w:t xml:space="preserve">$29.0 billion</w:t>
      </w:r>
      <w:r>
        <w:t xml:space="preserve"> </w:t>
      </w:r>
      <w:r>
        <w:t xml:space="preserve">in recommended additional tax.</w:t>
      </w:r>
      <w:r>
        <w:t xml:space="preserve"> </w:t>
      </w:r>
      <w:hyperlink r:id="rId26">
        <w:r>
          <w:rPr>
            <w:rStyle w:val="Hyperlink"/>
          </w:rPr>
          <w:t xml:space="preserve">[9]</w:t>
        </w:r>
      </w:hyperlink>
    </w:p>
    <w:p>
      <w:pPr>
        <w:pStyle w:val="BodyText"/>
      </w:pPr>
      <w:r>
        <w:t xml:space="preserve">Nationally, state and local taxes are structurally different from federal taxes because</w:t>
      </w:r>
      <w:r>
        <w:t xml:space="preserve"> </w:t>
      </w:r>
      <w:r>
        <w:rPr>
          <w:b/>
          <w:bCs/>
        </w:rPr>
        <w:t xml:space="preserve">property taxation is central</w:t>
      </w:r>
      <w:r>
        <w:t xml:space="preserve"> </w:t>
      </w:r>
      <w:r>
        <w:t xml:space="preserve">and</w:t>
      </w:r>
      <w:r>
        <w:t xml:space="preserve"> </w:t>
      </w:r>
      <w:r>
        <w:rPr>
          <w:b/>
          <w:bCs/>
        </w:rPr>
        <w:t xml:space="preserve">local governments matter much more</w:t>
      </w:r>
      <w:r>
        <w:t xml:space="preserve">. Using the U.S. Bureau of Economic Analysis</w:t>
      </w:r>
      <w:hyperlink r:id="rId25">
        <w:r>
          <w:rPr>
            <w:rStyle w:val="Hyperlink"/>
          </w:rPr>
          <w:t xml:space="preserve">[10]</w:t>
        </w:r>
      </w:hyperlink>
      <w:r>
        <w:t xml:space="preserve"> </w:t>
      </w:r>
      <w:r>
        <w:t xml:space="preserve">current-receipts framework for</w:t>
      </w:r>
      <w:r>
        <w:t xml:space="preserve"> </w:t>
      </w:r>
      <w:r>
        <w:rPr>
          <w:b/>
          <w:bCs/>
        </w:rPr>
        <w:t xml:space="preserve">Q4 2025</w:t>
      </w:r>
      <w:r>
        <w:t xml:space="preserve">, state and local current tax receipts were annualized at</w:t>
      </w:r>
      <w:r>
        <w:t xml:space="preserve"> </w:t>
      </w:r>
      <w:r>
        <w:rPr>
          <w:b/>
          <w:bCs/>
        </w:rPr>
        <w:t xml:space="preserve">$2.725 trillion</w:t>
      </w:r>
      <w:r>
        <w:t xml:space="preserve">, composed mainly of</w:t>
      </w:r>
      <w:r>
        <w:t xml:space="preserve"> </w:t>
      </w:r>
      <w:r>
        <w:rPr>
          <w:b/>
          <w:bCs/>
        </w:rPr>
        <w:t xml:space="preserve">property taxes</w:t>
      </w:r>
      <w:r>
        <w:t xml:space="preserve"> </w:t>
      </w:r>
      <w:r>
        <w:t xml:space="preserve">(</w:t>
      </w:r>
      <w:r>
        <w:rPr>
          <w:b/>
          <w:bCs/>
        </w:rPr>
        <w:t xml:space="preserve">$805 billion</w:t>
      </w:r>
      <w:r>
        <w:t xml:space="preserve">),</w:t>
      </w:r>
      <w:r>
        <w:t xml:space="preserve"> </w:t>
      </w:r>
      <w:r>
        <w:rPr>
          <w:b/>
          <w:bCs/>
        </w:rPr>
        <w:t xml:space="preserve">income taxes</w:t>
      </w:r>
      <w:r>
        <w:t xml:space="preserve"> </w:t>
      </w:r>
      <w:r>
        <w:t xml:space="preserve">(</w:t>
      </w:r>
      <w:r>
        <w:rPr>
          <w:b/>
          <w:bCs/>
        </w:rPr>
        <w:t xml:space="preserve">$793 billion</w:t>
      </w:r>
      <w:r>
        <w:t xml:space="preserve">, personal plus corporate),</w:t>
      </w:r>
      <w:r>
        <w:t xml:space="preserve"> </w:t>
      </w:r>
      <w:r>
        <w:rPr>
          <w:b/>
          <w:bCs/>
        </w:rPr>
        <w:t xml:space="preserve">sales taxes</w:t>
      </w:r>
      <w:r>
        <w:t xml:space="preserve"> </w:t>
      </w:r>
      <w:r>
        <w:t xml:space="preserve">(</w:t>
      </w:r>
      <w:r>
        <w:rPr>
          <w:b/>
          <w:bCs/>
        </w:rPr>
        <w:t xml:space="preserve">$633 billion</w:t>
      </w:r>
      <w:r>
        <w:t xml:space="preserve">), and inferred</w:t>
      </w:r>
      <w:r>
        <w:t xml:space="preserve"> </w:t>
      </w:r>
      <w:r>
        <w:rPr>
          <w:b/>
          <w:bCs/>
        </w:rPr>
        <w:t xml:space="preserve">excise taxes</w:t>
      </w:r>
      <w:r>
        <w:t xml:space="preserve"> </w:t>
      </w:r>
      <w:r>
        <w:t xml:space="preserve">of roughly</w:t>
      </w:r>
      <w:r>
        <w:t xml:space="preserve"> </w:t>
      </w:r>
      <w:r>
        <w:rPr>
          <w:b/>
          <w:bCs/>
        </w:rPr>
        <w:t xml:space="preserve">$294 billion</w:t>
      </w:r>
      <w:r>
        <w:t xml:space="preserve">. The U.S. Census Bureau</w:t>
      </w:r>
      <w:hyperlink r:id="rId27">
        <w:r>
          <w:rPr>
            <w:rStyle w:val="Hyperlink"/>
          </w:rPr>
          <w:t xml:space="preserve">[11]</w:t>
        </w:r>
      </w:hyperlink>
      <w:r>
        <w:t xml:space="preserve"> </w:t>
      </w:r>
      <w:r>
        <w:t xml:space="preserve">QTAX release for rolling four-quarter</w:t>
      </w:r>
      <w:r>
        <w:t xml:space="preserve"> </w:t>
      </w:r>
      <w:r>
        <w:rPr>
          <w:b/>
          <w:bCs/>
        </w:rPr>
        <w:t xml:space="preserve">2025</w:t>
      </w:r>
      <w:r>
        <w:t xml:space="preserve"> </w:t>
      </w:r>
      <w:r>
        <w:t xml:space="preserve">also shows combined state-local taxes of about</w:t>
      </w:r>
      <w:r>
        <w:t xml:space="preserve"> </w:t>
      </w:r>
      <w:r>
        <w:rPr>
          <w:b/>
          <w:bCs/>
        </w:rPr>
        <w:t xml:space="preserve">$2.211 trillion</w:t>
      </w:r>
      <w:r>
        <w:t xml:space="preserve">, with property and sales taxes still the largest categories.</w:t>
      </w:r>
      <w:r>
        <w:t xml:space="preserve"> </w:t>
      </w:r>
      <w:hyperlink r:id="rId27">
        <w:r>
          <w:rPr>
            <w:rStyle w:val="Hyperlink"/>
          </w:rPr>
          <w:t xml:space="preserve">[12]</w:t>
        </w:r>
      </w:hyperlink>
    </w:p>
    <w:p>
      <w:pPr>
        <w:pStyle w:val="BodyText"/>
      </w:pPr>
      <w:r>
        <w:t xml:space="preserve">California’s tax system is unusually reliant on the personal income tax. The California Department of Finance</w:t>
      </w:r>
      <w:hyperlink r:id="rId27">
        <w:r>
          <w:rPr>
            <w:rStyle w:val="Hyperlink"/>
          </w:rPr>
          <w:t xml:space="preserve">[13]</w:t>
        </w:r>
      </w:hyperlink>
      <w:r>
        <w:t xml:space="preserve"> </w:t>
      </w:r>
      <w:r>
        <w:t xml:space="preserve">says the personal income tax is the state’s largest revenue source and is estimated to account for</w:t>
      </w:r>
      <w:r>
        <w:t xml:space="preserve"> </w:t>
      </w:r>
      <w:r>
        <w:rPr>
          <w:b/>
          <w:bCs/>
        </w:rPr>
        <w:t xml:space="preserve">nearly 60 percent of General Fund revenue before transfers in 2024-25</w:t>
      </w:r>
      <w:r>
        <w:t xml:space="preserve">, while the sales tax is about</w:t>
      </w:r>
      <w:r>
        <w:t xml:space="preserve"> </w:t>
      </w:r>
      <w:r>
        <w:rPr>
          <w:b/>
          <w:bCs/>
        </w:rPr>
        <w:t xml:space="preserve">15 percent</w:t>
      </w:r>
      <w:r>
        <w:t xml:space="preserve">. The same forecast emphasizes California’s sensitivity to capital gains and high-income taxpayers, and the Legislative Analyst's Office</w:t>
      </w:r>
      <w:hyperlink r:id="rId21">
        <w:r>
          <w:rPr>
            <w:rStyle w:val="Hyperlink"/>
          </w:rPr>
          <w:t xml:space="preserve">[14]</w:t>
        </w:r>
      </w:hyperlink>
      <w:r>
        <w:t xml:space="preserve"> </w:t>
      </w:r>
      <w:r>
        <w:t xml:space="preserve">continues to stress revenue volatility.</w:t>
      </w:r>
      <w:r>
        <w:t xml:space="preserve"> </w:t>
      </w:r>
      <w:hyperlink r:id="rId28">
        <w:r>
          <w:rPr>
            <w:rStyle w:val="Hyperlink"/>
          </w:rPr>
          <w:t xml:space="preserve">[15]</w:t>
        </w:r>
      </w:hyperlink>
    </w:p>
    <w:bookmarkEnd w:id="29"/>
    <w:bookmarkStart w:id="37" w:name="X8c544ee64efaaaf67e844f53dfc2a4c48bf213e"/>
    <w:p>
      <w:pPr>
        <w:pStyle w:val="Heading2"/>
      </w:pPr>
      <w:r>
        <w:t xml:space="preserve">Federal tax architecture in the current year</w:t>
      </w:r>
    </w:p>
    <w:p>
      <w:pPr>
        <w:pStyle w:val="FirstParagraph"/>
      </w:pPr>
      <w:r>
        <w:t xml:space="preserve">The federal tax system is best understood as a layered system combining broad-based taxes on labor and business income with narrower taxes on capital transfers, specific goods and activities, and imports. In the current-year parameter set, the main federal tax instruments are: individual income tax, corporate income tax, payroll taxes for Social Security and Medicare, preferential capital-gains taxation layered on the individual tax, the estate and gift tax, excise taxes, and customs duties (tariffs).</w:t>
      </w:r>
      <w:r>
        <w:t xml:space="preserve"> </w:t>
      </w:r>
      <w:hyperlink r:id="rId21">
        <w:r>
          <w:rPr>
            <w:rStyle w:val="Hyperlink"/>
          </w:rPr>
          <w:t xml:space="preserve">[16]</w:t>
        </w:r>
      </w:hyperlink>
    </w:p>
    <w:p>
      <w:pPr>
        <w:pStyle w:val="BodyText"/>
      </w:pPr>
      <w:r>
        <w:t xml:space="preserve">The current</w:t>
      </w:r>
      <w:r>
        <w:t xml:space="preserve"> </w:t>
      </w:r>
      <w:r>
        <w:rPr>
          <w:b/>
          <w:bCs/>
        </w:rPr>
        <w:t xml:space="preserve">ordinary federal individual income tax</w:t>
      </w:r>
      <w:r>
        <w:t xml:space="preserve"> </w:t>
      </w:r>
      <w:r>
        <w:t xml:space="preserve">keeps the seven-rate structure. For</w:t>
      </w:r>
      <w:r>
        <w:t xml:space="preserve"> </w:t>
      </w:r>
      <w:r>
        <w:rPr>
          <w:b/>
          <w:bCs/>
        </w:rPr>
        <w:t xml:space="preserve">tax year 2026</w:t>
      </w:r>
      <w:r>
        <w:t xml:space="preserve">, the IRS states that the rate schedule for</w:t>
      </w:r>
      <w:r>
        <w:t xml:space="preserve"> </w:t>
      </w:r>
      <w:r>
        <w:rPr>
          <w:b/>
          <w:bCs/>
        </w:rPr>
        <w:t xml:space="preserve">single</w:t>
      </w:r>
      <w:r>
        <w:t xml:space="preserve"> </w:t>
      </w:r>
      <w:r>
        <w:t xml:space="preserve">filers is 10 percent up to</w:t>
      </w:r>
      <w:r>
        <w:t xml:space="preserve"> </w:t>
      </w:r>
      <w:r>
        <w:rPr>
          <w:b/>
          <w:bCs/>
        </w:rPr>
        <w:t xml:space="preserve">$12,400</w:t>
      </w:r>
      <w:r>
        <w:t xml:space="preserve">, then 12 percent above that, 22 percent above</w:t>
      </w:r>
      <w:r>
        <w:t xml:space="preserve"> </w:t>
      </w:r>
      <w:r>
        <w:rPr>
          <w:b/>
          <w:bCs/>
        </w:rPr>
        <w:t xml:space="preserve">$50,400</w:t>
      </w:r>
      <w:r>
        <w:t xml:space="preserve">, 24 percent above</w:t>
      </w:r>
      <w:r>
        <w:t xml:space="preserve"> </w:t>
      </w:r>
      <w:r>
        <w:rPr>
          <w:b/>
          <w:bCs/>
        </w:rPr>
        <w:t xml:space="preserve">$105,700</w:t>
      </w:r>
      <w:r>
        <w:t xml:space="preserve">, 32 percent above</w:t>
      </w:r>
      <w:r>
        <w:t xml:space="preserve"> </w:t>
      </w:r>
      <w:r>
        <w:rPr>
          <w:b/>
          <w:bCs/>
        </w:rPr>
        <w:t xml:space="preserve">$201,775</w:t>
      </w:r>
      <w:r>
        <w:t xml:space="preserve">, 35 percent above</w:t>
      </w:r>
      <w:r>
        <w:t xml:space="preserve"> </w:t>
      </w:r>
      <w:r>
        <w:rPr>
          <w:b/>
          <w:bCs/>
        </w:rPr>
        <w:t xml:space="preserve">$256,225</w:t>
      </w:r>
      <w:r>
        <w:t xml:space="preserve">, and 37 percent above</w:t>
      </w:r>
      <w:r>
        <w:t xml:space="preserve"> </w:t>
      </w:r>
      <w:r>
        <w:rPr>
          <w:b/>
          <w:bCs/>
        </w:rPr>
        <w:t xml:space="preserve">$640,600</w:t>
      </w:r>
      <w:r>
        <w:t xml:space="preserve">. For</w:t>
      </w:r>
      <w:r>
        <w:t xml:space="preserve"> </w:t>
      </w:r>
      <w:r>
        <w:rPr>
          <w:b/>
          <w:bCs/>
        </w:rPr>
        <w:t xml:space="preserve">married filing jointly</w:t>
      </w:r>
      <w:r>
        <w:t xml:space="preserve">, the corresponding threshold amounts are</w:t>
      </w:r>
      <w:r>
        <w:t xml:space="preserve"> </w:t>
      </w:r>
      <w:r>
        <w:rPr>
          <w:b/>
          <w:bCs/>
        </w:rPr>
        <w:t xml:space="preserve">$24,800</w:t>
      </w:r>
      <w:r>
        <w:t xml:space="preserve">,</w:t>
      </w:r>
      <w:r>
        <w:t xml:space="preserve"> </w:t>
      </w:r>
      <w:r>
        <w:rPr>
          <w:b/>
          <w:bCs/>
        </w:rPr>
        <w:t xml:space="preserve">$100,800</w:t>
      </w:r>
      <w:r>
        <w:t xml:space="preserve">,</w:t>
      </w:r>
      <w:r>
        <w:t xml:space="preserve"> </w:t>
      </w:r>
      <w:r>
        <w:rPr>
          <w:b/>
          <w:bCs/>
        </w:rPr>
        <w:t xml:space="preserve">$211,400</w:t>
      </w:r>
      <w:r>
        <w:t xml:space="preserve">,</w:t>
      </w:r>
      <w:r>
        <w:t xml:space="preserve"> </w:t>
      </w:r>
      <w:r>
        <w:rPr>
          <w:b/>
          <w:bCs/>
        </w:rPr>
        <w:t xml:space="preserve">$403,550</w:t>
      </w:r>
      <w:r>
        <w:t xml:space="preserve">,</w:t>
      </w:r>
      <w:r>
        <w:t xml:space="preserve"> </w:t>
      </w:r>
      <w:r>
        <w:rPr>
          <w:b/>
          <w:bCs/>
        </w:rPr>
        <w:t xml:space="preserve">$512,450</w:t>
      </w:r>
      <w:r>
        <w:t xml:space="preserve">, and</w:t>
      </w:r>
      <w:r>
        <w:t xml:space="preserve"> </w:t>
      </w:r>
      <w:r>
        <w:rPr>
          <w:b/>
          <w:bCs/>
        </w:rPr>
        <w:t xml:space="preserve">$768,700</w:t>
      </w:r>
      <w:r>
        <w:t xml:space="preserve">. The standard deduction is</w:t>
      </w:r>
      <w:r>
        <w:t xml:space="preserve"> </w:t>
      </w:r>
      <w:r>
        <w:rPr>
          <w:b/>
          <w:bCs/>
        </w:rPr>
        <w:t xml:space="preserve">$16,100</w:t>
      </w:r>
      <w:r>
        <w:t xml:space="preserve"> </w:t>
      </w:r>
      <w:r>
        <w:t xml:space="preserve">for single filers,</w:t>
      </w:r>
      <w:r>
        <w:t xml:space="preserve"> </w:t>
      </w:r>
      <w:r>
        <w:rPr>
          <w:b/>
          <w:bCs/>
        </w:rPr>
        <w:t xml:space="preserve">$32,200</w:t>
      </w:r>
      <w:r>
        <w:t xml:space="preserve"> </w:t>
      </w:r>
      <w:r>
        <w:t xml:space="preserve">for joint filers, and</w:t>
      </w:r>
      <w:r>
        <w:t xml:space="preserve"> </w:t>
      </w:r>
      <w:r>
        <w:rPr>
          <w:b/>
          <w:bCs/>
        </w:rPr>
        <w:t xml:space="preserve">$24,150</w:t>
      </w:r>
      <w:r>
        <w:t xml:space="preserve"> </w:t>
      </w:r>
      <w:r>
        <w:t xml:space="preserve">for heads of household.</w:t>
      </w:r>
      <w:r>
        <w:t xml:space="preserve"> </w:t>
      </w:r>
      <w:hyperlink r:id="rId21">
        <w:r>
          <w:rPr>
            <w:rStyle w:val="Hyperlink"/>
          </w:rPr>
          <w:t xml:space="preserve">[5]</w:t>
        </w:r>
      </w:hyperlink>
    </w:p>
    <w:p>
      <w:pPr>
        <w:pStyle w:val="BodyText"/>
      </w:pPr>
      <w:r>
        <w:t xml:space="preserve">For</w:t>
      </w:r>
      <w:r>
        <w:t xml:space="preserve"> </w:t>
      </w:r>
      <w:r>
        <w:rPr>
          <w:b/>
          <w:bCs/>
        </w:rPr>
        <w:t xml:space="preserve">capital gains</w:t>
      </w:r>
      <w:r>
        <w:t xml:space="preserve">, the structure still differs from ordinary income:</w:t>
      </w:r>
      <w:r>
        <w:t xml:space="preserve"> </w:t>
      </w:r>
      <w:r>
        <w:rPr>
          <w:b/>
          <w:bCs/>
        </w:rPr>
        <w:t xml:space="preserve">short-term gains</w:t>
      </w:r>
      <w:r>
        <w:t xml:space="preserve"> </w:t>
      </w:r>
      <w:r>
        <w:t xml:space="preserve">are taxed at ordinary rates, while</w:t>
      </w:r>
      <w:r>
        <w:t xml:space="preserve"> </w:t>
      </w:r>
      <w:r>
        <w:rPr>
          <w:b/>
          <w:bCs/>
        </w:rPr>
        <w:t xml:space="preserve">long-term gains and qualified dividends</w:t>
      </w:r>
      <w:r>
        <w:t xml:space="preserve"> </w:t>
      </w:r>
      <w:r>
        <w:t xml:space="preserve">continue to face the familiar</w:t>
      </w:r>
      <w:r>
        <w:t xml:space="preserve"> </w:t>
      </w:r>
      <w:r>
        <w:rPr>
          <w:b/>
          <w:bCs/>
        </w:rPr>
        <w:t xml:space="preserve">0 percent / 15 percent / 20 percent</w:t>
      </w:r>
      <w:r>
        <w:t xml:space="preserve"> </w:t>
      </w:r>
      <w:r>
        <w:t xml:space="preserve">schedule, with a separate</w:t>
      </w:r>
      <w:r>
        <w:t xml:space="preserve"> </w:t>
      </w:r>
      <w:r>
        <w:rPr>
          <w:b/>
          <w:bCs/>
        </w:rPr>
        <w:t xml:space="preserve">3.8 percent net investment income tax</w:t>
      </w:r>
      <w:r>
        <w:t xml:space="preserve"> </w:t>
      </w:r>
      <w:r>
        <w:t xml:space="preserve">still applying above statutory thresholds. The IRS’s inflation-adjustment revenue procedure left that basic structure intact for 2026; contemporaneous summaries of the 2026 thresholds report the 0 percent bracket extending to roughly</w:t>
      </w:r>
      <w:r>
        <w:t xml:space="preserve"> </w:t>
      </w:r>
      <w:r>
        <w:rPr>
          <w:b/>
          <w:bCs/>
        </w:rPr>
        <w:t xml:space="preserve">$49,450</w:t>
      </w:r>
      <w:r>
        <w:t xml:space="preserve"> </w:t>
      </w:r>
      <w:r>
        <w:t xml:space="preserve">for single filers and</w:t>
      </w:r>
      <w:r>
        <w:t xml:space="preserve"> </w:t>
      </w:r>
      <w:r>
        <w:rPr>
          <w:b/>
          <w:bCs/>
        </w:rPr>
        <w:t xml:space="preserve">$98,900</w:t>
      </w:r>
      <w:r>
        <w:t xml:space="preserve"> </w:t>
      </w:r>
      <w:r>
        <w:t xml:space="preserve">for joint filers, with the 20 percent bracket beginning above roughly</w:t>
      </w:r>
      <w:r>
        <w:t xml:space="preserve"> </w:t>
      </w:r>
      <w:r>
        <w:rPr>
          <w:b/>
          <w:bCs/>
        </w:rPr>
        <w:t xml:space="preserve">$545,500</w:t>
      </w:r>
      <w:r>
        <w:t xml:space="preserve"> </w:t>
      </w:r>
      <w:r>
        <w:t xml:space="preserve">and</w:t>
      </w:r>
      <w:r>
        <w:t xml:space="preserve"> </w:t>
      </w:r>
      <w:r>
        <w:rPr>
          <w:b/>
          <w:bCs/>
        </w:rPr>
        <w:t xml:space="preserve">$613,700</w:t>
      </w:r>
      <w:r>
        <w:t xml:space="preserve">, respectively.</w:t>
      </w:r>
      <w:r>
        <w:t xml:space="preserve"> </w:t>
      </w:r>
      <w:hyperlink r:id="rId30">
        <w:r>
          <w:rPr>
            <w:rStyle w:val="Hyperlink"/>
          </w:rPr>
          <w:t xml:space="preserve">[17]</w:t>
        </w:r>
      </w:hyperlink>
    </w:p>
    <w:p>
      <w:pPr>
        <w:pStyle w:val="BodyText"/>
      </w:pPr>
      <w:r>
        <w:t xml:space="preserve">The</w:t>
      </w:r>
      <w:r>
        <w:t xml:space="preserve"> </w:t>
      </w:r>
      <w:r>
        <w:rPr>
          <w:b/>
          <w:bCs/>
        </w:rPr>
        <w:t xml:space="preserve">corporate income tax</w:t>
      </w:r>
      <w:r>
        <w:t xml:space="preserve"> </w:t>
      </w:r>
      <w:r>
        <w:t xml:space="preserve">remains centered on the</w:t>
      </w:r>
      <w:r>
        <w:t xml:space="preserve"> </w:t>
      </w:r>
      <w:r>
        <w:rPr>
          <w:b/>
          <w:bCs/>
        </w:rPr>
        <w:t xml:space="preserve">21 percent</w:t>
      </w:r>
      <w:r>
        <w:t xml:space="preserve"> </w:t>
      </w:r>
      <w:r>
        <w:t xml:space="preserve">statutory federal corporate rate established by the 2017 reform, but it is no longer the whole story. The IRS notes that the</w:t>
      </w:r>
      <w:r>
        <w:t xml:space="preserve"> </w:t>
      </w:r>
      <w:r>
        <w:rPr>
          <w:b/>
          <w:bCs/>
        </w:rPr>
        <w:t xml:space="preserve">Inflation Reduction Act</w:t>
      </w:r>
      <w:r>
        <w:t xml:space="preserve"> </w:t>
      </w:r>
      <w:r>
        <w:t xml:space="preserve">created a</w:t>
      </w:r>
      <w:r>
        <w:t xml:space="preserve"> </w:t>
      </w:r>
      <w:r>
        <w:rPr>
          <w:b/>
          <w:bCs/>
        </w:rPr>
        <w:t xml:space="preserve">15 percent corporate alternative minimum tax</w:t>
      </w:r>
      <w:r>
        <w:t xml:space="preserve"> </w:t>
      </w:r>
      <w:r>
        <w:t xml:space="preserve">on the adjusted financial statement income of very large corporations, generally those with average annual financial statement income above</w:t>
      </w:r>
      <w:r>
        <w:t xml:space="preserve"> </w:t>
      </w:r>
      <w:r>
        <w:rPr>
          <w:b/>
          <w:bCs/>
        </w:rPr>
        <w:t xml:space="preserve">$1 billion</w:t>
      </w:r>
      <w:r>
        <w:t xml:space="preserve">. That means the federal corporate regime is now a combination of the ordinary 21 percent tax, the CAMT backstop, and other targeted provisions such as the stock-buyback excise tax created by the same law.</w:t>
      </w:r>
      <w:r>
        <w:t xml:space="preserve"> </w:t>
      </w:r>
      <w:hyperlink r:id="rId31">
        <w:r>
          <w:rPr>
            <w:rStyle w:val="Hyperlink"/>
          </w:rPr>
          <w:t xml:space="preserve">[18]</w:t>
        </w:r>
      </w:hyperlink>
    </w:p>
    <w:p>
      <w:pPr>
        <w:pStyle w:val="BodyText"/>
      </w:pPr>
      <w:r>
        <w:t xml:space="preserve">The</w:t>
      </w:r>
      <w:r>
        <w:t xml:space="preserve"> </w:t>
      </w:r>
      <w:r>
        <w:rPr>
          <w:b/>
          <w:bCs/>
        </w:rPr>
        <w:t xml:space="preserve">payroll-tax</w:t>
      </w:r>
      <w:r>
        <w:t xml:space="preserve"> </w:t>
      </w:r>
      <w:r>
        <w:t xml:space="preserve">structure continues to rely on statutory Social Security and Medicare rates. The Social Security Administration</w:t>
      </w:r>
      <w:hyperlink r:id="rId26">
        <w:r>
          <w:rPr>
            <w:rStyle w:val="Hyperlink"/>
          </w:rPr>
          <w:t xml:space="preserve">[19]</w:t>
        </w:r>
      </w:hyperlink>
      <w:r>
        <w:t xml:space="preserve"> </w:t>
      </w:r>
      <w:r>
        <w:t xml:space="preserve">says that for</w:t>
      </w:r>
      <w:r>
        <w:t xml:space="preserve"> </w:t>
      </w:r>
      <w:r>
        <w:rPr>
          <w:b/>
          <w:bCs/>
        </w:rPr>
        <w:t xml:space="preserve">2026</w:t>
      </w:r>
      <w:r>
        <w:t xml:space="preserve"> </w:t>
      </w:r>
      <w:r>
        <w:t xml:space="preserve">the OASDI contribution and benefit base is</w:t>
      </w:r>
      <w:r>
        <w:t xml:space="preserve"> </w:t>
      </w:r>
      <w:r>
        <w:rPr>
          <w:b/>
          <w:bCs/>
        </w:rPr>
        <w:t xml:space="preserve">$184,500</w:t>
      </w:r>
      <w:r>
        <w:t xml:space="preserve">. The OASDI tax rate is</w:t>
      </w:r>
      <w:r>
        <w:t xml:space="preserve"> </w:t>
      </w:r>
      <w:r>
        <w:rPr>
          <w:b/>
          <w:bCs/>
        </w:rPr>
        <w:t xml:space="preserve">6.2 percent</w:t>
      </w:r>
      <w:r>
        <w:t xml:space="preserve"> </w:t>
      </w:r>
      <w:r>
        <w:t xml:space="preserve">each for workers and employers, or</w:t>
      </w:r>
      <w:r>
        <w:t xml:space="preserve"> </w:t>
      </w:r>
      <w:r>
        <w:rPr>
          <w:b/>
          <w:bCs/>
        </w:rPr>
        <w:t xml:space="preserve">12.4 percent</w:t>
      </w:r>
      <w:r>
        <w:t xml:space="preserve"> </w:t>
      </w:r>
      <w:r>
        <w:t xml:space="preserve">for self-employment income. Medicare remains the uncapped companion payroll tax.</w:t>
      </w:r>
      <w:r>
        <w:t xml:space="preserve"> </w:t>
      </w:r>
      <w:hyperlink r:id="rId32">
        <w:r>
          <w:rPr>
            <w:rStyle w:val="Hyperlink"/>
          </w:rPr>
          <w:t xml:space="preserve">[20]</w:t>
        </w:r>
      </w:hyperlink>
    </w:p>
    <w:p>
      <w:pPr>
        <w:pStyle w:val="BodyText"/>
      </w:pPr>
      <w:r>
        <w:t xml:space="preserve">The</w:t>
      </w:r>
      <w:r>
        <w:t xml:space="preserve"> </w:t>
      </w:r>
      <w:r>
        <w:rPr>
          <w:b/>
          <w:bCs/>
        </w:rPr>
        <w:t xml:space="preserve">estate and gift tax</w:t>
      </w:r>
      <w:r>
        <w:t xml:space="preserve"> </w:t>
      </w:r>
      <w:r>
        <w:t xml:space="preserve">remains a relatively small but symbolically important part of the federal system. The IRS says that estates of decedents dying in</w:t>
      </w:r>
      <w:r>
        <w:t xml:space="preserve"> </w:t>
      </w:r>
      <w:r>
        <w:rPr>
          <w:b/>
          <w:bCs/>
        </w:rPr>
        <w:t xml:space="preserve">2026</w:t>
      </w:r>
      <w:r>
        <w:t xml:space="preserve"> </w:t>
      </w:r>
      <w:r>
        <w:t xml:space="preserve">have a basic exclusion amount of</w:t>
      </w:r>
      <w:r>
        <w:t xml:space="preserve"> </w:t>
      </w:r>
      <w:r>
        <w:rPr>
          <w:b/>
          <w:bCs/>
        </w:rPr>
        <w:t xml:space="preserve">$15.0 million</w:t>
      </w:r>
      <w:r>
        <w:t xml:space="preserve">, up from</w:t>
      </w:r>
      <w:r>
        <w:t xml:space="preserve"> </w:t>
      </w:r>
      <w:r>
        <w:rPr>
          <w:b/>
          <w:bCs/>
        </w:rPr>
        <w:t xml:space="preserve">$13.99 million</w:t>
      </w:r>
      <w:r>
        <w:t xml:space="preserve"> </w:t>
      </w:r>
      <w:r>
        <w:t xml:space="preserve">for 2025.</w:t>
      </w:r>
      <w:r>
        <w:t xml:space="preserve"> </w:t>
      </w:r>
      <w:hyperlink r:id="rId21">
        <w:r>
          <w:rPr>
            <w:rStyle w:val="Hyperlink"/>
          </w:rPr>
          <w:t xml:space="preserve">[5]</w:t>
        </w:r>
      </w:hyperlink>
    </w:p>
    <w:p>
      <w:pPr>
        <w:pStyle w:val="BodyText"/>
      </w:pPr>
      <w:r>
        <w:rPr>
          <w:b/>
          <w:bCs/>
        </w:rPr>
        <w:t xml:space="preserve">Excise taxes</w:t>
      </w:r>
      <w:r>
        <w:t xml:space="preserve"> </w:t>
      </w:r>
      <w:r>
        <w:t xml:space="preserve">and</w:t>
      </w:r>
      <w:r>
        <w:t xml:space="preserve"> </w:t>
      </w:r>
      <w:r>
        <w:rPr>
          <w:b/>
          <w:bCs/>
        </w:rPr>
        <w:t xml:space="preserve">tariffs</w:t>
      </w:r>
      <w:r>
        <w:t xml:space="preserve"> </w:t>
      </w:r>
      <w:r>
        <w:t xml:space="preserve">do not operate through a single bracket schedule. Excises are product- or activity-specific statutory taxes; tariffs are line-item and country/legal-authority specific charges collected at the border. That distinction matters analytically: unlike the income tax, those taxes change relative prices and can have visible incidence on consumers, importers, exporters, and supply chains rather than simply on taxable cash income.</w:t>
      </w:r>
      <w:r>
        <w:t xml:space="preserve"> </w:t>
      </w:r>
      <w:hyperlink r:id="rId33">
        <w:r>
          <w:rPr>
            <w:rStyle w:val="Hyperlink"/>
          </w:rPr>
          <w:t xml:space="preserve">[21]</w:t>
        </w:r>
      </w:hyperlink>
    </w:p>
    <w:p>
      <w:pPr>
        <w:pStyle w:val="BodyText"/>
      </w:pPr>
      <w:r>
        <w:t xml:space="preserve">The tariff regime is especially fluid in 2026. As of</w:t>
      </w:r>
      <w:r>
        <w:t xml:space="preserve"> </w:t>
      </w:r>
      <w:r>
        <w:rPr>
          <w:b/>
          <w:bCs/>
        </w:rPr>
        <w:t xml:space="preserve">April 27, 2026</w:t>
      </w:r>
      <w:r>
        <w:t xml:space="preserve">, the official federal position is that a</w:t>
      </w:r>
      <w:r>
        <w:t xml:space="preserve"> </w:t>
      </w:r>
      <w:r>
        <w:rPr>
          <w:b/>
          <w:bCs/>
        </w:rPr>
        <w:t xml:space="preserve">temporary 10 percent ad valorem import surcharge</w:t>
      </w:r>
      <w:r>
        <w:t xml:space="preserve"> </w:t>
      </w:r>
      <w:r>
        <w:t xml:space="preserve">under</w:t>
      </w:r>
      <w:r>
        <w:t xml:space="preserve"> </w:t>
      </w:r>
      <w:r>
        <w:rPr>
          <w:b/>
          <w:bCs/>
        </w:rPr>
        <w:t xml:space="preserve">section 122 of the Trade Act of 1974</w:t>
      </w:r>
      <w:r>
        <w:t xml:space="preserve"> </w:t>
      </w:r>
      <w:r>
        <w:t xml:space="preserve">applies to covered imports beginning</w:t>
      </w:r>
      <w:r>
        <w:t xml:space="preserve"> </w:t>
      </w:r>
      <w:r>
        <w:rPr>
          <w:b/>
          <w:bCs/>
        </w:rPr>
        <w:t xml:space="preserve">February 24, 2026</w:t>
      </w:r>
      <w:r>
        <w:t xml:space="preserve">, for a period of 150 days, subject to exclusions and interactions with other tariff authorities. The United States Trade Representative</w:t>
      </w:r>
      <w:hyperlink r:id="rId28">
        <w:r>
          <w:rPr>
            <w:rStyle w:val="Hyperlink"/>
          </w:rPr>
          <w:t xml:space="preserve">[22]</w:t>
        </w:r>
      </w:hyperlink>
      <w:r>
        <w:t xml:space="preserve"> </w:t>
      </w:r>
      <w:r>
        <w:t xml:space="preserve">and U.S. Customs and Border Protection</w:t>
      </w:r>
      <w:hyperlink r:id="rId21">
        <w:r>
          <w:rPr>
            <w:rStyle w:val="Hyperlink"/>
          </w:rPr>
          <w:t xml:space="preserve">[23]</w:t>
        </w:r>
      </w:hyperlink>
      <w:r>
        <w:t xml:space="preserve"> </w:t>
      </w:r>
      <w:r>
        <w:t xml:space="preserve">also indicate that importers must still navigate the broader product-specific tariff schedule and other trade remedies.</w:t>
      </w:r>
      <w:r>
        <w:t xml:space="preserve"> </w:t>
      </w:r>
      <w:hyperlink r:id="rId33">
        <w:r>
          <w:rPr>
            <w:rStyle w:val="Hyperlink"/>
          </w:rPr>
          <w:t xml:space="preserve">[24]</w:t>
        </w:r>
      </w:hyperlink>
    </w:p>
    <w:bookmarkStart w:id="34" w:name="X346bc11d31297d0cb6ea2fb16099e0b000a44f4"/>
    <w:p>
      <w:pPr>
        <w:pStyle w:val="Heading3"/>
      </w:pPr>
      <w:r>
        <w:t xml:space="preserve">Federal tax rates and current-year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Tax type</w:t>
            </w:r>
          </w:p>
        </w:tc>
        <w:tc>
          <w:tcPr/>
          <w:p>
            <w:pPr>
              <w:pStyle w:val="Compact"/>
            </w:pPr>
            <w:r>
              <w:t xml:space="preserve">Current-year structure</w:t>
            </w:r>
          </w:p>
        </w:tc>
        <w:tc>
          <w:tcPr/>
          <w:p>
            <w:pPr>
              <w:pStyle w:val="Compact"/>
            </w:pPr>
            <w:r>
              <w:t xml:space="preserve">Key current-year parameters</w:t>
            </w:r>
          </w:p>
        </w:tc>
      </w:tr>
      <w:tr>
        <w:tc>
          <w:tcPr/>
          <w:p>
            <w:pPr>
              <w:pStyle w:val="Compact"/>
            </w:pPr>
            <w:r>
              <w:t xml:space="preserve">Individual income tax</w:t>
            </w:r>
          </w:p>
        </w:tc>
        <w:tc>
          <w:tcPr/>
          <w:p>
            <w:pPr>
              <w:pStyle w:val="Compact"/>
            </w:pPr>
            <w:r>
              <w:t xml:space="preserve">Progressive marginal schedule</w:t>
            </w:r>
          </w:p>
        </w:tc>
        <w:tc>
          <w:tcPr/>
          <w:p>
            <w:pPr>
              <w:pStyle w:val="Compact"/>
            </w:pPr>
            <w:r>
              <w:t xml:space="preserve">10%, 12%, 22%, 24%, 32%, 35%, 37%; top bracket starts at $640,600 single / $768,700 joint in TY2026</w:t>
            </w:r>
          </w:p>
        </w:tc>
      </w:tr>
      <w:tr>
        <w:tc>
          <w:tcPr/>
          <w:p>
            <w:pPr>
              <w:pStyle w:val="Compact"/>
            </w:pPr>
            <w:r>
              <w:t xml:space="preserve">Standard deduction</w:t>
            </w:r>
          </w:p>
        </w:tc>
        <w:tc>
          <w:tcPr/>
          <w:p>
            <w:pPr>
              <w:pStyle w:val="Compact"/>
            </w:pPr>
            <w:r>
              <w:t xml:space="preserve">Flat deduction before applying rates</w:t>
            </w:r>
          </w:p>
        </w:tc>
        <w:tc>
          <w:tcPr/>
          <w:p>
            <w:pPr>
              <w:pStyle w:val="Compact"/>
            </w:pPr>
            <w:r>
              <w:t xml:space="preserve">$16,100 single; $32,200 joint; $24,150 head of household in TY2026</w:t>
            </w:r>
          </w:p>
        </w:tc>
      </w:tr>
      <w:tr>
        <w:tc>
          <w:tcPr/>
          <w:p>
            <w:pPr>
              <w:pStyle w:val="Compact"/>
            </w:pPr>
            <w:r>
              <w:t xml:space="preserve">Long-term capital gains / qualified dividends</w:t>
            </w:r>
          </w:p>
        </w:tc>
        <w:tc>
          <w:tcPr/>
          <w:p>
            <w:pPr>
              <w:pStyle w:val="Compact"/>
            </w:pPr>
            <w:r>
              <w:t xml:space="preserve">Preferential individual tax schedule</w:t>
            </w:r>
          </w:p>
        </w:tc>
        <w:tc>
          <w:tcPr/>
          <w:p>
            <w:pPr>
              <w:pStyle w:val="Compact"/>
            </w:pPr>
            <w:r>
              <w:t xml:space="preserve">0%, 15%, 20% structure remains; NIIT still stacks on high-income taxpayers</w:t>
            </w:r>
          </w:p>
        </w:tc>
      </w:tr>
      <w:tr>
        <w:tc>
          <w:tcPr/>
          <w:p>
            <w:pPr>
              <w:pStyle w:val="Compact"/>
            </w:pPr>
            <w:r>
              <w:t xml:space="preserve">Payroll taxes</w:t>
            </w:r>
          </w:p>
        </w:tc>
        <w:tc>
          <w:tcPr/>
          <w:p>
            <w:pPr>
              <w:pStyle w:val="Compact"/>
            </w:pPr>
            <w:r>
              <w:t xml:space="preserve">Flat payroll levies with wage-base limit for Social Security</w:t>
            </w:r>
          </w:p>
        </w:tc>
        <w:tc>
          <w:tcPr/>
          <w:p>
            <w:pPr>
              <w:pStyle w:val="Compact"/>
            </w:pPr>
            <w:r>
              <w:t xml:space="preserve">OASDI 6.2% employee + 6.2% employer up to $184,500 in 2026; 12.4% for self-employment</w:t>
            </w:r>
          </w:p>
        </w:tc>
      </w:tr>
      <w:tr>
        <w:tc>
          <w:tcPr/>
          <w:p>
            <w:pPr>
              <w:pStyle w:val="Compact"/>
            </w:pPr>
            <w:r>
              <w:t xml:space="preserve">Corporate income tax</w:t>
            </w:r>
          </w:p>
        </w:tc>
        <w:tc>
          <w:tcPr/>
          <w:p>
            <w:pPr>
              <w:pStyle w:val="Compact"/>
            </w:pPr>
            <w:r>
              <w:t xml:space="preserve">Broad corporate income tax</w:t>
            </w:r>
          </w:p>
        </w:tc>
        <w:tc>
          <w:tcPr/>
          <w:p>
            <w:pPr>
              <w:pStyle w:val="Compact"/>
            </w:pPr>
            <w:r>
              <w:t xml:space="preserve">21% statutory rate</w:t>
            </w:r>
          </w:p>
        </w:tc>
      </w:tr>
      <w:tr>
        <w:tc>
          <w:tcPr/>
          <w:p>
            <w:pPr>
              <w:pStyle w:val="Compact"/>
            </w:pPr>
            <w:r>
              <w:t xml:space="preserve">Corporate AMT</w:t>
            </w:r>
          </w:p>
        </w:tc>
        <w:tc>
          <w:tcPr/>
          <w:p>
            <w:pPr>
              <w:pStyle w:val="Compact"/>
            </w:pPr>
            <w:r>
              <w:t xml:space="preserve">Backstop for very large corporations</w:t>
            </w:r>
          </w:p>
        </w:tc>
        <w:tc>
          <w:tcPr/>
          <w:p>
            <w:pPr>
              <w:pStyle w:val="Compact"/>
            </w:pPr>
            <w:r>
              <w:t xml:space="preserve">15% on adjusted financial statement income for firms above statutory threshold</w:t>
            </w:r>
          </w:p>
        </w:tc>
      </w:tr>
      <w:tr>
        <w:tc>
          <w:tcPr/>
          <w:p>
            <w:pPr>
              <w:pStyle w:val="Compact"/>
            </w:pPr>
            <w:r>
              <w:t xml:space="preserve">Estate tax</w:t>
            </w:r>
          </w:p>
        </w:tc>
        <w:tc>
          <w:tcPr/>
          <w:p>
            <w:pPr>
              <w:pStyle w:val="Compact"/>
            </w:pPr>
            <w:r>
              <w:t xml:space="preserve">Unified estate/gift system</w:t>
            </w:r>
          </w:p>
        </w:tc>
        <w:tc>
          <w:tcPr/>
          <w:p>
            <w:pPr>
              <w:pStyle w:val="Compact"/>
            </w:pPr>
            <w:r>
              <w:t xml:space="preserve">2026 basic exclusion amount $15.0 million</w:t>
            </w:r>
          </w:p>
        </w:tc>
      </w:tr>
      <w:tr>
        <w:tc>
          <w:tcPr/>
          <w:p>
            <w:pPr>
              <w:pStyle w:val="Compact"/>
            </w:pPr>
            <w:r>
              <w:t xml:space="preserve">Excise taxes</w:t>
            </w:r>
          </w:p>
        </w:tc>
        <w:tc>
          <w:tcPr/>
          <w:p>
            <w:pPr>
              <w:pStyle w:val="Compact"/>
            </w:pPr>
            <w:r>
              <w:t xml:space="preserve">Product/activity-specific</w:t>
            </w:r>
          </w:p>
        </w:tc>
        <w:tc>
          <w:tcPr/>
          <w:p>
            <w:pPr>
              <w:pStyle w:val="Compact"/>
            </w:pPr>
            <w:r>
              <w:t xml:space="preserve">Commodity-specific statutory rates; not a unified bracket schedule</w:t>
            </w:r>
          </w:p>
        </w:tc>
      </w:tr>
      <w:tr>
        <w:tc>
          <w:tcPr/>
          <w:p>
            <w:pPr>
              <w:pStyle w:val="Compact"/>
            </w:pPr>
            <w:r>
              <w:t xml:space="preserve">Tariffs</w:t>
            </w:r>
          </w:p>
        </w:tc>
        <w:tc>
          <w:tcPr/>
          <w:p>
            <w:pPr>
              <w:pStyle w:val="Compact"/>
            </w:pPr>
            <w:r>
              <w:t xml:space="preserve">Product- and authority-specific import duties</w:t>
            </w:r>
          </w:p>
        </w:tc>
        <w:tc>
          <w:tcPr/>
          <w:p>
            <w:pPr>
              <w:pStyle w:val="Compact"/>
            </w:pPr>
            <w:r>
              <w:t xml:space="preserve">As of Apr. 27, 2026, temporary 10% section 122 surcharge on covered imports, layered over HTSUS/other duties where applicable</w:t>
            </w:r>
          </w:p>
        </w:tc>
      </w:tr>
    </w:tbl>
    <w:p>
      <w:pPr>
        <w:pStyle w:val="BodyText"/>
      </w:pPr>
      <w:r>
        <w:rPr>
          <w:b/>
          <w:bCs/>
        </w:rPr>
        <w:t xml:space="preserve">Sources:</w:t>
      </w:r>
      <w:r>
        <w:t xml:space="preserve"> </w:t>
      </w:r>
      <w:r>
        <w:t xml:space="preserve">IRS TY2026 inflation-adjustment release; SSA 2026 wage base; IRS CAMT guidance; White House and USTR tariff actions.</w:t>
      </w:r>
      <w:r>
        <w:t xml:space="preserve"> </w:t>
      </w:r>
      <w:hyperlink r:id="rId21">
        <w:r>
          <w:rPr>
            <w:rStyle w:val="Hyperlink"/>
          </w:rPr>
          <w:t xml:space="preserve">[25]</w:t>
        </w:r>
      </w:hyperlink>
    </w:p>
    <w:bookmarkEnd w:id="34"/>
    <w:bookmarkStart w:id="36" w:name="major-recent-federal-tax-law-changes"/>
    <w:p>
      <w:pPr>
        <w:pStyle w:val="Heading3"/>
      </w:pPr>
      <w:r>
        <w:t xml:space="preserve">Major recent federal tax-law changes</w:t>
      </w:r>
    </w:p>
    <w:p>
      <w:pPr>
        <w:pStyle w:val="FirstParagraph"/>
      </w:pPr>
      <w:r>
        <w:t xml:space="preserve">The federal structure in force today reflects several stacked policy changes rather than one clean redesign. The most important are the 2017 corporate-rate cut, the 2022 IRA business taxes and IRS funding, the 2025 OBBB individual-business changes, and the 2026 tariff reset.</w:t>
      </w:r>
      <w:r>
        <w:t xml:space="preserve"> </w:t>
      </w:r>
      <w:hyperlink r:id="rId35">
        <w:r>
          <w:rPr>
            <w:rStyle w:val="Hyperlink"/>
          </w:rPr>
          <w:t xml:space="preserve">[26]</w:t>
        </w:r>
      </w:hyperlink>
    </w:p>
    <w:p>
      <w:pPr>
        <w:pStyle w:val="SourceCode"/>
      </w:pPr>
      <w:r>
        <w:rPr>
          <w:rStyle w:val="VerbatimChar"/>
        </w:rPr>
        <w:t xml:space="preserve">flowchart LR</w:t>
      </w:r>
      <w:r>
        <w:br/>
      </w:r>
      <w:r>
        <w:rPr>
          <w:rStyle w:val="VerbatimChar"/>
        </w:rPr>
        <w:t xml:space="preserve">    A[2017 TCJA\nCorporate rate cut to 21%\nTemporary individual changes] --&gt; B[2022 IRA\n15% CAMT\n1% stock-buyback excise\nLarge IRS funding]</w:t>
      </w:r>
      <w:r>
        <w:br/>
      </w:r>
      <w:r>
        <w:rPr>
          <w:rStyle w:val="VerbatimChar"/>
        </w:rPr>
        <w:t xml:space="preserve">    B --&gt; C[2023-2025 funding rescissions\nPart of IRA IRS funding reduced]</w:t>
      </w:r>
      <w:r>
        <w:br/>
      </w:r>
      <w:r>
        <w:rPr>
          <w:rStyle w:val="VerbatimChar"/>
        </w:rPr>
        <w:t xml:space="preserve">    C --&gt; D[2025 OBBB\nIRS says it significantly changed federal taxes,\ncredits, and deductions;\n2026 seven-rate individual schedule retained]</w:t>
      </w:r>
      <w:r>
        <w:br/>
      </w:r>
      <w:r>
        <w:rPr>
          <w:rStyle w:val="VerbatimChar"/>
        </w:rPr>
        <w:t xml:space="preserve">    D --&gt; E[2026 tariff shift\nWhite House imposes temporary 10%\nSection 122 import surcharge\nstarting Feb. 24, 2026]</w:t>
      </w:r>
    </w:p>
    <w:bookmarkEnd w:id="36"/>
    <w:bookmarkEnd w:id="37"/>
    <w:bookmarkStart w:id="43" w:name="X21d463cae0eb01d938b80fd61aa7c86716dc4cc"/>
    <w:p>
      <w:pPr>
        <w:pStyle w:val="Heading2"/>
      </w:pPr>
      <w:r>
        <w:t xml:space="preserve">Federal revenue, tax expenditures, and distribution</w:t>
      </w:r>
    </w:p>
    <w:p>
      <w:pPr>
        <w:pStyle w:val="FirstParagraph"/>
      </w:pPr>
      <w:r>
        <w:t xml:space="preserve">The latest full-year federal receipts data show how concentrated the federal system is in a few taxes. In</w:t>
      </w:r>
      <w:r>
        <w:t xml:space="preserve"> </w:t>
      </w:r>
      <w:r>
        <w:rPr>
          <w:b/>
          <w:bCs/>
        </w:rPr>
        <w:t xml:space="preserve">FY2025</w:t>
      </w:r>
      <w:r>
        <w:t xml:space="preserve">, total receipts were about</w:t>
      </w:r>
      <w:r>
        <w:t xml:space="preserve"> </w:t>
      </w:r>
      <w:r>
        <w:rPr>
          <w:b/>
          <w:bCs/>
        </w:rPr>
        <w:t xml:space="preserve">$5.291 trillion</w:t>
      </w:r>
      <w:r>
        <w:t xml:space="preserve">. Of that,</w:t>
      </w:r>
      <w:r>
        <w:t xml:space="preserve"> </w:t>
      </w:r>
      <w:r>
        <w:rPr>
          <w:b/>
          <w:bCs/>
        </w:rPr>
        <w:t xml:space="preserve">individual income taxes</w:t>
      </w:r>
      <w:r>
        <w:t xml:space="preserve"> </w:t>
      </w:r>
      <w:r>
        <w:t xml:space="preserve">raised</w:t>
      </w:r>
      <w:r>
        <w:t xml:space="preserve"> </w:t>
      </w:r>
      <w:r>
        <w:rPr>
          <w:b/>
          <w:bCs/>
        </w:rPr>
        <w:t xml:space="preserve">$2.684 trillion</w:t>
      </w:r>
      <w:r>
        <w:t xml:space="preserve">,</w:t>
      </w:r>
      <w:r>
        <w:t xml:space="preserve"> </w:t>
      </w:r>
      <w:r>
        <w:rPr>
          <w:b/>
          <w:bCs/>
        </w:rPr>
        <w:t xml:space="preserve">payroll taxes</w:t>
      </w:r>
      <w:r>
        <w:t xml:space="preserve"> </w:t>
      </w:r>
      <w:r>
        <w:rPr>
          <w:b/>
          <w:bCs/>
        </w:rPr>
        <w:t xml:space="preserve">$1.766 trillion</w:t>
      </w:r>
      <w:r>
        <w:t xml:space="preserve">,</w:t>
      </w:r>
      <w:r>
        <w:t xml:space="preserve"> </w:t>
      </w:r>
      <w:r>
        <w:rPr>
          <w:b/>
          <w:bCs/>
        </w:rPr>
        <w:t xml:space="preserve">corporate income taxes</w:t>
      </w:r>
      <w:r>
        <w:t xml:space="preserve"> </w:t>
      </w:r>
      <w:r>
        <w:rPr>
          <w:b/>
          <w:bCs/>
        </w:rPr>
        <w:t xml:space="preserve">$456 billion</w:t>
      </w:r>
      <w:r>
        <w:t xml:space="preserve">,</w:t>
      </w:r>
      <w:r>
        <w:t xml:space="preserve"> </w:t>
      </w:r>
      <w:r>
        <w:rPr>
          <w:b/>
          <w:bCs/>
        </w:rPr>
        <w:t xml:space="preserve">customs duties</w:t>
      </w:r>
      <w:r>
        <w:t xml:space="preserve"> </w:t>
      </w:r>
      <w:r>
        <w:rPr>
          <w:b/>
          <w:bCs/>
        </w:rPr>
        <w:t xml:space="preserve">$194 billion</w:t>
      </w:r>
      <w:r>
        <w:t xml:space="preserve">,</w:t>
      </w:r>
      <w:r>
        <w:t xml:space="preserve"> </w:t>
      </w:r>
      <w:r>
        <w:rPr>
          <w:b/>
          <w:bCs/>
        </w:rPr>
        <w:t xml:space="preserve">excise taxes</w:t>
      </w:r>
      <w:r>
        <w:t xml:space="preserve"> </w:t>
      </w:r>
      <w:r>
        <w:rPr>
          <w:b/>
          <w:bCs/>
        </w:rPr>
        <w:t xml:space="preserve">$105 billion</w:t>
      </w:r>
      <w:r>
        <w:t xml:space="preserve">, and</w:t>
      </w:r>
      <w:r>
        <w:t xml:space="preserve"> </w:t>
      </w:r>
      <w:r>
        <w:rPr>
          <w:b/>
          <w:bCs/>
        </w:rPr>
        <w:t xml:space="preserve">estate and gift taxes</w:t>
      </w:r>
      <w:r>
        <w:t xml:space="preserve"> </w:t>
      </w:r>
      <w:r>
        <w:rPr>
          <w:b/>
          <w:bCs/>
        </w:rPr>
        <w:t xml:space="preserve">$31 billion</w:t>
      </w:r>
      <w:r>
        <w:t xml:space="preserve">. Customs duties were the fastest-growing line item, up</w:t>
      </w:r>
      <w:r>
        <w:t xml:space="preserve"> </w:t>
      </w:r>
      <w:r>
        <w:rPr>
          <w:b/>
          <w:bCs/>
        </w:rPr>
        <w:t xml:space="preserve">$111 billion</w:t>
      </w:r>
      <w:r>
        <w:t xml:space="preserve"> </w:t>
      </w:r>
      <w:r>
        <w:t xml:space="preserve">year over year.</w:t>
      </w:r>
      <w:r>
        <w:t xml:space="preserve"> </w:t>
      </w:r>
      <w:hyperlink r:id="rId22">
        <w:r>
          <w:rPr>
            <w:rStyle w:val="Hyperlink"/>
          </w:rPr>
          <w:t xml:space="preserve">[3]</w:t>
        </w:r>
      </w:hyperlink>
    </w:p>
    <w:bookmarkStart w:id="38" w:name="federal-receipts-by-type"/>
    <w:p>
      <w:pPr>
        <w:pStyle w:val="Heading3"/>
      </w:pPr>
      <w:r>
        <w:t xml:space="preserve">Federal receipts by 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FY2025 federal receipts</w:t>
            </w:r>
          </w:p>
        </w:tc>
        <w:tc>
          <w:tcPr/>
          <w:p>
            <w:pPr>
              <w:pStyle w:val="Compact"/>
              <w:jc w:val="right"/>
            </w:pPr>
            <w:r>
              <w:t xml:space="preserve">$ billions</w:t>
            </w:r>
          </w:p>
        </w:tc>
        <w:tc>
          <w:tcPr/>
          <w:p>
            <w:pPr>
              <w:pStyle w:val="Compact"/>
              <w:jc w:val="right"/>
            </w:pPr>
            <w:r>
              <w:t xml:space="preserve">Share of receipts</w:t>
            </w:r>
          </w:p>
        </w:tc>
      </w:tr>
      <w:tr>
        <w:tc>
          <w:tcPr/>
          <w:p>
            <w:pPr>
              <w:pStyle w:val="Compact"/>
            </w:pPr>
            <w:r>
              <w:t xml:space="preserve">Individual income taxes</w:t>
            </w:r>
          </w:p>
        </w:tc>
        <w:tc>
          <w:tcPr/>
          <w:p>
            <w:pPr>
              <w:pStyle w:val="Compact"/>
              <w:jc w:val="right"/>
            </w:pPr>
            <w:r>
              <w:t xml:space="preserve">2,684</w:t>
            </w:r>
          </w:p>
        </w:tc>
        <w:tc>
          <w:tcPr/>
          <w:p>
            <w:pPr>
              <w:pStyle w:val="Compact"/>
              <w:jc w:val="right"/>
            </w:pPr>
            <w:r>
              <w:t xml:space="preserve">50.7%</w:t>
            </w:r>
          </w:p>
        </w:tc>
      </w:tr>
      <w:tr>
        <w:tc>
          <w:tcPr/>
          <w:p>
            <w:pPr>
              <w:pStyle w:val="Compact"/>
            </w:pPr>
            <w:r>
              <w:t xml:space="preserve">Payroll taxes</w:t>
            </w:r>
          </w:p>
        </w:tc>
        <w:tc>
          <w:tcPr/>
          <w:p>
            <w:pPr>
              <w:pStyle w:val="Compact"/>
              <w:jc w:val="right"/>
            </w:pPr>
            <w:r>
              <w:t xml:space="preserve">1,766</w:t>
            </w:r>
          </w:p>
        </w:tc>
        <w:tc>
          <w:tcPr/>
          <w:p>
            <w:pPr>
              <w:pStyle w:val="Compact"/>
              <w:jc w:val="right"/>
            </w:pPr>
            <w:r>
              <w:t xml:space="preserve">33.4%</w:t>
            </w:r>
          </w:p>
        </w:tc>
      </w:tr>
      <w:tr>
        <w:tc>
          <w:tcPr/>
          <w:p>
            <w:pPr>
              <w:pStyle w:val="Compact"/>
            </w:pPr>
            <w:r>
              <w:t xml:space="preserve">Corporate income taxes</w:t>
            </w:r>
          </w:p>
        </w:tc>
        <w:tc>
          <w:tcPr/>
          <w:p>
            <w:pPr>
              <w:pStyle w:val="Compact"/>
              <w:jc w:val="right"/>
            </w:pPr>
            <w:r>
              <w:t xml:space="preserve">456</w:t>
            </w:r>
          </w:p>
        </w:tc>
        <w:tc>
          <w:tcPr/>
          <w:p>
            <w:pPr>
              <w:pStyle w:val="Compact"/>
              <w:jc w:val="right"/>
            </w:pPr>
            <w:r>
              <w:t xml:space="preserve">8.6%</w:t>
            </w:r>
          </w:p>
        </w:tc>
      </w:tr>
      <w:tr>
        <w:tc>
          <w:tcPr/>
          <w:p>
            <w:pPr>
              <w:pStyle w:val="Compact"/>
            </w:pPr>
            <w:r>
              <w:t xml:space="preserve">Customs duties</w:t>
            </w:r>
          </w:p>
        </w:tc>
        <w:tc>
          <w:tcPr/>
          <w:p>
            <w:pPr>
              <w:pStyle w:val="Compact"/>
              <w:jc w:val="right"/>
            </w:pPr>
            <w:r>
              <w:t xml:space="preserve">194</w:t>
            </w:r>
          </w:p>
        </w:tc>
        <w:tc>
          <w:tcPr/>
          <w:p>
            <w:pPr>
              <w:pStyle w:val="Compact"/>
              <w:jc w:val="right"/>
            </w:pPr>
            <w:r>
              <w:t xml:space="preserve">3.7%</w:t>
            </w:r>
          </w:p>
        </w:tc>
      </w:tr>
      <w:tr>
        <w:tc>
          <w:tcPr/>
          <w:p>
            <w:pPr>
              <w:pStyle w:val="Compact"/>
            </w:pPr>
            <w:r>
              <w:t xml:space="preserve">Excise taxes</w:t>
            </w:r>
          </w:p>
        </w:tc>
        <w:tc>
          <w:tcPr/>
          <w:p>
            <w:pPr>
              <w:pStyle w:val="Compact"/>
              <w:jc w:val="right"/>
            </w:pPr>
            <w:r>
              <w:t xml:space="preserve">105</w:t>
            </w:r>
          </w:p>
        </w:tc>
        <w:tc>
          <w:tcPr/>
          <w:p>
            <w:pPr>
              <w:pStyle w:val="Compact"/>
              <w:jc w:val="right"/>
            </w:pPr>
            <w:r>
              <w:t xml:space="preserve">2.0%</w:t>
            </w:r>
          </w:p>
        </w:tc>
      </w:tr>
      <w:tr>
        <w:tc>
          <w:tcPr/>
          <w:p>
            <w:pPr>
              <w:pStyle w:val="Compact"/>
            </w:pPr>
            <w:r>
              <w:t xml:space="preserve">Estate and gift taxes</w:t>
            </w:r>
          </w:p>
        </w:tc>
        <w:tc>
          <w:tcPr/>
          <w:p>
            <w:pPr>
              <w:pStyle w:val="Compact"/>
              <w:jc w:val="right"/>
            </w:pPr>
            <w:r>
              <w:t xml:space="preserve">31</w:t>
            </w:r>
          </w:p>
        </w:tc>
        <w:tc>
          <w:tcPr/>
          <w:p>
            <w:pPr>
              <w:pStyle w:val="Compact"/>
              <w:jc w:val="right"/>
            </w:pPr>
            <w:r>
              <w:t xml:space="preserve">0.6%</w:t>
            </w:r>
          </w:p>
        </w:tc>
      </w:tr>
      <w:tr>
        <w:tc>
          <w:tcPr/>
          <w:p>
            <w:pPr>
              <w:pStyle w:val="Compact"/>
            </w:pPr>
            <w:r>
              <w:t xml:space="preserve">Other receipts</w:t>
            </w:r>
          </w:p>
        </w:tc>
        <w:tc>
          <w:tcPr/>
          <w:p>
            <w:pPr>
              <w:pStyle w:val="Compact"/>
              <w:jc w:val="right"/>
            </w:pPr>
            <w:r>
              <w:t xml:space="preserve">55</w:t>
            </w:r>
          </w:p>
        </w:tc>
        <w:tc>
          <w:tcPr/>
          <w:p>
            <w:pPr>
              <w:pStyle w:val="Compact"/>
              <w:jc w:val="right"/>
            </w:pPr>
            <w:r>
              <w:t xml:space="preserve">1.0%</w:t>
            </w:r>
          </w:p>
        </w:tc>
      </w:tr>
      <w:tr>
        <w:tc>
          <w:tcPr/>
          <w:p>
            <w:pPr>
              <w:pStyle w:val="Compact"/>
            </w:pPr>
            <w:r>
              <w:rPr>
                <w:b/>
                <w:bCs/>
              </w:rPr>
              <w:t xml:space="preserve">Total</w:t>
            </w:r>
          </w:p>
        </w:tc>
        <w:tc>
          <w:tcPr/>
          <w:p>
            <w:pPr>
              <w:pStyle w:val="Compact"/>
              <w:jc w:val="right"/>
            </w:pPr>
            <w:r>
              <w:rPr>
                <w:b/>
                <w:bCs/>
              </w:rPr>
              <w:t xml:space="preserve">5,291</w:t>
            </w:r>
          </w:p>
        </w:tc>
        <w:tc>
          <w:tcPr/>
          <w:p>
            <w:pPr>
              <w:pStyle w:val="Compact"/>
              <w:jc w:val="right"/>
            </w:pPr>
            <w:r>
              <w:rPr>
                <w:b/>
                <w:bCs/>
              </w:rPr>
              <w:t xml:space="preserve">100.0%</w:t>
            </w:r>
          </w:p>
        </w:tc>
      </w:tr>
    </w:tbl>
    <w:p>
      <w:pPr>
        <w:pStyle w:val="BodyText"/>
      </w:pPr>
      <w:r>
        <w:rPr>
          <w:b/>
          <w:bCs/>
        </w:rPr>
        <w:t xml:space="preserve">Source:</w:t>
      </w:r>
      <w:r>
        <w:t xml:space="preserve"> </w:t>
      </w:r>
      <w:r>
        <w:t xml:space="preserve">FY2025 CBO monthly budget review summary of receipts by source.</w:t>
      </w:r>
      <w:r>
        <w:t xml:space="preserve"> </w:t>
      </w:r>
      <w:hyperlink r:id="rId22">
        <w:r>
          <w:rPr>
            <w:rStyle w:val="Hyperlink"/>
          </w:rPr>
          <w:t xml:space="preserve">[3]</w:t>
        </w:r>
      </w:hyperlink>
    </w:p>
    <w:p>
      <w:pPr>
        <w:pStyle w:val="SourceCode"/>
      </w:pPr>
      <w:r>
        <w:rPr>
          <w:rStyle w:val="VerbatimChar"/>
        </w:rPr>
        <w:t xml:space="preserve">pie title Federal receipts composition, FY2025 actual</w:t>
      </w:r>
      <w:r>
        <w:br/>
      </w:r>
      <w:r>
        <w:rPr>
          <w:rStyle w:val="VerbatimChar"/>
        </w:rPr>
        <w:t xml:space="preserve">    "Individual income taxes" : 50.7</w:t>
      </w:r>
      <w:r>
        <w:br/>
      </w:r>
      <w:r>
        <w:rPr>
          <w:rStyle w:val="VerbatimChar"/>
        </w:rPr>
        <w:t xml:space="preserve">    "Payroll taxes" : 33.4</w:t>
      </w:r>
      <w:r>
        <w:br/>
      </w:r>
      <w:r>
        <w:rPr>
          <w:rStyle w:val="VerbatimChar"/>
        </w:rPr>
        <w:t xml:space="preserve">    "Corporate income taxes" : 8.6</w:t>
      </w:r>
      <w:r>
        <w:br/>
      </w:r>
      <w:r>
        <w:rPr>
          <w:rStyle w:val="VerbatimChar"/>
        </w:rPr>
        <w:t xml:space="preserve">    "Customs duties" : 3.7</w:t>
      </w:r>
      <w:r>
        <w:br/>
      </w:r>
      <w:r>
        <w:rPr>
          <w:rStyle w:val="VerbatimChar"/>
        </w:rPr>
        <w:t xml:space="preserve">    "Excise taxes" : 2.0</w:t>
      </w:r>
      <w:r>
        <w:br/>
      </w:r>
      <w:r>
        <w:rPr>
          <w:rStyle w:val="VerbatimChar"/>
        </w:rPr>
        <w:t xml:space="preserve">    "Estate and gift taxes" : 0.6</w:t>
      </w:r>
      <w:r>
        <w:br/>
      </w:r>
      <w:r>
        <w:rPr>
          <w:rStyle w:val="VerbatimChar"/>
        </w:rPr>
        <w:t xml:space="preserve">    "Other" : 1.0</w:t>
      </w:r>
    </w:p>
    <w:p>
      <w:pPr>
        <w:pStyle w:val="FirstParagraph"/>
      </w:pPr>
      <w:r>
        <w:t xml:space="preserve">The equally important analytical point is that the federal government also spends heavily through the tax code. Treasury’s tax-expenditure tables show that the largest federal tax expenditures are not niche preferences but broad structural subsidies embedded in the tax base: exclusions for employer-provided health insurance, retirement savings provisions, and lower rates on capital gains and dividends. Those are functionally comparable to very large spending programs delivered through reduced tax liability rather than through annual appropriations.</w:t>
      </w:r>
      <w:r>
        <w:t xml:space="preserve"> </w:t>
      </w:r>
      <w:hyperlink r:id="rId25">
        <w:r>
          <w:rPr>
            <w:rStyle w:val="Hyperlink"/>
          </w:rPr>
          <w:t xml:space="preserve">[27]</w:t>
        </w:r>
      </w:hyperlink>
    </w:p>
    <w:bookmarkEnd w:id="38"/>
    <w:bookmarkStart w:id="41" w:name="X24631364745cdeb68fdb530fd494f57a120ffbf"/>
    <w:p>
      <w:pPr>
        <w:pStyle w:val="Heading3"/>
      </w:pPr>
      <w:r>
        <w:t xml:space="preserve">Illustrative major federal tax expenditures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FY2026 Treasury estimate</w:t>
            </w:r>
          </w:p>
        </w:tc>
        <w:tc>
          <w:tcPr/>
          <w:p>
            <w:pPr>
              <w:pStyle w:val="Compact"/>
              <w:jc w:val="right"/>
            </w:pPr>
            <w:r>
              <w:t xml:space="preserve">Approx. revenue effect</w:t>
            </w:r>
          </w:p>
        </w:tc>
      </w:tr>
      <w:tr>
        <w:tc>
          <w:tcPr/>
          <w:p>
            <w:pPr>
              <w:pStyle w:val="Compact"/>
            </w:pPr>
            <w:r>
              <w:t xml:space="preserve">Exclusion of employer contributions for medical insurance premiums and medical care</w:t>
            </w:r>
          </w:p>
        </w:tc>
        <w:tc>
          <w:tcPr/>
          <w:p>
            <w:pPr>
              <w:pStyle w:val="Compact"/>
              <w:jc w:val="right"/>
            </w:pPr>
            <w:r>
              <w:t xml:space="preserve">~$296B</w:t>
            </w:r>
          </w:p>
        </w:tc>
      </w:tr>
      <w:tr>
        <w:tc>
          <w:tcPr/>
          <w:p>
            <w:pPr>
              <w:pStyle w:val="Compact"/>
            </w:pPr>
            <w:r>
              <w:t xml:space="preserve">Net exclusion of pension contributions and earnings</w:t>
            </w:r>
          </w:p>
        </w:tc>
        <w:tc>
          <w:tcPr/>
          <w:p>
            <w:pPr>
              <w:pStyle w:val="Compact"/>
              <w:jc w:val="right"/>
            </w:pPr>
            <w:r>
              <w:t xml:space="preserve">~$156B</w:t>
            </w:r>
          </w:p>
        </w:tc>
      </w:tr>
      <w:tr>
        <w:tc>
          <w:tcPr/>
          <w:p>
            <w:pPr>
              <w:pStyle w:val="Compact"/>
            </w:pPr>
            <w:r>
              <w:t xml:space="preserve">Reduced rates on capital gains and dividends</w:t>
            </w:r>
          </w:p>
        </w:tc>
        <w:tc>
          <w:tcPr/>
          <w:p>
            <w:pPr>
              <w:pStyle w:val="Compact"/>
              <w:jc w:val="right"/>
            </w:pPr>
            <w:r>
              <w:t xml:space="preserve">~$135B</w:t>
            </w:r>
          </w:p>
        </w:tc>
      </w:tr>
      <w:tr>
        <w:tc>
          <w:tcPr/>
          <w:p>
            <w:pPr>
              <w:pStyle w:val="Compact"/>
            </w:pPr>
            <w:r>
              <w:t xml:space="preserve">Earned Income Tax Credit</w:t>
            </w:r>
          </w:p>
        </w:tc>
        <w:tc>
          <w:tcPr/>
          <w:p>
            <w:pPr>
              <w:pStyle w:val="Compact"/>
              <w:jc w:val="right"/>
            </w:pPr>
            <w:r>
              <w:t xml:space="preserve">~$69B</w:t>
            </w:r>
          </w:p>
        </w:tc>
      </w:tr>
      <w:tr>
        <w:tc>
          <w:tcPr/>
          <w:p>
            <w:pPr>
              <w:pStyle w:val="Compact"/>
            </w:pPr>
            <w:r>
              <w:t xml:space="preserve">Other large housing- and retirement-related preferences</w:t>
            </w:r>
          </w:p>
        </w:tc>
        <w:tc>
          <w:tcPr/>
          <w:p>
            <w:pPr>
              <w:pStyle w:val="Compact"/>
              <w:jc w:val="right"/>
            </w:pPr>
            <w:r>
              <w:t xml:space="preserve">Tens of billions each</w:t>
            </w:r>
          </w:p>
        </w:tc>
      </w:tr>
    </w:tbl>
    <w:p>
      <w:pPr>
        <w:pStyle w:val="BodyText"/>
      </w:pPr>
      <w:r>
        <w:rPr>
          <w:b/>
          <w:bCs/>
        </w:rPr>
        <w:t xml:space="preserve">Source:</w:t>
      </w:r>
      <w:r>
        <w:t xml:space="preserve"> </w:t>
      </w:r>
      <w:r>
        <w:t xml:space="preserve">Treasury/OMB tax-expenditure tables for the budget cycle containing FY2026 estimates. Figures rounded.</w:t>
      </w:r>
      <w:r>
        <w:t xml:space="preserve"> </w:t>
      </w:r>
      <w:hyperlink r:id="rId25">
        <w:r>
          <w:rPr>
            <w:rStyle w:val="Hyperlink"/>
          </w:rPr>
          <w:t xml:space="preserve">[27]</w:t>
        </w:r>
      </w:hyperlink>
    </w:p>
    <w:p>
      <w:pPr>
        <w:pStyle w:val="BodyText"/>
      </w:pPr>
      <w:r>
        <w:t xml:space="preserve">On distribution, the broad federal system remains progressive, but the story depends on whether one is looking at</w:t>
      </w:r>
      <w:r>
        <w:t xml:space="preserve"> </w:t>
      </w:r>
      <w:r>
        <w:rPr>
          <w:b/>
          <w:bCs/>
        </w:rPr>
        <w:t xml:space="preserve">all federal taxes</w:t>
      </w:r>
      <w:r>
        <w:t xml:space="preserve"> </w:t>
      </w:r>
      <w:r>
        <w:t xml:space="preserve">or at</w:t>
      </w:r>
      <w:r>
        <w:t xml:space="preserve"> </w:t>
      </w:r>
      <w:r>
        <w:rPr>
          <w:b/>
          <w:bCs/>
        </w:rPr>
        <w:t xml:space="preserve">only the individual income tax</w:t>
      </w:r>
      <w:r>
        <w:t xml:space="preserve">. CBO’s latest all-federal distribution release covers</w:t>
      </w:r>
      <w:r>
        <w:t xml:space="preserve"> </w:t>
      </w:r>
      <w:r>
        <w:rPr>
          <w:b/>
          <w:bCs/>
        </w:rPr>
        <w:t xml:space="preserve">2022</w:t>
      </w:r>
      <w:r>
        <w:t xml:space="preserve"> </w:t>
      </w:r>
      <w:r>
        <w:t xml:space="preserve">and shows a strongly progressive pattern in effective tax rates. Published summaries of that release report effective rates of roughly</w:t>
      </w:r>
      <w:r>
        <w:t xml:space="preserve"> </w:t>
      </w:r>
      <w:r>
        <w:rPr>
          <w:b/>
          <w:bCs/>
        </w:rPr>
        <w:t xml:space="preserve">1.4 percent</w:t>
      </w:r>
      <w:r>
        <w:t xml:space="preserve"> </w:t>
      </w:r>
      <w:r>
        <w:t xml:space="preserve">for the bottom quintile,</w:t>
      </w:r>
      <w:r>
        <w:t xml:space="preserve"> </w:t>
      </w:r>
      <w:r>
        <w:rPr>
          <w:b/>
          <w:bCs/>
        </w:rPr>
        <w:t xml:space="preserve">23.2 percent</w:t>
      </w:r>
      <w:r>
        <w:t xml:space="preserve"> </w:t>
      </w:r>
      <w:r>
        <w:t xml:space="preserve">for the top quintile, and</w:t>
      </w:r>
      <w:r>
        <w:t xml:space="preserve"> </w:t>
      </w:r>
      <w:r>
        <w:rPr>
          <w:b/>
          <w:bCs/>
        </w:rPr>
        <w:t xml:space="preserve">31.5 percent</w:t>
      </w:r>
      <w:r>
        <w:t xml:space="preserve"> </w:t>
      </w:r>
      <w:r>
        <w:t xml:space="preserve">for the top 1 percent. CBO also emphasizes that realized capital gains remain highly concentrated near the top of the distribution.</w:t>
      </w:r>
      <w:r>
        <w:t xml:space="preserve"> </w:t>
      </w:r>
      <w:hyperlink r:id="rId39">
        <w:r>
          <w:rPr>
            <w:rStyle w:val="Hyperlink"/>
          </w:rPr>
          <w:t xml:space="preserve">[28]</w:t>
        </w:r>
      </w:hyperlink>
    </w:p>
    <w:p>
      <w:pPr>
        <w:pStyle w:val="BodyText"/>
      </w:pPr>
      <w:r>
        <w:t xml:space="preserve">For</w:t>
      </w:r>
      <w:r>
        <w:t xml:space="preserve"> </w:t>
      </w:r>
      <w:r>
        <w:rPr>
          <w:b/>
          <w:bCs/>
        </w:rPr>
        <w:t xml:space="preserve">individual income tax</w:t>
      </w:r>
      <w:r>
        <w:t xml:space="preserve"> </w:t>
      </w:r>
      <w:r>
        <w:t xml:space="preserve">alone, the latest IRS-based published data are for</w:t>
      </w:r>
      <w:r>
        <w:t xml:space="preserve"> </w:t>
      </w:r>
      <w:r>
        <w:rPr>
          <w:b/>
          <w:bCs/>
        </w:rPr>
        <w:t xml:space="preserve">tax year 2023</w:t>
      </w:r>
      <w:r>
        <w:t xml:space="preserve">. Those data show the top 1 percent continued to bear a disproportionately large share of the federal individual income tax: a recent summary of the IRS data reports that the top 1 percent earned</w:t>
      </w:r>
      <w:r>
        <w:t xml:space="preserve"> </w:t>
      </w:r>
      <w:r>
        <w:rPr>
          <w:b/>
          <w:bCs/>
        </w:rPr>
        <w:t xml:space="preserve">20.6 percent</w:t>
      </w:r>
      <w:r>
        <w:t xml:space="preserve"> </w:t>
      </w:r>
      <w:r>
        <w:t xml:space="preserve">of AGI and paid</w:t>
      </w:r>
      <w:r>
        <w:t xml:space="preserve"> </w:t>
      </w:r>
      <w:r>
        <w:rPr>
          <w:b/>
          <w:bCs/>
        </w:rPr>
        <w:t xml:space="preserve">40.4 percent</w:t>
      </w:r>
      <w:r>
        <w:t xml:space="preserve"> </w:t>
      </w:r>
      <w:r>
        <w:t xml:space="preserve">of federal individual income taxes in 2023. That is narrower than all-federal incidence, but it is the latest percentile-based federal income-tax snapshot available from IRS data.</w:t>
      </w:r>
      <w:r>
        <w:t xml:space="preserve"> </w:t>
      </w:r>
      <w:hyperlink r:id="rId40">
        <w:r>
          <w:rPr>
            <w:rStyle w:val="Hyperlink"/>
          </w:rPr>
          <w:t xml:space="preserve">[29]</w:t>
        </w:r>
      </w:hyperlink>
    </w:p>
    <w:bookmarkEnd w:id="41"/>
    <w:bookmarkStart w:id="42" w:name="distributional-incidence-summary"/>
    <w:p>
      <w:pPr>
        <w:pStyle w:val="Heading3"/>
      </w:pPr>
      <w:r>
        <w:t xml:space="preserve">Distributional-incidence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Latest official / published year</w:t>
            </w:r>
          </w:p>
        </w:tc>
        <w:tc>
          <w:tcPr/>
          <w:p>
            <w:pPr>
              <w:pStyle w:val="Compact"/>
            </w:pPr>
            <w:r>
              <w:t xml:space="preserve">Result</w:t>
            </w:r>
          </w:p>
        </w:tc>
      </w:tr>
      <w:tr>
        <w:tc>
          <w:tcPr/>
          <w:p>
            <w:pPr>
              <w:pStyle w:val="Compact"/>
            </w:pPr>
            <w:r>
              <w:t xml:space="preserve">All federal taxes, bottom quintile effective rate</w:t>
            </w:r>
          </w:p>
        </w:tc>
        <w:tc>
          <w:tcPr/>
          <w:p>
            <w:pPr>
              <w:pStyle w:val="Compact"/>
            </w:pPr>
            <w:r>
              <w:t xml:space="preserve">2022</w:t>
            </w:r>
          </w:p>
        </w:tc>
        <w:tc>
          <w:tcPr/>
          <w:p>
            <w:pPr>
              <w:pStyle w:val="Compact"/>
            </w:pPr>
            <w:r>
              <w:t xml:space="preserve">~1.4%</w:t>
            </w:r>
          </w:p>
        </w:tc>
      </w:tr>
      <w:tr>
        <w:tc>
          <w:tcPr/>
          <w:p>
            <w:pPr>
              <w:pStyle w:val="Compact"/>
            </w:pPr>
            <w:r>
              <w:t xml:space="preserve">All federal taxes, top quintile effective rate</w:t>
            </w:r>
          </w:p>
        </w:tc>
        <w:tc>
          <w:tcPr/>
          <w:p>
            <w:pPr>
              <w:pStyle w:val="Compact"/>
            </w:pPr>
            <w:r>
              <w:t xml:space="preserve">2022</w:t>
            </w:r>
          </w:p>
        </w:tc>
        <w:tc>
          <w:tcPr/>
          <w:p>
            <w:pPr>
              <w:pStyle w:val="Compact"/>
            </w:pPr>
            <w:r>
              <w:t xml:space="preserve">~23.2%</w:t>
            </w:r>
          </w:p>
        </w:tc>
      </w:tr>
      <w:tr>
        <w:tc>
          <w:tcPr/>
          <w:p>
            <w:pPr>
              <w:pStyle w:val="Compact"/>
            </w:pPr>
            <w:r>
              <w:t xml:space="preserve">All federal taxes, top 1% effective rate</w:t>
            </w:r>
          </w:p>
        </w:tc>
        <w:tc>
          <w:tcPr/>
          <w:p>
            <w:pPr>
              <w:pStyle w:val="Compact"/>
            </w:pPr>
            <w:r>
              <w:t xml:space="preserve">2022</w:t>
            </w:r>
          </w:p>
        </w:tc>
        <w:tc>
          <w:tcPr/>
          <w:p>
            <w:pPr>
              <w:pStyle w:val="Compact"/>
            </w:pPr>
            <w:r>
              <w:t xml:space="preserve">~31.5%</w:t>
            </w:r>
          </w:p>
        </w:tc>
      </w:tr>
      <w:tr>
        <w:tc>
          <w:tcPr/>
          <w:p>
            <w:pPr>
              <w:pStyle w:val="Compact"/>
            </w:pPr>
            <w:r>
              <w:t xml:space="preserve">Individual income tax: top 1% AGI share</w:t>
            </w:r>
          </w:p>
        </w:tc>
        <w:tc>
          <w:tcPr/>
          <w:p>
            <w:pPr>
              <w:pStyle w:val="Compact"/>
            </w:pPr>
            <w:r>
              <w:t xml:space="preserve">2023</w:t>
            </w:r>
          </w:p>
        </w:tc>
        <w:tc>
          <w:tcPr/>
          <w:p>
            <w:pPr>
              <w:pStyle w:val="Compact"/>
            </w:pPr>
            <w:r>
              <w:t xml:space="preserve">20.6%</w:t>
            </w:r>
          </w:p>
        </w:tc>
      </w:tr>
      <w:tr>
        <w:tc>
          <w:tcPr/>
          <w:p>
            <w:pPr>
              <w:pStyle w:val="Compact"/>
            </w:pPr>
            <w:r>
              <w:t xml:space="preserve">Individual income tax: top 1% share of tax paid</w:t>
            </w:r>
          </w:p>
        </w:tc>
        <w:tc>
          <w:tcPr/>
          <w:p>
            <w:pPr>
              <w:pStyle w:val="Compact"/>
            </w:pPr>
            <w:r>
              <w:t xml:space="preserve">2023</w:t>
            </w:r>
          </w:p>
        </w:tc>
        <w:tc>
          <w:tcPr/>
          <w:p>
            <w:pPr>
              <w:pStyle w:val="Compact"/>
            </w:pPr>
            <w:r>
              <w:t xml:space="preserve">40.4%</w:t>
            </w:r>
          </w:p>
        </w:tc>
      </w:tr>
    </w:tbl>
    <w:p>
      <w:pPr>
        <w:pStyle w:val="BodyText"/>
      </w:pPr>
      <w:r>
        <w:rPr>
          <w:b/>
          <w:bCs/>
        </w:rPr>
        <w:t xml:space="preserve">Sources:</w:t>
      </w:r>
      <w:r>
        <w:t xml:space="preserve"> </w:t>
      </w:r>
      <w:r>
        <w:t xml:space="preserve">CBO 2022 distribution release and IRS-based published summary for TY2023.</w:t>
      </w:r>
      <w:r>
        <w:t xml:space="preserve"> </w:t>
      </w:r>
      <w:hyperlink r:id="rId39">
        <w:r>
          <w:rPr>
            <w:rStyle w:val="Hyperlink"/>
          </w:rPr>
          <w:t xml:space="preserve">[30]</w:t>
        </w:r>
      </w:hyperlink>
    </w:p>
    <w:bookmarkEnd w:id="42"/>
    <w:bookmarkEnd w:id="43"/>
    <w:bookmarkStart w:id="46" w:name="compliance-and-enforcement"/>
    <w:p>
      <w:pPr>
        <w:pStyle w:val="Heading2"/>
      </w:pPr>
      <w:r>
        <w:t xml:space="preserve">Compliance and enforcement</w:t>
      </w:r>
    </w:p>
    <w:p>
      <w:pPr>
        <w:pStyle w:val="FirstParagraph"/>
      </w:pPr>
      <w:r>
        <w:t xml:space="preserve">The federal revenue system is materially constrained by noncompliance. The IRS’s official tax-gap page reports an average</w:t>
      </w:r>
      <w:r>
        <w:t xml:space="preserve"> </w:t>
      </w:r>
      <w:r>
        <w:rPr>
          <w:b/>
          <w:bCs/>
        </w:rPr>
        <w:t xml:space="preserve">gross tax gap of $496 billion</w:t>
      </w:r>
      <w:r>
        <w:t xml:space="preserve"> </w:t>
      </w:r>
      <w:r>
        <w:t xml:space="preserve">for</w:t>
      </w:r>
      <w:r>
        <w:t xml:space="preserve"> </w:t>
      </w:r>
      <w:r>
        <w:rPr>
          <w:b/>
          <w:bCs/>
        </w:rPr>
        <w:t xml:space="preserve">tax years 2014–2016</w:t>
      </w:r>
      <w:r>
        <w:t xml:space="preserve"> </w:t>
      </w:r>
      <w:r>
        <w:t xml:space="preserve">and a projected average</w:t>
      </w:r>
      <w:r>
        <w:t xml:space="preserve"> </w:t>
      </w:r>
      <w:r>
        <w:rPr>
          <w:b/>
          <w:bCs/>
        </w:rPr>
        <w:t xml:space="preserve">gross tax gap of $540 billion</w:t>
      </w:r>
      <w:r>
        <w:t xml:space="preserve"> </w:t>
      </w:r>
      <w:r>
        <w:t xml:space="preserve">for</w:t>
      </w:r>
      <w:r>
        <w:t xml:space="preserve"> </w:t>
      </w:r>
      <w:r>
        <w:rPr>
          <w:b/>
          <w:bCs/>
        </w:rPr>
        <w:t xml:space="preserve">2017–2019</w:t>
      </w:r>
      <w:r>
        <w:t xml:space="preserve">. After late payments and enforcement, the projected</w:t>
      </w:r>
      <w:r>
        <w:t xml:space="preserve"> </w:t>
      </w:r>
      <w:r>
        <w:rPr>
          <w:b/>
          <w:bCs/>
        </w:rPr>
        <w:t xml:space="preserve">net tax gap</w:t>
      </w:r>
      <w:r>
        <w:t xml:space="preserve"> </w:t>
      </w:r>
      <w:r>
        <w:t xml:space="preserve">for 2017–2019 is</w:t>
      </w:r>
      <w:r>
        <w:t xml:space="preserve"> </w:t>
      </w:r>
      <w:r>
        <w:rPr>
          <w:b/>
          <w:bCs/>
        </w:rPr>
        <w:t xml:space="preserve">$470 billion</w:t>
      </w:r>
      <w:r>
        <w:t xml:space="preserve">. The IRS estimates that about</w:t>
      </w:r>
      <w:r>
        <w:t xml:space="preserve"> </w:t>
      </w:r>
      <w:r>
        <w:rPr>
          <w:b/>
          <w:bCs/>
        </w:rPr>
        <w:t xml:space="preserve">85.1 percent</w:t>
      </w:r>
      <w:r>
        <w:t xml:space="preserve"> </w:t>
      </w:r>
      <w:r>
        <w:t xml:space="preserve">of taxes are paid voluntarily and on time, rising to about</w:t>
      </w:r>
      <w:r>
        <w:t xml:space="preserve"> </w:t>
      </w:r>
      <w:r>
        <w:rPr>
          <w:b/>
          <w:bCs/>
        </w:rPr>
        <w:t xml:space="preserve">87 percent</w:t>
      </w:r>
      <w:r>
        <w:t xml:space="preserve"> </w:t>
      </w:r>
      <w:r>
        <w:t xml:space="preserve">after enforcement and late payments are accounted for.</w:t>
      </w:r>
      <w:r>
        <w:t xml:space="preserve"> </w:t>
      </w:r>
      <w:hyperlink r:id="rId26">
        <w:r>
          <w:rPr>
            <w:rStyle w:val="Hyperlink"/>
          </w:rPr>
          <w:t xml:space="preserve">[31]</w:t>
        </w:r>
      </w:hyperlink>
    </w:p>
    <w:p>
      <w:pPr>
        <w:pStyle w:val="BodyText"/>
      </w:pPr>
      <w:r>
        <w:t xml:space="preserve">The composition of the tax gap is also telling. For 2017–2019 projections, the IRS attributes the largest component to</w:t>
      </w:r>
      <w:r>
        <w:t xml:space="preserve"> </w:t>
      </w:r>
      <w:r>
        <w:rPr>
          <w:b/>
          <w:bCs/>
        </w:rPr>
        <w:t xml:space="preserve">underreporting</w:t>
      </w:r>
      <w:r>
        <w:t xml:space="preserve"> </w:t>
      </w:r>
      <w:r>
        <w:t xml:space="preserve">(</w:t>
      </w:r>
      <w:r>
        <w:rPr>
          <w:b/>
          <w:bCs/>
        </w:rPr>
        <w:t xml:space="preserve">$433 billion</w:t>
      </w:r>
      <w:r>
        <w:t xml:space="preserve">), followed by</w:t>
      </w:r>
      <w:r>
        <w:t xml:space="preserve"> </w:t>
      </w:r>
      <w:r>
        <w:rPr>
          <w:b/>
          <w:bCs/>
        </w:rPr>
        <w:t xml:space="preserve">underpayment</w:t>
      </w:r>
      <w:r>
        <w:t xml:space="preserve"> </w:t>
      </w:r>
      <w:r>
        <w:t xml:space="preserve">(</w:t>
      </w:r>
      <w:r>
        <w:rPr>
          <w:b/>
          <w:bCs/>
        </w:rPr>
        <w:t xml:space="preserve">$66 billion</w:t>
      </w:r>
      <w:r>
        <w:t xml:space="preserve">) and</w:t>
      </w:r>
      <w:r>
        <w:t xml:space="preserve"> </w:t>
      </w:r>
      <w:r>
        <w:rPr>
          <w:b/>
          <w:bCs/>
        </w:rPr>
        <w:t xml:space="preserve">nonfiling</w:t>
      </w:r>
      <w:r>
        <w:t xml:space="preserve"> </w:t>
      </w:r>
      <w:r>
        <w:t xml:space="preserve">(</w:t>
      </w:r>
      <w:r>
        <w:rPr>
          <w:b/>
          <w:bCs/>
        </w:rPr>
        <w:t xml:space="preserve">$41 billion</w:t>
      </w:r>
      <w:r>
        <w:t xml:space="preserve">). That is analytically important because it suggests the central compliance problem is not simply collections on known liabilities; it is incomplete or inaccurate reporting, especially where third-party information reporting and withholding are weak.</w:t>
      </w:r>
      <w:r>
        <w:t xml:space="preserve"> </w:t>
      </w:r>
      <w:hyperlink r:id="rId26">
        <w:r>
          <w:rPr>
            <w:rStyle w:val="Hyperlink"/>
          </w:rPr>
          <w:t xml:space="preserve">[31]</w:t>
        </w:r>
      </w:hyperlink>
    </w:p>
    <w:p>
      <w:pPr>
        <w:pStyle w:val="BodyText"/>
      </w:pPr>
      <w:r>
        <w:t xml:space="preserve">Operationally, the IRS still examines only a small share of returns, but examination rates rise sharply for the highest-income taxpayers. On the most recent out-of-statute year shown in the IRS Data Book tables, the exam coverage rate for individual taxpayers reporting</w:t>
      </w:r>
      <w:r>
        <w:t xml:space="preserve"> </w:t>
      </w:r>
      <w:r>
        <w:rPr>
          <w:b/>
          <w:bCs/>
        </w:rPr>
        <w:t xml:space="preserve">total positive income above $10 million</w:t>
      </w:r>
      <w:r>
        <w:t xml:space="preserve"> </w:t>
      </w:r>
      <w:r>
        <w:t xml:space="preserve">was</w:t>
      </w:r>
      <w:r>
        <w:t xml:space="preserve"> </w:t>
      </w:r>
      <w:r>
        <w:rPr>
          <w:b/>
          <w:bCs/>
        </w:rPr>
        <w:t xml:space="preserve">11.0 percent</w:t>
      </w:r>
      <w:r>
        <w:t xml:space="preserve">; for</w:t>
      </w:r>
      <w:r>
        <w:t xml:space="preserve"> </w:t>
      </w:r>
      <w:r>
        <w:rPr>
          <w:b/>
          <w:bCs/>
        </w:rPr>
        <w:t xml:space="preserve">$5 million to $10 million</w:t>
      </w:r>
      <w:r>
        <w:t xml:space="preserve"> </w:t>
      </w:r>
      <w:r>
        <w:t xml:space="preserve">it was</w:t>
      </w:r>
      <w:r>
        <w:t xml:space="preserve"> </w:t>
      </w:r>
      <w:r>
        <w:rPr>
          <w:b/>
          <w:bCs/>
        </w:rPr>
        <w:t xml:space="preserve">3.1 percent</w:t>
      </w:r>
      <w:r>
        <w:t xml:space="preserve">; and for</w:t>
      </w:r>
      <w:r>
        <w:t xml:space="preserve"> </w:t>
      </w:r>
      <w:r>
        <w:rPr>
          <w:b/>
          <w:bCs/>
        </w:rPr>
        <w:t xml:space="preserve">$1 million to $5 million</w:t>
      </w:r>
      <w:r>
        <w:t xml:space="preserve"> </w:t>
      </w:r>
      <w:r>
        <w:t xml:space="preserve">it was</w:t>
      </w:r>
      <w:r>
        <w:t xml:space="preserve"> </w:t>
      </w:r>
      <w:r>
        <w:rPr>
          <w:b/>
          <w:bCs/>
        </w:rPr>
        <w:t xml:space="preserve">1.6 percent</w:t>
      </w:r>
      <w:r>
        <w:t xml:space="preserve">. In</w:t>
      </w:r>
      <w:r>
        <w:t xml:space="preserve"> </w:t>
      </w:r>
      <w:r>
        <w:rPr>
          <w:b/>
          <w:bCs/>
        </w:rPr>
        <w:t xml:space="preserve">FY2024</w:t>
      </w:r>
      <w:r>
        <w:t xml:space="preserve">, the IRS closed</w:t>
      </w:r>
      <w:r>
        <w:t xml:space="preserve"> </w:t>
      </w:r>
      <w:r>
        <w:rPr>
          <w:b/>
          <w:bCs/>
        </w:rPr>
        <w:t xml:space="preserve">505,514</w:t>
      </w:r>
      <w:r>
        <w:t xml:space="preserve"> </w:t>
      </w:r>
      <w:r>
        <w:t xml:space="preserve">audits and recommended over</w:t>
      </w:r>
      <w:r>
        <w:t xml:space="preserve"> </w:t>
      </w:r>
      <w:r>
        <w:rPr>
          <w:b/>
          <w:bCs/>
        </w:rPr>
        <w:t xml:space="preserve">$29.0 billion</w:t>
      </w:r>
      <w:r>
        <w:t xml:space="preserve"> </w:t>
      </w:r>
      <w:r>
        <w:t xml:space="preserve">in additional tax.</w:t>
      </w:r>
      <w:r>
        <w:t xml:space="preserve"> </w:t>
      </w:r>
      <w:hyperlink r:id="rId44">
        <w:r>
          <w:rPr>
            <w:rStyle w:val="Hyperlink"/>
          </w:rPr>
          <w:t xml:space="preserve">[32]</w:t>
        </w:r>
      </w:hyperlink>
    </w:p>
    <w:p>
      <w:pPr>
        <w:pStyle w:val="BodyText"/>
      </w:pPr>
      <w:r>
        <w:t xml:space="preserve">Enforcement capacity remains in flux because the post-IRA funding path has changed meaningfully. The IRS FY2026 budget request states that it seeks</w:t>
      </w:r>
      <w:r>
        <w:t xml:space="preserve"> </w:t>
      </w:r>
      <w:r>
        <w:rPr>
          <w:b/>
          <w:bCs/>
        </w:rPr>
        <w:t xml:space="preserve">$9.8 billion</w:t>
      </w:r>
      <w:r>
        <w:t xml:space="preserve"> </w:t>
      </w:r>
      <w:r>
        <w:t xml:space="preserve">in annual appropriations, down from the FY2025 enacted level, and also proposes to</w:t>
      </w:r>
      <w:r>
        <w:t xml:space="preserve"> </w:t>
      </w:r>
      <w:r>
        <w:rPr>
          <w:b/>
          <w:bCs/>
        </w:rPr>
        <w:t xml:space="preserve">rescind $16.5 billion</w:t>
      </w:r>
      <w:r>
        <w:t xml:space="preserve"> </w:t>
      </w:r>
      <w:r>
        <w:t xml:space="preserve">in unobligated IRA balances. IRS budget documents also note earlier rescissions under the</w:t>
      </w:r>
      <w:r>
        <w:t xml:space="preserve"> </w:t>
      </w:r>
      <w:r>
        <w:rPr>
          <w:b/>
          <w:bCs/>
        </w:rPr>
        <w:t xml:space="preserve">Fiscal Responsibility Act of 2023</w:t>
      </w:r>
      <w:r>
        <w:t xml:space="preserve"> </w:t>
      </w:r>
      <w:r>
        <w:t xml:space="preserve">and subsequent appropriations laws. The result is that the enforcement and modernization agenda remains operationally active but fiscally less secure than the original 2022 plan envisioned.</w:t>
      </w:r>
      <w:r>
        <w:t xml:space="preserve"> </w:t>
      </w:r>
      <w:hyperlink r:id="rId45">
        <w:r>
          <w:rPr>
            <w:rStyle w:val="Hyperlink"/>
          </w:rPr>
          <w:t xml:space="preserve">[33]</w:t>
        </w:r>
      </w:hyperlink>
    </w:p>
    <w:bookmarkEnd w:id="46"/>
    <w:bookmarkStart w:id="51" w:name="state-and-local-taxes-nationally"/>
    <w:p>
      <w:pPr>
        <w:pStyle w:val="Heading2"/>
      </w:pPr>
      <w:r>
        <w:t xml:space="preserve">State and local taxes nationally</w:t>
      </w:r>
    </w:p>
    <w:p>
      <w:pPr>
        <w:pStyle w:val="FirstParagraph"/>
      </w:pPr>
      <w:r>
        <w:t xml:space="preserve">State and local taxation is structurally different from federal taxation in three ways. First,</w:t>
      </w:r>
      <w:r>
        <w:t xml:space="preserve"> </w:t>
      </w:r>
      <w:r>
        <w:rPr>
          <w:b/>
          <w:bCs/>
        </w:rPr>
        <w:t xml:space="preserve">property taxes</w:t>
      </w:r>
      <w:r>
        <w:t xml:space="preserve"> </w:t>
      </w:r>
      <w:r>
        <w:t xml:space="preserve">matter enormously and are predominantly local. Second,</w:t>
      </w:r>
      <w:r>
        <w:t xml:space="preserve"> </w:t>
      </w:r>
      <w:r>
        <w:rPr>
          <w:b/>
          <w:bCs/>
        </w:rPr>
        <w:t xml:space="preserve">sales and excise taxes</w:t>
      </w:r>
      <w:r>
        <w:t xml:space="preserve"> </w:t>
      </w:r>
      <w:r>
        <w:t xml:space="preserve">are more central than at the federal level. Third, there is no single national state model: some states rely heavily on income taxes, others on sales taxes, and many localities rely on property taxes. The Census Bureau’s QTAX program explicitly notes that it provides the current national and state-by-state view of these collections, and the 2025 Annual Survey of State Government Tax Collections was released on</w:t>
      </w:r>
      <w:r>
        <w:t xml:space="preserve"> </w:t>
      </w:r>
      <w:r>
        <w:rPr>
          <w:b/>
          <w:bCs/>
        </w:rPr>
        <w:t xml:space="preserve">April 15, 2026</w:t>
      </w:r>
      <w:r>
        <w:t xml:space="preserve">.</w:t>
      </w:r>
      <w:r>
        <w:t xml:space="preserve"> </w:t>
      </w:r>
      <w:hyperlink r:id="rId47">
        <w:r>
          <w:rPr>
            <w:rStyle w:val="Hyperlink"/>
          </w:rPr>
          <w:t xml:space="preserve">[34]</w:t>
        </w:r>
      </w:hyperlink>
    </w:p>
    <w:p>
      <w:pPr>
        <w:pStyle w:val="BodyText"/>
      </w:pPr>
      <w:r>
        <w:t xml:space="preserve">Using the BEA current-tax-receipts framework for</w:t>
      </w:r>
      <w:r>
        <w:t xml:space="preserve"> </w:t>
      </w:r>
      <w:r>
        <w:rPr>
          <w:b/>
          <w:bCs/>
        </w:rPr>
        <w:t xml:space="preserve">Q4 2025</w:t>
      </w:r>
      <w:r>
        <w:t xml:space="preserve"> </w:t>
      </w:r>
      <w:r>
        <w:t xml:space="preserve">(annualized), state and local current tax receipts totaled</w:t>
      </w:r>
      <w:r>
        <w:t xml:space="preserve"> </w:t>
      </w:r>
      <w:r>
        <w:rPr>
          <w:b/>
          <w:bCs/>
        </w:rPr>
        <w:t xml:space="preserve">$2.725 trillion</w:t>
      </w:r>
      <w:r>
        <w:t xml:space="preserve">. The major building blocks were</w:t>
      </w:r>
      <w:r>
        <w:t xml:space="preserve"> </w:t>
      </w:r>
      <w:r>
        <w:rPr>
          <w:b/>
          <w:bCs/>
        </w:rPr>
        <w:t xml:space="preserve">property taxes</w:t>
      </w:r>
      <w:r>
        <w:t xml:space="preserve"> </w:t>
      </w:r>
      <w:r>
        <w:t xml:space="preserve">(</w:t>
      </w:r>
      <w:r>
        <w:rPr>
          <w:b/>
          <w:bCs/>
        </w:rPr>
        <w:t xml:space="preserve">$805.1 billion</w:t>
      </w:r>
      <w:r>
        <w:t xml:space="preserve">),</w:t>
      </w:r>
      <w:r>
        <w:t xml:space="preserve"> </w:t>
      </w:r>
      <w:r>
        <w:rPr>
          <w:b/>
          <w:bCs/>
        </w:rPr>
        <w:t xml:space="preserve">income taxes</w:t>
      </w:r>
      <w:r>
        <w:t xml:space="preserve"> </w:t>
      </w:r>
      <w:r>
        <w:t xml:space="preserve">(</w:t>
      </w:r>
      <w:r>
        <w:rPr>
          <w:b/>
          <w:bCs/>
        </w:rPr>
        <w:t xml:space="preserve">$606.8 billion personal + $186.3 billion corporate = $793.1 billion</w:t>
      </w:r>
      <w:r>
        <w:t xml:space="preserve">),</w:t>
      </w:r>
      <w:r>
        <w:t xml:space="preserve"> </w:t>
      </w:r>
      <w:r>
        <w:rPr>
          <w:b/>
          <w:bCs/>
        </w:rPr>
        <w:t xml:space="preserve">sales taxes</w:t>
      </w:r>
      <w:r>
        <w:t xml:space="preserve"> </w:t>
      </w:r>
      <w:r>
        <w:t xml:space="preserve">(</w:t>
      </w:r>
      <w:r>
        <w:rPr>
          <w:b/>
          <w:bCs/>
        </w:rPr>
        <w:t xml:space="preserve">$633.0 billion</w:t>
      </w:r>
      <w:r>
        <w:t xml:space="preserve">), and inferred</w:t>
      </w:r>
      <w:r>
        <w:t xml:space="preserve"> </w:t>
      </w:r>
      <w:r>
        <w:rPr>
          <w:b/>
          <w:bCs/>
        </w:rPr>
        <w:t xml:space="preserve">excise taxes</w:t>
      </w:r>
      <w:r>
        <w:t xml:space="preserve"> </w:t>
      </w:r>
      <w:r>
        <w:t xml:space="preserve">of about</w:t>
      </w:r>
      <w:r>
        <w:t xml:space="preserve"> </w:t>
      </w:r>
      <w:r>
        <w:rPr>
          <w:b/>
          <w:bCs/>
        </w:rPr>
        <w:t xml:space="preserve">$294.5 billion</w:t>
      </w:r>
      <w:r>
        <w:t xml:space="preserve"> </w:t>
      </w:r>
      <w:r>
        <w:t xml:space="preserve">after subtracting sales, property, and “other” taxes from taxes on production and imports. That leaves a smaller residual “other” tax category.</w:t>
      </w:r>
      <w:r>
        <w:t xml:space="preserve"> </w:t>
      </w:r>
      <w:hyperlink r:id="rId27">
        <w:r>
          <w:rPr>
            <w:rStyle w:val="Hyperlink"/>
          </w:rPr>
          <w:t xml:space="preserve">[35]</w:t>
        </w:r>
      </w:hyperlink>
    </w:p>
    <w:p>
      <w:pPr>
        <w:pStyle w:val="BodyText"/>
      </w:pPr>
      <w:r>
        <w:t xml:space="preserve">The rolling four-quarter</w:t>
      </w:r>
      <w:r>
        <w:t xml:space="preserve"> </w:t>
      </w:r>
      <w:r>
        <w:rPr>
          <w:b/>
          <w:bCs/>
        </w:rPr>
        <w:t xml:space="preserve">2025 Census QTAX</w:t>
      </w:r>
      <w:r>
        <w:t xml:space="preserve"> </w:t>
      </w:r>
      <w:r>
        <w:t xml:space="preserve">totals tell a similar story using a different accounting frame: total combined state-local taxes of about</w:t>
      </w:r>
      <w:r>
        <w:t xml:space="preserve"> </w:t>
      </w:r>
      <w:r>
        <w:rPr>
          <w:b/>
          <w:bCs/>
        </w:rPr>
        <w:t xml:space="preserve">$2.211 trillion</w:t>
      </w:r>
      <w:r>
        <w:t xml:space="preserve">, made up of</w:t>
      </w:r>
      <w:r>
        <w:t xml:space="preserve"> </w:t>
      </w:r>
      <w:r>
        <w:rPr>
          <w:b/>
          <w:bCs/>
        </w:rPr>
        <w:t xml:space="preserve">$832.5 billion</w:t>
      </w:r>
      <w:r>
        <w:t xml:space="preserve"> </w:t>
      </w:r>
      <w:r>
        <w:t xml:space="preserve">in property taxes,</w:t>
      </w:r>
      <w:r>
        <w:t xml:space="preserve"> </w:t>
      </w:r>
      <w:r>
        <w:rPr>
          <w:b/>
          <w:bCs/>
        </w:rPr>
        <w:t xml:space="preserve">$607.4 billion</w:t>
      </w:r>
      <w:r>
        <w:t xml:space="preserve"> </w:t>
      </w:r>
      <w:r>
        <w:t xml:space="preserve">in general sales and gross receipts taxes,</w:t>
      </w:r>
      <w:r>
        <w:t xml:space="preserve"> </w:t>
      </w:r>
      <w:r>
        <w:rPr>
          <w:b/>
          <w:bCs/>
        </w:rPr>
        <w:t xml:space="preserve">$592.8 billion</w:t>
      </w:r>
      <w:r>
        <w:t xml:space="preserve"> </w:t>
      </w:r>
      <w:r>
        <w:t xml:space="preserve">in individual income taxes, and</w:t>
      </w:r>
      <w:r>
        <w:t xml:space="preserve"> </w:t>
      </w:r>
      <w:r>
        <w:rPr>
          <w:b/>
          <w:bCs/>
        </w:rPr>
        <w:t xml:space="preserve">$178.6 billion</w:t>
      </w:r>
      <w:r>
        <w:t xml:space="preserve"> </w:t>
      </w:r>
      <w:r>
        <w:t xml:space="preserve">in corporate income taxes. That framework is useful because it is directly tied to the Census tax-collections system rather than the national accounts.</w:t>
      </w:r>
      <w:r>
        <w:t xml:space="preserve"> </w:t>
      </w:r>
      <w:hyperlink r:id="rId48">
        <w:r>
          <w:rPr>
            <w:rStyle w:val="Hyperlink"/>
          </w:rPr>
          <w:t xml:space="preserve">[36]</w:t>
        </w:r>
      </w:hyperlink>
    </w:p>
    <w:bookmarkStart w:id="50" w:name="state-local-tax-composition"/>
    <w:p>
      <w:pPr>
        <w:pStyle w:val="Heading3"/>
      </w:pPr>
      <w:r>
        <w:t xml:space="preserve">State-local tax composition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National state-local taxes</w:t>
            </w:r>
          </w:p>
        </w:tc>
        <w:tc>
          <w:tcPr/>
          <w:p>
            <w:pPr>
              <w:pStyle w:val="Compact"/>
            </w:pPr>
            <w:r>
              <w:t xml:space="preserve">Latest official frame</w:t>
            </w:r>
          </w:p>
        </w:tc>
        <w:tc>
          <w:tcPr/>
          <w:p>
            <w:pPr>
              <w:pStyle w:val="Compact"/>
              <w:jc w:val="right"/>
            </w:pPr>
            <w:r>
              <w:t xml:space="preserve">Amount</w:t>
            </w:r>
          </w:p>
        </w:tc>
      </w:tr>
      <w:tr>
        <w:tc>
          <w:tcPr/>
          <w:p>
            <w:pPr>
              <w:pStyle w:val="Compact"/>
            </w:pPr>
            <w:r>
              <w:t xml:space="preserve">Current tax receipts</w:t>
            </w:r>
          </w:p>
        </w:tc>
        <w:tc>
          <w:tcPr/>
          <w:p>
            <w:pPr>
              <w:pStyle w:val="Compact"/>
            </w:pPr>
            <w:r>
              <w:t xml:space="preserve">BEA, Q4 2025 SAAR</w:t>
            </w:r>
          </w:p>
        </w:tc>
        <w:tc>
          <w:tcPr/>
          <w:p>
            <w:pPr>
              <w:pStyle w:val="Compact"/>
              <w:jc w:val="right"/>
            </w:pPr>
            <w:r>
              <w:t xml:space="preserve">$2,724.6B</w:t>
            </w:r>
          </w:p>
        </w:tc>
      </w:tr>
      <w:tr>
        <w:tc>
          <w:tcPr/>
          <w:p>
            <w:pPr>
              <w:pStyle w:val="Compact"/>
            </w:pPr>
            <w:r>
              <w:t xml:space="preserve">Property taxes</w:t>
            </w:r>
          </w:p>
        </w:tc>
        <w:tc>
          <w:tcPr/>
          <w:p>
            <w:pPr>
              <w:pStyle w:val="Compact"/>
            </w:pPr>
            <w:r>
              <w:t xml:space="preserve">BEA, Q4 2025 SAAR</w:t>
            </w:r>
          </w:p>
        </w:tc>
        <w:tc>
          <w:tcPr/>
          <w:p>
            <w:pPr>
              <w:pStyle w:val="Compact"/>
              <w:jc w:val="right"/>
            </w:pPr>
            <w:r>
              <w:t xml:space="preserve">$805.1B</w:t>
            </w:r>
          </w:p>
        </w:tc>
      </w:tr>
      <w:tr>
        <w:tc>
          <w:tcPr/>
          <w:p>
            <w:pPr>
              <w:pStyle w:val="Compact"/>
            </w:pPr>
            <w:r>
              <w:t xml:space="preserve">Income taxes</w:t>
            </w:r>
          </w:p>
        </w:tc>
        <w:tc>
          <w:tcPr/>
          <w:p>
            <w:pPr>
              <w:pStyle w:val="Compact"/>
            </w:pPr>
            <w:r>
              <w:t xml:space="preserve">BEA, Q4 2025 SAAR</w:t>
            </w:r>
          </w:p>
        </w:tc>
        <w:tc>
          <w:tcPr/>
          <w:p>
            <w:pPr>
              <w:pStyle w:val="Compact"/>
              <w:jc w:val="right"/>
            </w:pPr>
            <w:r>
              <w:t xml:space="preserve">$793.1B</w:t>
            </w:r>
          </w:p>
        </w:tc>
      </w:tr>
      <w:tr>
        <w:tc>
          <w:tcPr/>
          <w:p>
            <w:pPr>
              <w:pStyle w:val="Compact"/>
            </w:pPr>
            <w:r>
              <w:t xml:space="preserve">Sales taxes</w:t>
            </w:r>
          </w:p>
        </w:tc>
        <w:tc>
          <w:tcPr/>
          <w:p>
            <w:pPr>
              <w:pStyle w:val="Compact"/>
            </w:pPr>
            <w:r>
              <w:t xml:space="preserve">BEA, Q4 2025 SAAR</w:t>
            </w:r>
          </w:p>
        </w:tc>
        <w:tc>
          <w:tcPr/>
          <w:p>
            <w:pPr>
              <w:pStyle w:val="Compact"/>
              <w:jc w:val="right"/>
            </w:pPr>
            <w:r>
              <w:t xml:space="preserve">$633.0B</w:t>
            </w:r>
          </w:p>
        </w:tc>
      </w:tr>
      <w:tr>
        <w:tc>
          <w:tcPr/>
          <w:p>
            <w:pPr>
              <w:pStyle w:val="Compact"/>
            </w:pPr>
            <w:r>
              <w:t xml:space="preserve">Excise taxes</w:t>
            </w:r>
          </w:p>
        </w:tc>
        <w:tc>
          <w:tcPr/>
          <w:p>
            <w:pPr>
              <w:pStyle w:val="Compact"/>
            </w:pPr>
            <w:r>
              <w:t xml:space="preserve">BEA, Q4 2025 SAAR, inferred from table lines</w:t>
            </w:r>
          </w:p>
        </w:tc>
        <w:tc>
          <w:tcPr/>
          <w:p>
            <w:pPr>
              <w:pStyle w:val="Compact"/>
              <w:jc w:val="right"/>
            </w:pPr>
            <w:r>
              <w:t xml:space="preserve">~$294.5B</w:t>
            </w:r>
          </w:p>
        </w:tc>
      </w:tr>
      <w:tr>
        <w:tc>
          <w:tcPr/>
          <w:p>
            <w:pPr>
              <w:pStyle w:val="Compact"/>
            </w:pPr>
            <w:r>
              <w:t xml:space="preserve">Combined state-local taxes</w:t>
            </w:r>
          </w:p>
        </w:tc>
        <w:tc>
          <w:tcPr/>
          <w:p>
            <w:pPr>
              <w:pStyle w:val="Compact"/>
            </w:pPr>
            <w:r>
              <w:t xml:space="preserve">Census QTAX, 4 quarters ending Q4 2025</w:t>
            </w:r>
          </w:p>
        </w:tc>
        <w:tc>
          <w:tcPr/>
          <w:p>
            <w:pPr>
              <w:pStyle w:val="Compact"/>
              <w:jc w:val="right"/>
            </w:pPr>
            <w:r>
              <w:t xml:space="preserve">$2,211.3B</w:t>
            </w:r>
          </w:p>
        </w:tc>
      </w:tr>
    </w:tbl>
    <w:p>
      <w:pPr>
        <w:pStyle w:val="BodyText"/>
      </w:pPr>
      <w:r>
        <w:rPr>
          <w:b/>
          <w:bCs/>
        </w:rPr>
        <w:t xml:space="preserve">Sources:</w:t>
      </w:r>
      <w:r>
        <w:t xml:space="preserve"> </w:t>
      </w:r>
      <w:r>
        <w:t xml:space="preserve">BEA Table 3.3 and Census QTAX/FRED release tables.</w:t>
      </w:r>
      <w:r>
        <w:t xml:space="preserve"> </w:t>
      </w:r>
      <w:hyperlink r:id="rId27">
        <w:r>
          <w:rPr>
            <w:rStyle w:val="Hyperlink"/>
          </w:rPr>
          <w:t xml:space="preserve">[12]</w:t>
        </w:r>
      </w:hyperlink>
    </w:p>
    <w:p>
      <w:pPr>
        <w:pStyle w:val="SourceCode"/>
      </w:pPr>
      <w:r>
        <w:rPr>
          <w:rStyle w:val="VerbatimChar"/>
        </w:rPr>
        <w:t xml:space="preserve">pie title State-local current tax receipts, Q4 2025 SAAR</w:t>
      </w:r>
      <w:r>
        <w:br/>
      </w:r>
      <w:r>
        <w:rPr>
          <w:rStyle w:val="VerbatimChar"/>
        </w:rPr>
        <w:t xml:space="preserve">    "Property taxes" : 29.5</w:t>
      </w:r>
      <w:r>
        <w:br/>
      </w:r>
      <w:r>
        <w:rPr>
          <w:rStyle w:val="VerbatimChar"/>
        </w:rPr>
        <w:t xml:space="preserve">    "Income taxes" : 29.1</w:t>
      </w:r>
      <w:r>
        <w:br/>
      </w:r>
      <w:r>
        <w:rPr>
          <w:rStyle w:val="VerbatimChar"/>
        </w:rPr>
        <w:t xml:space="preserve">    "Sales taxes" : 23.2</w:t>
      </w:r>
      <w:r>
        <w:br/>
      </w:r>
      <w:r>
        <w:rPr>
          <w:rStyle w:val="VerbatimChar"/>
        </w:rPr>
        <w:t xml:space="preserve">    "Excise taxes" : 10.8</w:t>
      </w:r>
      <w:r>
        <w:br/>
      </w:r>
      <w:r>
        <w:rPr>
          <w:rStyle w:val="VerbatimChar"/>
        </w:rPr>
        <w:t xml:space="preserve">    "Other taxes" : 7.3</w:t>
      </w:r>
    </w:p>
    <w:p>
      <w:pPr>
        <w:pStyle w:val="FirstParagraph"/>
      </w:pPr>
      <w:r>
        <w:t xml:space="preserve">Variation across states remains substantial. The legal structures differ on whether a state imposes a broad-based individual income tax at all, whether the income tax is flat or graduated, how much local-option sales taxation is allowed, and how tightly property-tax growth is constrained. The latest official Census release confirms that all 50 states continue to show different mixes across the five broad state-tax categories and detailed subcategories.</w:t>
      </w:r>
      <w:r>
        <w:t xml:space="preserve"> </w:t>
      </w:r>
      <w:hyperlink r:id="rId49">
        <w:r>
          <w:rPr>
            <w:rStyle w:val="Hyperlink"/>
          </w:rPr>
          <w:t xml:space="preserve">[37]</w:t>
        </w:r>
      </w:hyperlink>
    </w:p>
    <w:p>
      <w:pPr>
        <w:pStyle w:val="BodyText"/>
      </w:pPr>
      <w:r>
        <w:t xml:space="preserve">Two high-level conclusions follow from the national data. First,</w:t>
      </w:r>
      <w:r>
        <w:t xml:space="preserve"> </w:t>
      </w:r>
      <w:r>
        <w:rPr>
          <w:b/>
          <w:bCs/>
        </w:rPr>
        <w:t xml:space="preserve">property taxes are still the backbone of local finance</w:t>
      </w:r>
      <w:r>
        <w:t xml:space="preserve">, making them far more important in the state-local system than in federal finance. Second, the state-local system is generally</w:t>
      </w:r>
      <w:r>
        <w:t xml:space="preserve"> </w:t>
      </w:r>
      <w:r>
        <w:rPr>
          <w:b/>
          <w:bCs/>
        </w:rPr>
        <w:t xml:space="preserve">less progressive</w:t>
      </w:r>
      <w:r>
        <w:t xml:space="preserve"> </w:t>
      </w:r>
      <w:r>
        <w:t xml:space="preserve">than the federal system because sales and excise taxes loom larger and because local property taxation is only partly offset by income-tax progressivity in states that have it. The exact degree of regressivity varies widely by state design.</w:t>
      </w:r>
      <w:r>
        <w:t xml:space="preserve"> </w:t>
      </w:r>
      <w:hyperlink r:id="rId27">
        <w:r>
          <w:rPr>
            <w:rStyle w:val="Hyperlink"/>
          </w:rPr>
          <w:t xml:space="preserve">[38]</w:t>
        </w:r>
      </w:hyperlink>
    </w:p>
    <w:bookmarkEnd w:id="50"/>
    <w:bookmarkEnd w:id="51"/>
    <w:bookmarkStart w:id="56" w:name="california-deep-dive"/>
    <w:p>
      <w:pPr>
        <w:pStyle w:val="Heading2"/>
      </w:pPr>
      <w:r>
        <w:t xml:space="preserve">California deep dive</w:t>
      </w:r>
    </w:p>
    <w:p>
      <w:pPr>
        <w:pStyle w:val="FirstParagraph"/>
      </w:pPr>
      <w:r>
        <w:t xml:space="preserve">California combines a highly progressive personal income tax with a relatively broad sales tax and a constitutionally constrained property-tax system. The latest detailed official personal income tax schedules available as of April 27, 2026 are for</w:t>
      </w:r>
      <w:r>
        <w:t xml:space="preserve"> </w:t>
      </w:r>
      <w:r>
        <w:rPr>
          <w:b/>
          <w:bCs/>
        </w:rPr>
        <w:t xml:space="preserve">tax year 2025</w:t>
      </w:r>
      <w:r>
        <w:t xml:space="preserve">, published by the Franchise Tax Board</w:t>
      </w:r>
      <w:hyperlink r:id="rId28">
        <w:r>
          <w:rPr>
            <w:rStyle w:val="Hyperlink"/>
          </w:rPr>
          <w:t xml:space="preserve">[39]</w:t>
        </w:r>
      </w:hyperlink>
      <w:r>
        <w:t xml:space="preserve">. Those schedules retain the long-standing progressive rate structure beginning at</w:t>
      </w:r>
      <w:r>
        <w:t xml:space="preserve"> </w:t>
      </w:r>
      <w:r>
        <w:rPr>
          <w:b/>
          <w:bCs/>
        </w:rPr>
        <w:t xml:space="preserve">1 percent</w:t>
      </w:r>
      <w:r>
        <w:t xml:space="preserve"> </w:t>
      </w:r>
      <w:r>
        <w:t xml:space="preserve">and reaching</w:t>
      </w:r>
      <w:r>
        <w:t xml:space="preserve"> </w:t>
      </w:r>
      <w:r>
        <w:rPr>
          <w:b/>
          <w:bCs/>
        </w:rPr>
        <w:t xml:space="preserve">13.3 percent</w:t>
      </w:r>
      <w:r>
        <w:t xml:space="preserve"> </w:t>
      </w:r>
      <w:r>
        <w:t xml:space="preserve">at the top end, with detailed thresholds adjusted for inflation. The latest FTB business-rate page shows an</w:t>
      </w:r>
      <w:r>
        <w:t xml:space="preserve"> </w:t>
      </w:r>
      <w:r>
        <w:rPr>
          <w:b/>
          <w:bCs/>
        </w:rPr>
        <w:t xml:space="preserve">8.84 percent</w:t>
      </w:r>
      <w:r>
        <w:t xml:space="preserve"> </w:t>
      </w:r>
      <w:r>
        <w:t xml:space="preserve">corporation tax rate,</w:t>
      </w:r>
      <w:r>
        <w:t xml:space="preserve"> </w:t>
      </w:r>
      <w:r>
        <w:rPr>
          <w:b/>
          <w:bCs/>
        </w:rPr>
        <w:t xml:space="preserve">10.84 percent</w:t>
      </w:r>
      <w:r>
        <w:t xml:space="preserve"> </w:t>
      </w:r>
      <w:r>
        <w:t xml:space="preserve">for banks and financials, a</w:t>
      </w:r>
      <w:r>
        <w:t xml:space="preserve"> </w:t>
      </w:r>
      <w:r>
        <w:rPr>
          <w:b/>
          <w:bCs/>
        </w:rPr>
        <w:t xml:space="preserve">6.65 percent</w:t>
      </w:r>
      <w:r>
        <w:t xml:space="preserve"> </w:t>
      </w:r>
      <w:r>
        <w:t xml:space="preserve">corporate AMT, and a</w:t>
      </w:r>
      <w:r>
        <w:t xml:space="preserve"> </w:t>
      </w:r>
      <w:r>
        <w:rPr>
          <w:b/>
          <w:bCs/>
        </w:rPr>
        <w:t xml:space="preserve">1.5 percent</w:t>
      </w:r>
      <w:r>
        <w:t xml:space="preserve"> </w:t>
      </w:r>
      <w:r>
        <w:t xml:space="preserve">S-corporation rate.</w:t>
      </w:r>
      <w:r>
        <w:t xml:space="preserve"> </w:t>
      </w:r>
      <w:hyperlink r:id="rId52">
        <w:r>
          <w:rPr>
            <w:rStyle w:val="Hyperlink"/>
          </w:rPr>
          <w:t xml:space="preserve">[40]</w:t>
        </w:r>
      </w:hyperlink>
    </w:p>
    <w:p>
      <w:pPr>
        <w:pStyle w:val="BodyText"/>
      </w:pPr>
      <w:r>
        <w:t xml:space="preserve">California’s property-tax structure is defined by</w:t>
      </w:r>
      <w:r>
        <w:t xml:space="preserve"> </w:t>
      </w:r>
      <w:r>
        <w:rPr>
          <w:b/>
          <w:bCs/>
        </w:rPr>
        <w:t xml:space="preserve">Proposition 13</w:t>
      </w:r>
      <w:r>
        <w:t xml:space="preserve">. The California State Board of Equalization</w:t>
      </w:r>
      <w:hyperlink r:id="rId32">
        <w:r>
          <w:rPr>
            <w:rStyle w:val="Hyperlink"/>
          </w:rPr>
          <w:t xml:space="preserve">[41]</w:t>
        </w:r>
      </w:hyperlink>
      <w:r>
        <w:t xml:space="preserve"> </w:t>
      </w:r>
      <w:r>
        <w:t xml:space="preserve">explains that Proposition 13 rolled assessments back to 1975 values, limited the general property-tax rate to</w:t>
      </w:r>
      <w:r>
        <w:t xml:space="preserve"> </w:t>
      </w:r>
      <w:r>
        <w:rPr>
          <w:b/>
          <w:bCs/>
        </w:rPr>
        <w:t xml:space="preserve">1 percent</w:t>
      </w:r>
      <w:r>
        <w:t xml:space="preserve"> </w:t>
      </w:r>
      <w:r>
        <w:t xml:space="preserve">of assessed value</w:t>
      </w:r>
      <w:r>
        <w:t xml:space="preserve"> </w:t>
      </w:r>
      <w:r>
        <w:rPr>
          <w:b/>
          <w:bCs/>
        </w:rPr>
        <w:t xml:space="preserve">plus</w:t>
      </w:r>
      <w:r>
        <w:t xml:space="preserve"> </w:t>
      </w:r>
      <w:r>
        <w:t xml:space="preserve">voter-approved debt rates, and limited annual assessed-value growth until reassessment events. That gives California a very different property-tax profile from states that reassess more frequently at market value.</w:t>
      </w:r>
      <w:r>
        <w:t xml:space="preserve"> </w:t>
      </w:r>
      <w:hyperlink r:id="rId53">
        <w:r>
          <w:rPr>
            <w:rStyle w:val="Hyperlink"/>
          </w:rPr>
          <w:t xml:space="preserve">[42]</w:t>
        </w:r>
      </w:hyperlink>
    </w:p>
    <w:p>
      <w:pPr>
        <w:pStyle w:val="BodyText"/>
      </w:pPr>
      <w:r>
        <w:t xml:space="preserve">On revenue composition, the</w:t>
      </w:r>
      <w:r>
        <w:t xml:space="preserve"> </w:t>
      </w:r>
      <w:r>
        <w:rPr>
          <w:b/>
          <w:bCs/>
        </w:rPr>
        <w:t xml:space="preserve">California Department of Finance</w:t>
      </w:r>
      <w:r>
        <w:t xml:space="preserve"> </w:t>
      </w:r>
      <w:r>
        <w:t xml:space="preserve">says the personal income tax is estimated to account for</w:t>
      </w:r>
      <w:r>
        <w:t xml:space="preserve"> </w:t>
      </w:r>
      <w:r>
        <w:rPr>
          <w:b/>
          <w:bCs/>
        </w:rPr>
        <w:t xml:space="preserve">nearly 60 percent</w:t>
      </w:r>
      <w:r>
        <w:t xml:space="preserve"> </w:t>
      </w:r>
      <w:r>
        <w:t xml:space="preserve">of General Fund revenue before transfers in</w:t>
      </w:r>
      <w:r>
        <w:t xml:space="preserve"> </w:t>
      </w:r>
      <w:r>
        <w:rPr>
          <w:b/>
          <w:bCs/>
        </w:rPr>
        <w:t xml:space="preserve">2024-25</w:t>
      </w:r>
      <w:r>
        <w:t xml:space="preserve">, and the sales tax about</w:t>
      </w:r>
      <w:r>
        <w:t xml:space="preserve"> </w:t>
      </w:r>
      <w:r>
        <w:rPr>
          <w:b/>
          <w:bCs/>
        </w:rPr>
        <w:t xml:space="preserve">15 percent</w:t>
      </w:r>
      <w:r>
        <w:t xml:space="preserve">. California’s 2026-27 budget forecast also says the personal income tax and corporation tax were the main drivers of the revenue upgrade relative to the 2025 Budget Act forecast, while the sales-tax forecast was revised slightly downward.</w:t>
      </w:r>
      <w:r>
        <w:t xml:space="preserve"> </w:t>
      </w:r>
      <w:hyperlink r:id="rId28">
        <w:r>
          <w:rPr>
            <w:rStyle w:val="Hyperlink"/>
          </w:rPr>
          <w:t xml:space="preserve">[43]</w:t>
        </w:r>
      </w:hyperlink>
    </w:p>
    <w:p>
      <w:pPr>
        <w:pStyle w:val="BodyText"/>
      </w:pPr>
      <w:r>
        <w:t xml:space="preserve">That concentration in the PIT is what drives California’s fiscal volatility. The same Department of Finance chapter says the upgraded personal income-tax forecast is tied heavily to</w:t>
      </w:r>
      <w:r>
        <w:t xml:space="preserve"> </w:t>
      </w:r>
      <w:r>
        <w:rPr>
          <w:b/>
          <w:bCs/>
        </w:rPr>
        <w:t xml:space="preserve">capital gains realizations</w:t>
      </w:r>
      <w:r>
        <w:t xml:space="preserve"> </w:t>
      </w:r>
      <w:r>
        <w:t xml:space="preserve">and high-end withholding tied to technology-intensive sectors, while the Legislative Analyst’s Office continues to frame California’s reserve and budget policy around revenue volatility. In plain terms, California’s tax base is productive but unusually exposed to equity markets and a relatively narrow slice of high-income taxpayers.</w:t>
      </w:r>
      <w:r>
        <w:t xml:space="preserve"> </w:t>
      </w:r>
      <w:hyperlink r:id="rId28">
        <w:r>
          <w:rPr>
            <w:rStyle w:val="Hyperlink"/>
          </w:rPr>
          <w:t xml:space="preserve">[15]</w:t>
        </w:r>
      </w:hyperlink>
    </w:p>
    <w:p>
      <w:pPr>
        <w:pStyle w:val="BodyText"/>
      </w:pPr>
      <w:r>
        <w:t xml:space="preserve">A particularly important recent California-federal interaction concerns the</w:t>
      </w:r>
      <w:r>
        <w:t xml:space="preserve"> </w:t>
      </w:r>
      <w:r>
        <w:rPr>
          <w:b/>
          <w:bCs/>
        </w:rPr>
        <w:t xml:space="preserve">pass-through entity elective tax</w:t>
      </w:r>
      <w:r>
        <w:t xml:space="preserve"> </w:t>
      </w:r>
      <w:r>
        <w:t xml:space="preserve">(</w:t>
      </w:r>
      <w:r>
        <w:rPr>
          <w:b/>
          <w:bCs/>
        </w:rPr>
        <w:t xml:space="preserve">PTET</w:t>
      </w:r>
      <w:r>
        <w:t xml:space="preserve">). The 2026-27 Governor’s Budget says that, because federal</w:t>
      </w:r>
      <w:r>
        <w:t xml:space="preserve"> </w:t>
      </w:r>
      <w:r>
        <w:rPr>
          <w:b/>
          <w:bCs/>
        </w:rPr>
        <w:t xml:space="preserve">H.R. 1 / Public Law 119-21</w:t>
      </w:r>
      <w:r>
        <w:t xml:space="preserve"> </w:t>
      </w:r>
      <w:r>
        <w:t xml:space="preserve">permanently extended the federal SALT cap, California’s earlier statutory trigger now extends the state PTET from</w:t>
      </w:r>
      <w:r>
        <w:t xml:space="preserve"> </w:t>
      </w:r>
      <w:r>
        <w:rPr>
          <w:b/>
          <w:bCs/>
        </w:rPr>
        <w:t xml:space="preserve">2026 through 2030</w:t>
      </w:r>
      <w:r>
        <w:t xml:space="preserve">. Relative to the 2025 Budget Act forecast, that extension is projected to</w:t>
      </w:r>
      <w:r>
        <w:t xml:space="preserve"> </w:t>
      </w:r>
      <w:r>
        <w:rPr>
          <w:b/>
          <w:bCs/>
        </w:rPr>
        <w:t xml:space="preserve">increase corporation tax revenue by $22.9 billion</w:t>
      </w:r>
      <w:r>
        <w:t xml:space="preserve"> </w:t>
      </w:r>
      <w:r>
        <w:t xml:space="preserve">and</w:t>
      </w:r>
      <w:r>
        <w:t xml:space="preserve"> </w:t>
      </w:r>
      <w:r>
        <w:rPr>
          <w:b/>
          <w:bCs/>
        </w:rPr>
        <w:t xml:space="preserve">reduce personal income-tax revenue by $20.2 billion</w:t>
      </w:r>
      <w:r>
        <w:t xml:space="preserve"> </w:t>
      </w:r>
      <w:r>
        <w:t xml:space="preserve">over the budget window, with a small positive net timing effect. That is an important example of state tax design responding directly to a federal deduction cap.</w:t>
      </w:r>
      <w:r>
        <w:t xml:space="preserve"> </w:t>
      </w:r>
      <w:hyperlink r:id="rId28">
        <w:r>
          <w:rPr>
            <w:rStyle w:val="Hyperlink"/>
          </w:rPr>
          <w:t xml:space="preserve">[44]</w:t>
        </w:r>
      </w:hyperlink>
    </w:p>
    <w:p>
      <w:pPr>
        <w:pStyle w:val="BodyText"/>
      </w:pPr>
      <w:r>
        <w:t xml:space="preserve">California also uses the tax code as a major spending instrument. The 2025-26 California tax-expenditure report shows very large PIT and corporate tax expenditures. On the PIT side, among the largest estimated</w:t>
      </w:r>
      <w:r>
        <w:t xml:space="preserve"> </w:t>
      </w:r>
      <w:r>
        <w:rPr>
          <w:b/>
          <w:bCs/>
        </w:rPr>
        <w:t xml:space="preserve">2025-26</w:t>
      </w:r>
      <w:r>
        <w:t xml:space="preserve"> </w:t>
      </w:r>
      <w:r>
        <w:t xml:space="preserve">revenue losses are the</w:t>
      </w:r>
      <w:r>
        <w:t xml:space="preserve"> </w:t>
      </w:r>
      <w:r>
        <w:rPr>
          <w:b/>
          <w:bCs/>
        </w:rPr>
        <w:t xml:space="preserve">exclusion of employer pension contributions</w:t>
      </w:r>
      <w:r>
        <w:t xml:space="preserve"> </w:t>
      </w:r>
      <w:r>
        <w:t xml:space="preserve">(</w:t>
      </w:r>
      <w:r>
        <w:rPr>
          <w:b/>
          <w:bCs/>
        </w:rPr>
        <w:t xml:space="preserve">$17.0 billion</w:t>
      </w:r>
      <w:r>
        <w:t xml:space="preserve">),</w:t>
      </w:r>
      <w:r>
        <w:t xml:space="preserve"> </w:t>
      </w:r>
      <w:r>
        <w:rPr>
          <w:b/>
          <w:bCs/>
        </w:rPr>
        <w:t xml:space="preserve">exclusion of employer contributions to health plans</w:t>
      </w:r>
      <w:r>
        <w:t xml:space="preserve"> </w:t>
      </w:r>
      <w:r>
        <w:t xml:space="preserve">(</w:t>
      </w:r>
      <w:r>
        <w:rPr>
          <w:b/>
          <w:bCs/>
        </w:rPr>
        <w:t xml:space="preserve">$10.0 billion</w:t>
      </w:r>
      <w:r>
        <w:t xml:space="preserve">),</w:t>
      </w:r>
      <w:r>
        <w:t xml:space="preserve"> </w:t>
      </w:r>
      <w:r>
        <w:rPr>
          <w:b/>
          <w:bCs/>
        </w:rPr>
        <w:t xml:space="preserve">exclusion of Social Security benefits</w:t>
      </w:r>
      <w:r>
        <w:t xml:space="preserve"> </w:t>
      </w:r>
      <w:r>
        <w:t xml:space="preserve">(</w:t>
      </w:r>
      <w:r>
        <w:rPr>
          <w:b/>
          <w:bCs/>
        </w:rPr>
        <w:t xml:space="preserve">$5.5 billion</w:t>
      </w:r>
      <w:r>
        <w:t xml:space="preserve">),</w:t>
      </w:r>
      <w:r>
        <w:t xml:space="preserve"> </w:t>
      </w:r>
      <w:r>
        <w:rPr>
          <w:b/>
          <w:bCs/>
        </w:rPr>
        <w:t xml:space="preserve">basis step-up on inherited property</w:t>
      </w:r>
      <w:r>
        <w:t xml:space="preserve"> </w:t>
      </w:r>
      <w:r>
        <w:t xml:space="preserve">(</w:t>
      </w:r>
      <w:r>
        <w:rPr>
          <w:b/>
          <w:bCs/>
        </w:rPr>
        <w:t xml:space="preserve">$4.9 billion</w:t>
      </w:r>
      <w:r>
        <w:t xml:space="preserve">),</w:t>
      </w:r>
      <w:r>
        <w:t xml:space="preserve"> </w:t>
      </w:r>
      <w:r>
        <w:rPr>
          <w:b/>
          <w:bCs/>
        </w:rPr>
        <w:t xml:space="preserve">exclusion of capital gains on sale of a principal residence</w:t>
      </w:r>
      <w:r>
        <w:t xml:space="preserve"> </w:t>
      </w:r>
      <w:r>
        <w:t xml:space="preserve">(</w:t>
      </w:r>
      <w:r>
        <w:rPr>
          <w:b/>
          <w:bCs/>
        </w:rPr>
        <w:t xml:space="preserve">$4.4 billion</w:t>
      </w:r>
      <w:r>
        <w:t xml:space="preserve">),</w:t>
      </w:r>
      <w:r>
        <w:t xml:space="preserve"> </w:t>
      </w:r>
      <w:r>
        <w:rPr>
          <w:b/>
          <w:bCs/>
        </w:rPr>
        <w:t xml:space="preserve">charitable-contribution deduction</w:t>
      </w:r>
      <w:r>
        <w:t xml:space="preserve"> </w:t>
      </w:r>
      <w:r>
        <w:t xml:space="preserve">(</w:t>
      </w:r>
      <w:r>
        <w:rPr>
          <w:b/>
          <w:bCs/>
        </w:rPr>
        <w:t xml:space="preserve">$3.9 billion</w:t>
      </w:r>
      <w:r>
        <w:t xml:space="preserve">), and</w:t>
      </w:r>
      <w:r>
        <w:t xml:space="preserve"> </w:t>
      </w:r>
      <w:r>
        <w:rPr>
          <w:b/>
          <w:bCs/>
        </w:rPr>
        <w:t xml:space="preserve">home-mortgage-interest deduction</w:t>
      </w:r>
      <w:r>
        <w:t xml:space="preserve"> </w:t>
      </w:r>
      <w:r>
        <w:t xml:space="preserve">(</w:t>
      </w:r>
      <w:r>
        <w:rPr>
          <w:b/>
          <w:bCs/>
        </w:rPr>
        <w:t xml:space="preserve">$3.0 billion</w:t>
      </w:r>
      <w:r>
        <w:t xml:space="preserve">). Corporate-side standouts include the</w:t>
      </w:r>
      <w:r>
        <w:t xml:space="preserve"> </w:t>
      </w:r>
      <w:r>
        <w:rPr>
          <w:b/>
          <w:bCs/>
        </w:rPr>
        <w:t xml:space="preserve">water’s-edge election</w:t>
      </w:r>
      <w:r>
        <w:t xml:space="preserve"> </w:t>
      </w:r>
      <w:r>
        <w:t xml:space="preserve">(</w:t>
      </w:r>
      <w:r>
        <w:rPr>
          <w:b/>
          <w:bCs/>
        </w:rPr>
        <w:t xml:space="preserve">$4.5 billion</w:t>
      </w:r>
      <w:r>
        <w:t xml:space="preserve">) and the</w:t>
      </w:r>
      <w:r>
        <w:t xml:space="preserve"> </w:t>
      </w:r>
      <w:r>
        <w:rPr>
          <w:b/>
          <w:bCs/>
        </w:rPr>
        <w:t xml:space="preserve">research and development credit</w:t>
      </w:r>
      <w:r>
        <w:t xml:space="preserve"> </w:t>
      </w:r>
      <w:r>
        <w:t xml:space="preserve">(</w:t>
      </w:r>
      <w:r>
        <w:rPr>
          <w:b/>
          <w:bCs/>
        </w:rPr>
        <w:t xml:space="preserve">$1.5 billion</w:t>
      </w:r>
      <w:r>
        <w:t xml:space="preserve">) in 2025-26.</w:t>
      </w:r>
      <w:r>
        <w:t xml:space="preserve"> </w:t>
      </w:r>
      <w:hyperlink r:id="rId54">
        <w:r>
          <w:rPr>
            <w:rStyle w:val="Hyperlink"/>
          </w:rPr>
          <w:t xml:space="preserve">[45]</w:t>
        </w:r>
      </w:hyperlink>
    </w:p>
    <w:p>
      <w:pPr>
        <w:pStyle w:val="BodyText"/>
      </w:pPr>
      <w:r>
        <w:t xml:space="preserve">Refundable and targeted credits are smaller in fiscal size but important distributionally. California’s tax-expenditure report lists the</w:t>
      </w:r>
      <w:r>
        <w:t xml:space="preserve"> </w:t>
      </w:r>
      <w:r>
        <w:rPr>
          <w:b/>
          <w:bCs/>
        </w:rPr>
        <w:t xml:space="preserve">Earned Income Tax Credit</w:t>
      </w:r>
      <w:r>
        <w:t xml:space="preserve"> </w:t>
      </w:r>
      <w:r>
        <w:t xml:space="preserve">at roughly</w:t>
      </w:r>
      <w:r>
        <w:t xml:space="preserve"> </w:t>
      </w:r>
      <w:r>
        <w:rPr>
          <w:b/>
          <w:bCs/>
        </w:rPr>
        <w:t xml:space="preserve">$950 million</w:t>
      </w:r>
      <w:r>
        <w:t xml:space="preserve"> </w:t>
      </w:r>
      <w:r>
        <w:t xml:space="preserve">in 2025-26 and the</w:t>
      </w:r>
      <w:r>
        <w:t xml:space="preserve"> </w:t>
      </w:r>
      <w:r>
        <w:rPr>
          <w:b/>
          <w:bCs/>
        </w:rPr>
        <w:t xml:space="preserve">Young Child Tax Credit</w:t>
      </w:r>
      <w:r>
        <w:t xml:space="preserve"> </w:t>
      </w:r>
      <w:r>
        <w:t xml:space="preserve">at</w:t>
      </w:r>
      <w:r>
        <w:t xml:space="preserve"> </w:t>
      </w:r>
      <w:r>
        <w:rPr>
          <w:b/>
          <w:bCs/>
        </w:rPr>
        <w:t xml:space="preserve">$430 million</w:t>
      </w:r>
      <w:r>
        <w:t xml:space="preserve">. The FTB says that for</w:t>
      </w:r>
      <w:r>
        <w:t xml:space="preserve"> </w:t>
      </w:r>
      <w:r>
        <w:rPr>
          <w:b/>
          <w:bCs/>
        </w:rPr>
        <w:t xml:space="preserve">tax year 2025</w:t>
      </w:r>
      <w:r>
        <w:t xml:space="preserve"> </w:t>
      </w:r>
      <w:r>
        <w:t xml:space="preserve">the</w:t>
      </w:r>
      <w:r>
        <w:t xml:space="preserve"> </w:t>
      </w:r>
      <w:r>
        <w:rPr>
          <w:b/>
          <w:bCs/>
        </w:rPr>
        <w:t xml:space="preserve">CalEITC</w:t>
      </w:r>
      <w:r>
        <w:t xml:space="preserve"> </w:t>
      </w:r>
      <w:r>
        <w:t xml:space="preserve">can be worth up to</w:t>
      </w:r>
      <w:r>
        <w:t xml:space="preserve"> </w:t>
      </w:r>
      <w:r>
        <w:rPr>
          <w:b/>
          <w:bCs/>
        </w:rPr>
        <w:t xml:space="preserve">$3,756</w:t>
      </w:r>
      <w:r>
        <w:t xml:space="preserve"> </w:t>
      </w:r>
      <w:r>
        <w:t xml:space="preserve">for eligible working families and individuals earning up to</w:t>
      </w:r>
      <w:r>
        <w:t xml:space="preserve"> </w:t>
      </w:r>
      <w:r>
        <w:rPr>
          <w:b/>
          <w:bCs/>
        </w:rPr>
        <w:t xml:space="preserve">$32,900</w:t>
      </w:r>
      <w:r>
        <w:t xml:space="preserve">. The state also provides a renter’s credit and a foster-youth credit, which the tax-expenditure report quantifies at much smaller aggregate amounts.</w:t>
      </w:r>
      <w:r>
        <w:t xml:space="preserve"> </w:t>
      </w:r>
      <w:hyperlink r:id="rId54">
        <w:r>
          <w:rPr>
            <w:rStyle w:val="Hyperlink"/>
          </w:rPr>
          <w:t xml:space="preserve">[46]</w:t>
        </w:r>
      </w:hyperlink>
    </w:p>
    <w:bookmarkStart w:id="55" w:name="california-summary-table"/>
    <w:p>
      <w:pPr>
        <w:pStyle w:val="Heading3"/>
      </w:pPr>
      <w:r>
        <w:t xml:space="preserve">California summary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California item</w:t>
            </w:r>
          </w:p>
        </w:tc>
        <w:tc>
          <w:tcPr/>
          <w:p>
            <w:pPr>
              <w:pStyle w:val="Compact"/>
            </w:pPr>
            <w:r>
              <w:t xml:space="preserve">Latest official figure</w:t>
            </w:r>
          </w:p>
        </w:tc>
      </w:tr>
      <w:tr>
        <w:tc>
          <w:tcPr/>
          <w:p>
            <w:pPr>
              <w:pStyle w:val="Compact"/>
            </w:pPr>
            <w:r>
              <w:t xml:space="preserve">PIT structure</w:t>
            </w:r>
          </w:p>
        </w:tc>
        <w:tc>
          <w:tcPr/>
          <w:p>
            <w:pPr>
              <w:pStyle w:val="Compact"/>
            </w:pPr>
            <w:r>
              <w:t xml:space="preserve">Progressive schedule; latest published detailed tables are TY2025</w:t>
            </w:r>
          </w:p>
        </w:tc>
      </w:tr>
      <w:tr>
        <w:tc>
          <w:tcPr/>
          <w:p>
            <w:pPr>
              <w:pStyle w:val="Compact"/>
            </w:pPr>
            <w:r>
              <w:t xml:space="preserve">PIT rate range</w:t>
            </w:r>
          </w:p>
        </w:tc>
        <w:tc>
          <w:tcPr/>
          <w:p>
            <w:pPr>
              <w:pStyle w:val="Compact"/>
            </w:pPr>
            <w:r>
              <w:t xml:space="preserve">1.0% to 13.3% structure</w:t>
            </w:r>
          </w:p>
        </w:tc>
      </w:tr>
      <w:tr>
        <w:tc>
          <w:tcPr/>
          <w:p>
            <w:pPr>
              <w:pStyle w:val="Compact"/>
            </w:pPr>
            <w:r>
              <w:t xml:space="preserve">Corporate rate</w:t>
            </w:r>
          </w:p>
        </w:tc>
        <w:tc>
          <w:tcPr/>
          <w:p>
            <w:pPr>
              <w:pStyle w:val="Compact"/>
            </w:pPr>
            <w:r>
              <w:t xml:space="preserve">8.84%</w:t>
            </w:r>
          </w:p>
        </w:tc>
      </w:tr>
      <w:tr>
        <w:tc>
          <w:tcPr/>
          <w:p>
            <w:pPr>
              <w:pStyle w:val="Compact"/>
            </w:pPr>
            <w:r>
              <w:t xml:space="preserve">Banks/financials corporate rate</w:t>
            </w:r>
          </w:p>
        </w:tc>
        <w:tc>
          <w:tcPr/>
          <w:p>
            <w:pPr>
              <w:pStyle w:val="Compact"/>
            </w:pPr>
            <w:r>
              <w:t xml:space="preserve">10.84%</w:t>
            </w:r>
          </w:p>
        </w:tc>
      </w:tr>
      <w:tr>
        <w:tc>
          <w:tcPr/>
          <w:p>
            <w:pPr>
              <w:pStyle w:val="Compact"/>
            </w:pPr>
            <w:r>
              <w:t xml:space="preserve">Corporate AMT</w:t>
            </w:r>
          </w:p>
        </w:tc>
        <w:tc>
          <w:tcPr/>
          <w:p>
            <w:pPr>
              <w:pStyle w:val="Compact"/>
            </w:pPr>
            <w:r>
              <w:t xml:space="preserve">6.65%</w:t>
            </w:r>
          </w:p>
        </w:tc>
      </w:tr>
      <w:tr>
        <w:tc>
          <w:tcPr/>
          <w:p>
            <w:pPr>
              <w:pStyle w:val="Compact"/>
            </w:pPr>
            <w:r>
              <w:t xml:space="preserve">Property tax general levy</w:t>
            </w:r>
          </w:p>
        </w:tc>
        <w:tc>
          <w:tcPr/>
          <w:p>
            <w:pPr>
              <w:pStyle w:val="Compact"/>
            </w:pPr>
            <w:r>
              <w:t xml:space="preserve">1% of assessed value plus voter-approved debt, under Proposition 13</w:t>
            </w:r>
          </w:p>
        </w:tc>
      </w:tr>
      <w:tr>
        <w:tc>
          <w:tcPr/>
          <w:p>
            <w:pPr>
              <w:pStyle w:val="Compact"/>
            </w:pPr>
            <w:r>
              <w:t xml:space="preserve">PIT share of General Fund</w:t>
            </w:r>
          </w:p>
        </w:tc>
        <w:tc>
          <w:tcPr/>
          <w:p>
            <w:pPr>
              <w:pStyle w:val="Compact"/>
            </w:pPr>
            <w:r>
              <w:t xml:space="preserve">Nearly 60% in 2024-25</w:t>
            </w:r>
          </w:p>
        </w:tc>
      </w:tr>
      <w:tr>
        <w:tc>
          <w:tcPr/>
          <w:p>
            <w:pPr>
              <w:pStyle w:val="Compact"/>
            </w:pPr>
            <w:r>
              <w:t xml:space="preserve">Sales-tax share of General Fund</w:t>
            </w:r>
          </w:p>
        </w:tc>
        <w:tc>
          <w:tcPr/>
          <w:p>
            <w:pPr>
              <w:pStyle w:val="Compact"/>
            </w:pPr>
            <w:r>
              <w:t xml:space="preserve">About 15% in 2024-25</w:t>
            </w:r>
          </w:p>
        </w:tc>
      </w:tr>
      <w:tr>
        <w:tc>
          <w:tcPr/>
          <w:p>
            <w:pPr>
              <w:pStyle w:val="Compact"/>
            </w:pPr>
            <w:r>
              <w:t xml:space="preserve">PTET extension effect vs. prior forecast</w:t>
            </w:r>
          </w:p>
        </w:tc>
        <w:tc>
          <w:tcPr/>
          <w:p>
            <w:pPr>
              <w:pStyle w:val="Compact"/>
            </w:pPr>
            <w:r>
              <w:t xml:space="preserve">+$22.9B corporation tax revenue and -$20.2B PIT over budget window</w:t>
            </w:r>
          </w:p>
        </w:tc>
      </w:tr>
      <w:tr>
        <w:tc>
          <w:tcPr/>
          <w:p>
            <w:pPr>
              <w:pStyle w:val="Compact"/>
            </w:pPr>
            <w:r>
              <w:t xml:space="preserve">Largest state PIT tax expenditures</w:t>
            </w:r>
          </w:p>
        </w:tc>
        <w:tc>
          <w:tcPr/>
          <w:p>
            <w:pPr>
              <w:pStyle w:val="Compact"/>
            </w:pPr>
            <w:r>
              <w:t xml:space="preserve">Pension exclusion, health-plan exclusion, Social Security exclusion, home-sale gain exclusion, charitable and mortgage-interest deductions</w:t>
            </w:r>
          </w:p>
        </w:tc>
      </w:tr>
      <w:tr>
        <w:tc>
          <w:tcPr/>
          <w:p>
            <w:pPr>
              <w:pStyle w:val="Compact"/>
            </w:pPr>
            <w:r>
              <w:t xml:space="preserve">Largest major corporate tax expenditures</w:t>
            </w:r>
          </w:p>
        </w:tc>
        <w:tc>
          <w:tcPr/>
          <w:p>
            <w:pPr>
              <w:pStyle w:val="Compact"/>
            </w:pPr>
            <w:r>
              <w:t xml:space="preserve">Water’s-edge election; R&amp;D credit</w:t>
            </w:r>
          </w:p>
        </w:tc>
      </w:tr>
    </w:tbl>
    <w:p>
      <w:pPr>
        <w:pStyle w:val="BodyText"/>
      </w:pPr>
      <w:r>
        <w:rPr>
          <w:b/>
          <w:bCs/>
        </w:rPr>
        <w:t xml:space="preserve">Sources:</w:t>
      </w:r>
      <w:r>
        <w:t xml:space="preserve"> </w:t>
      </w:r>
      <w:r>
        <w:t xml:space="preserve">California Department of Finance, Franchise Tax Board, State Board of Equalization, and California tax-expenditure report.</w:t>
      </w:r>
      <w:r>
        <w:t xml:space="preserve"> </w:t>
      </w:r>
      <w:hyperlink r:id="rId28">
        <w:r>
          <w:rPr>
            <w:rStyle w:val="Hyperlink"/>
          </w:rPr>
          <w:t xml:space="preserve">[47]</w:t>
        </w:r>
      </w:hyperlink>
    </w:p>
    <w:bookmarkEnd w:id="55"/>
    <w:bookmarkEnd w:id="56"/>
    <w:bookmarkStart w:id="60" w:name="appendix"/>
    <w:p>
      <w:pPr>
        <w:pStyle w:val="Heading2"/>
      </w:pPr>
      <w:r>
        <w:t xml:space="preserve">Appendix</w:t>
      </w:r>
    </w:p>
    <w:bookmarkStart w:id="57" w:name="federal-rates-and-receipts-data-table"/>
    <w:p>
      <w:pPr>
        <w:pStyle w:val="Heading3"/>
      </w:pPr>
      <w:r>
        <w:t xml:space="preserve">Federal rates and receipts data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Data year</w:t>
            </w:r>
          </w:p>
        </w:tc>
        <w:tc>
          <w:tcPr/>
          <w:p>
            <w:pPr>
              <w:pStyle w:val="Compact"/>
            </w:pPr>
            <w:r>
              <w:t xml:space="preserve">Value</w:t>
            </w:r>
          </w:p>
        </w:tc>
      </w:tr>
      <w:tr>
        <w:tc>
          <w:tcPr/>
          <w:p>
            <w:pPr>
              <w:pStyle w:val="Compact"/>
            </w:pPr>
            <w:r>
              <w:t xml:space="preserve">Federal individual rate schedule</w:t>
            </w:r>
          </w:p>
        </w:tc>
        <w:tc>
          <w:tcPr/>
          <w:p>
            <w:pPr>
              <w:pStyle w:val="Compact"/>
            </w:pPr>
            <w:r>
              <w:t xml:space="preserve">TY2026</w:t>
            </w:r>
          </w:p>
        </w:tc>
        <w:tc>
          <w:tcPr/>
          <w:p>
            <w:pPr>
              <w:pStyle w:val="Compact"/>
            </w:pPr>
            <w:r>
              <w:t xml:space="preserve">10%, 12%, 22%, 24%, 32%, 35%, 37%</w:t>
            </w:r>
          </w:p>
        </w:tc>
      </w:tr>
      <w:tr>
        <w:tc>
          <w:tcPr/>
          <w:p>
            <w:pPr>
              <w:pStyle w:val="Compact"/>
            </w:pPr>
            <w:r>
              <w:t xml:space="preserve">Standard deduction, single</w:t>
            </w:r>
          </w:p>
        </w:tc>
        <w:tc>
          <w:tcPr/>
          <w:p>
            <w:pPr>
              <w:pStyle w:val="Compact"/>
            </w:pPr>
            <w:r>
              <w:t xml:space="preserve">TY2026</w:t>
            </w:r>
          </w:p>
        </w:tc>
        <w:tc>
          <w:tcPr/>
          <w:p>
            <w:pPr>
              <w:pStyle w:val="Compact"/>
            </w:pPr>
            <w:r>
              <w:t xml:space="preserve">$16,100</w:t>
            </w:r>
          </w:p>
        </w:tc>
      </w:tr>
      <w:tr>
        <w:tc>
          <w:tcPr/>
          <w:p>
            <w:pPr>
              <w:pStyle w:val="Compact"/>
            </w:pPr>
            <w:r>
              <w:t xml:space="preserve">Standard deduction, joint</w:t>
            </w:r>
          </w:p>
        </w:tc>
        <w:tc>
          <w:tcPr/>
          <w:p>
            <w:pPr>
              <w:pStyle w:val="Compact"/>
            </w:pPr>
            <w:r>
              <w:t xml:space="preserve">TY2026</w:t>
            </w:r>
          </w:p>
        </w:tc>
        <w:tc>
          <w:tcPr/>
          <w:p>
            <w:pPr>
              <w:pStyle w:val="Compact"/>
            </w:pPr>
            <w:r>
              <w:t xml:space="preserve">$32,200</w:t>
            </w:r>
          </w:p>
        </w:tc>
      </w:tr>
      <w:tr>
        <w:tc>
          <w:tcPr/>
          <w:p>
            <w:pPr>
              <w:pStyle w:val="Compact"/>
            </w:pPr>
            <w:r>
              <w:t xml:space="preserve">Top-bracket threshold, single</w:t>
            </w:r>
          </w:p>
        </w:tc>
        <w:tc>
          <w:tcPr/>
          <w:p>
            <w:pPr>
              <w:pStyle w:val="Compact"/>
            </w:pPr>
            <w:r>
              <w:t xml:space="preserve">TY2026</w:t>
            </w:r>
          </w:p>
        </w:tc>
        <w:tc>
          <w:tcPr/>
          <w:p>
            <w:pPr>
              <w:pStyle w:val="Compact"/>
            </w:pPr>
            <w:r>
              <w:t xml:space="preserve">$640,600</w:t>
            </w:r>
          </w:p>
        </w:tc>
      </w:tr>
      <w:tr>
        <w:tc>
          <w:tcPr/>
          <w:p>
            <w:pPr>
              <w:pStyle w:val="Compact"/>
            </w:pPr>
            <w:r>
              <w:t xml:space="preserve">Top-bracket threshold, joint</w:t>
            </w:r>
          </w:p>
        </w:tc>
        <w:tc>
          <w:tcPr/>
          <w:p>
            <w:pPr>
              <w:pStyle w:val="Compact"/>
            </w:pPr>
            <w:r>
              <w:t xml:space="preserve">TY2026</w:t>
            </w:r>
          </w:p>
        </w:tc>
        <w:tc>
          <w:tcPr/>
          <w:p>
            <w:pPr>
              <w:pStyle w:val="Compact"/>
            </w:pPr>
            <w:r>
              <w:t xml:space="preserve">$768,700</w:t>
            </w:r>
          </w:p>
        </w:tc>
      </w:tr>
      <w:tr>
        <w:tc>
          <w:tcPr/>
          <w:p>
            <w:pPr>
              <w:pStyle w:val="Compact"/>
            </w:pPr>
            <w:r>
              <w:t xml:space="preserve">Estate tax basic exclusion</w:t>
            </w:r>
          </w:p>
        </w:tc>
        <w:tc>
          <w:tcPr/>
          <w:p>
            <w:pPr>
              <w:pStyle w:val="Compact"/>
            </w:pPr>
            <w:r>
              <w:t xml:space="preserve">2026 deaths</w:t>
            </w:r>
          </w:p>
        </w:tc>
        <w:tc>
          <w:tcPr/>
          <w:p>
            <w:pPr>
              <w:pStyle w:val="Compact"/>
            </w:pPr>
            <w:r>
              <w:t xml:space="preserve">$15.0 million</w:t>
            </w:r>
          </w:p>
        </w:tc>
      </w:tr>
      <w:tr>
        <w:tc>
          <w:tcPr/>
          <w:p>
            <w:pPr>
              <w:pStyle w:val="Compact"/>
            </w:pPr>
            <w:r>
              <w:t xml:space="preserve">OASDI wage base</w:t>
            </w:r>
          </w:p>
        </w:tc>
        <w:tc>
          <w:tcPr/>
          <w:p>
            <w:pPr>
              <w:pStyle w:val="Compact"/>
            </w:pPr>
            <w:r>
              <w:t xml:space="preserve">Calendar 2026</w:t>
            </w:r>
          </w:p>
        </w:tc>
        <w:tc>
          <w:tcPr/>
          <w:p>
            <w:pPr>
              <w:pStyle w:val="Compact"/>
            </w:pPr>
            <w:r>
              <w:t xml:space="preserve">$184,500</w:t>
            </w:r>
          </w:p>
        </w:tc>
      </w:tr>
      <w:tr>
        <w:tc>
          <w:tcPr/>
          <w:p>
            <w:pPr>
              <w:pStyle w:val="Compact"/>
            </w:pPr>
            <w:r>
              <w:t xml:space="preserve">Federal receipts total</w:t>
            </w:r>
          </w:p>
        </w:tc>
        <w:tc>
          <w:tcPr/>
          <w:p>
            <w:pPr>
              <w:pStyle w:val="Compact"/>
            </w:pPr>
            <w:r>
              <w:t xml:space="preserve">FY2025</w:t>
            </w:r>
          </w:p>
        </w:tc>
        <w:tc>
          <w:tcPr/>
          <w:p>
            <w:pPr>
              <w:pStyle w:val="Compact"/>
            </w:pPr>
            <w:r>
              <w:t xml:space="preserve">$5.291 trillion</w:t>
            </w:r>
          </w:p>
        </w:tc>
      </w:tr>
      <w:tr>
        <w:tc>
          <w:tcPr/>
          <w:p>
            <w:pPr>
              <w:pStyle w:val="Compact"/>
            </w:pPr>
            <w:r>
              <w:t xml:space="preserve">Individual income taxes</w:t>
            </w:r>
          </w:p>
        </w:tc>
        <w:tc>
          <w:tcPr/>
          <w:p>
            <w:pPr>
              <w:pStyle w:val="Compact"/>
            </w:pPr>
            <w:r>
              <w:t xml:space="preserve">FY2025</w:t>
            </w:r>
          </w:p>
        </w:tc>
        <w:tc>
          <w:tcPr/>
          <w:p>
            <w:pPr>
              <w:pStyle w:val="Compact"/>
            </w:pPr>
            <w:r>
              <w:t xml:space="preserve">$2.684 trillion</w:t>
            </w:r>
          </w:p>
        </w:tc>
      </w:tr>
      <w:tr>
        <w:tc>
          <w:tcPr/>
          <w:p>
            <w:pPr>
              <w:pStyle w:val="Compact"/>
            </w:pPr>
            <w:r>
              <w:t xml:space="preserve">Payroll taxes</w:t>
            </w:r>
          </w:p>
        </w:tc>
        <w:tc>
          <w:tcPr/>
          <w:p>
            <w:pPr>
              <w:pStyle w:val="Compact"/>
            </w:pPr>
            <w:r>
              <w:t xml:space="preserve">FY2025</w:t>
            </w:r>
          </w:p>
        </w:tc>
        <w:tc>
          <w:tcPr/>
          <w:p>
            <w:pPr>
              <w:pStyle w:val="Compact"/>
            </w:pPr>
            <w:r>
              <w:t xml:space="preserve">$1.766 trillion</w:t>
            </w:r>
          </w:p>
        </w:tc>
      </w:tr>
      <w:tr>
        <w:tc>
          <w:tcPr/>
          <w:p>
            <w:pPr>
              <w:pStyle w:val="Compact"/>
            </w:pPr>
            <w:r>
              <w:t xml:space="preserve">Corporate income taxes</w:t>
            </w:r>
          </w:p>
        </w:tc>
        <w:tc>
          <w:tcPr/>
          <w:p>
            <w:pPr>
              <w:pStyle w:val="Compact"/>
            </w:pPr>
            <w:r>
              <w:t xml:space="preserve">FY2025</w:t>
            </w:r>
          </w:p>
        </w:tc>
        <w:tc>
          <w:tcPr/>
          <w:p>
            <w:pPr>
              <w:pStyle w:val="Compact"/>
            </w:pPr>
            <w:r>
              <w:t xml:space="preserve">$456 billion</w:t>
            </w:r>
          </w:p>
        </w:tc>
      </w:tr>
      <w:tr>
        <w:tc>
          <w:tcPr/>
          <w:p>
            <w:pPr>
              <w:pStyle w:val="Compact"/>
            </w:pPr>
            <w:r>
              <w:t xml:space="preserve">Customs duties</w:t>
            </w:r>
          </w:p>
        </w:tc>
        <w:tc>
          <w:tcPr/>
          <w:p>
            <w:pPr>
              <w:pStyle w:val="Compact"/>
            </w:pPr>
            <w:r>
              <w:t xml:space="preserve">FY2025</w:t>
            </w:r>
          </w:p>
        </w:tc>
        <w:tc>
          <w:tcPr/>
          <w:p>
            <w:pPr>
              <w:pStyle w:val="Compact"/>
            </w:pPr>
            <w:r>
              <w:t xml:space="preserve">$194 billion</w:t>
            </w:r>
          </w:p>
        </w:tc>
      </w:tr>
      <w:tr>
        <w:tc>
          <w:tcPr/>
          <w:p>
            <w:pPr>
              <w:pStyle w:val="Compact"/>
            </w:pPr>
            <w:r>
              <w:t xml:space="preserve">Excise taxes</w:t>
            </w:r>
          </w:p>
        </w:tc>
        <w:tc>
          <w:tcPr/>
          <w:p>
            <w:pPr>
              <w:pStyle w:val="Compact"/>
            </w:pPr>
            <w:r>
              <w:t xml:space="preserve">FY2025</w:t>
            </w:r>
          </w:p>
        </w:tc>
        <w:tc>
          <w:tcPr/>
          <w:p>
            <w:pPr>
              <w:pStyle w:val="Compact"/>
            </w:pPr>
            <w:r>
              <w:t xml:space="preserve">$105 billion</w:t>
            </w:r>
          </w:p>
        </w:tc>
      </w:tr>
      <w:tr>
        <w:tc>
          <w:tcPr/>
          <w:p>
            <w:pPr>
              <w:pStyle w:val="Compact"/>
            </w:pPr>
            <w:r>
              <w:t xml:space="preserve">Estate and gift taxes</w:t>
            </w:r>
          </w:p>
        </w:tc>
        <w:tc>
          <w:tcPr/>
          <w:p>
            <w:pPr>
              <w:pStyle w:val="Compact"/>
            </w:pPr>
            <w:r>
              <w:t xml:space="preserve">FY2025</w:t>
            </w:r>
          </w:p>
        </w:tc>
        <w:tc>
          <w:tcPr/>
          <w:p>
            <w:pPr>
              <w:pStyle w:val="Compact"/>
            </w:pPr>
            <w:r>
              <w:t xml:space="preserve">$31 billion</w:t>
            </w:r>
          </w:p>
        </w:tc>
      </w:tr>
    </w:tbl>
    <w:p>
      <w:pPr>
        <w:pStyle w:val="BodyText"/>
      </w:pPr>
      <w:r>
        <w:rPr>
          <w:b/>
          <w:bCs/>
        </w:rPr>
        <w:t xml:space="preserve">Sources:</w:t>
      </w:r>
      <w:r>
        <w:t xml:space="preserve"> </w:t>
      </w:r>
      <w:r>
        <w:t xml:space="preserve">IRS, SSA, CBO.</w:t>
      </w:r>
      <w:r>
        <w:t xml:space="preserve"> </w:t>
      </w:r>
      <w:hyperlink r:id="rId21">
        <w:r>
          <w:rPr>
            <w:rStyle w:val="Hyperlink"/>
          </w:rPr>
          <w:t xml:space="preserve">[48]</w:t>
        </w:r>
      </w:hyperlink>
    </w:p>
    <w:bookmarkEnd w:id="57"/>
    <w:bookmarkStart w:id="58" w:name="state-local-and-california-data-table"/>
    <w:p>
      <w:pPr>
        <w:pStyle w:val="Heading3"/>
      </w:pPr>
      <w:r>
        <w:t xml:space="preserve">State-local and California data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Data year</w:t>
            </w:r>
          </w:p>
        </w:tc>
        <w:tc>
          <w:tcPr/>
          <w:p>
            <w:pPr>
              <w:pStyle w:val="Compact"/>
            </w:pPr>
            <w:r>
              <w:t xml:space="preserve">Value</w:t>
            </w:r>
          </w:p>
        </w:tc>
      </w:tr>
      <w:tr>
        <w:tc>
          <w:tcPr/>
          <w:p>
            <w:pPr>
              <w:pStyle w:val="Compact"/>
            </w:pPr>
            <w:r>
              <w:t xml:space="preserve">State-local current tax receipts</w:t>
            </w:r>
          </w:p>
        </w:tc>
        <w:tc>
          <w:tcPr/>
          <w:p>
            <w:pPr>
              <w:pStyle w:val="Compact"/>
            </w:pPr>
            <w:r>
              <w:t xml:space="preserve">Q4 2025 SAAR</w:t>
            </w:r>
          </w:p>
        </w:tc>
        <w:tc>
          <w:tcPr/>
          <w:p>
            <w:pPr>
              <w:pStyle w:val="Compact"/>
            </w:pPr>
            <w:r>
              <w:t xml:space="preserve">$2.725 trillion</w:t>
            </w:r>
          </w:p>
        </w:tc>
      </w:tr>
      <w:tr>
        <w:tc>
          <w:tcPr/>
          <w:p>
            <w:pPr>
              <w:pStyle w:val="Compact"/>
            </w:pPr>
            <w:r>
              <w:t xml:space="preserve">State-local property taxes</w:t>
            </w:r>
          </w:p>
        </w:tc>
        <w:tc>
          <w:tcPr/>
          <w:p>
            <w:pPr>
              <w:pStyle w:val="Compact"/>
            </w:pPr>
            <w:r>
              <w:t xml:space="preserve">Q4 2025 SAAR</w:t>
            </w:r>
          </w:p>
        </w:tc>
        <w:tc>
          <w:tcPr/>
          <w:p>
            <w:pPr>
              <w:pStyle w:val="Compact"/>
            </w:pPr>
            <w:r>
              <w:t xml:space="preserve">$805.1 billion</w:t>
            </w:r>
          </w:p>
        </w:tc>
      </w:tr>
      <w:tr>
        <w:tc>
          <w:tcPr/>
          <w:p>
            <w:pPr>
              <w:pStyle w:val="Compact"/>
            </w:pPr>
            <w:r>
              <w:t xml:space="preserve">State-local income taxes</w:t>
            </w:r>
          </w:p>
        </w:tc>
        <w:tc>
          <w:tcPr/>
          <w:p>
            <w:pPr>
              <w:pStyle w:val="Compact"/>
            </w:pPr>
            <w:r>
              <w:t xml:space="preserve">Q4 2025 SAAR</w:t>
            </w:r>
          </w:p>
        </w:tc>
        <w:tc>
          <w:tcPr/>
          <w:p>
            <w:pPr>
              <w:pStyle w:val="Compact"/>
            </w:pPr>
            <w:r>
              <w:t xml:space="preserve">$793.1 billion</w:t>
            </w:r>
          </w:p>
        </w:tc>
      </w:tr>
      <w:tr>
        <w:tc>
          <w:tcPr/>
          <w:p>
            <w:pPr>
              <w:pStyle w:val="Compact"/>
            </w:pPr>
            <w:r>
              <w:t xml:space="preserve">State-local sales taxes</w:t>
            </w:r>
          </w:p>
        </w:tc>
        <w:tc>
          <w:tcPr/>
          <w:p>
            <w:pPr>
              <w:pStyle w:val="Compact"/>
            </w:pPr>
            <w:r>
              <w:t xml:space="preserve">Q4 2025 SAAR</w:t>
            </w:r>
          </w:p>
        </w:tc>
        <w:tc>
          <w:tcPr/>
          <w:p>
            <w:pPr>
              <w:pStyle w:val="Compact"/>
            </w:pPr>
            <w:r>
              <w:t xml:space="preserve">$633.0 billion</w:t>
            </w:r>
          </w:p>
        </w:tc>
      </w:tr>
      <w:tr>
        <w:tc>
          <w:tcPr/>
          <w:p>
            <w:pPr>
              <w:pStyle w:val="Compact"/>
            </w:pPr>
            <w:r>
              <w:t xml:space="preserve">State-local excise taxes</w:t>
            </w:r>
          </w:p>
        </w:tc>
        <w:tc>
          <w:tcPr/>
          <w:p>
            <w:pPr>
              <w:pStyle w:val="Compact"/>
            </w:pPr>
            <w:r>
              <w:t xml:space="preserve">Q4 2025 SAAR</w:t>
            </w:r>
          </w:p>
        </w:tc>
        <w:tc>
          <w:tcPr/>
          <w:p>
            <w:pPr>
              <w:pStyle w:val="Compact"/>
            </w:pPr>
            <w:r>
              <w:t xml:space="preserve">~$294.5 billion</w:t>
            </w:r>
          </w:p>
        </w:tc>
      </w:tr>
      <w:tr>
        <w:tc>
          <w:tcPr/>
          <w:p>
            <w:pPr>
              <w:pStyle w:val="Compact"/>
            </w:pPr>
            <w:r>
              <w:t xml:space="preserve">Combined state-local taxes</w:t>
            </w:r>
          </w:p>
        </w:tc>
        <w:tc>
          <w:tcPr/>
          <w:p>
            <w:pPr>
              <w:pStyle w:val="Compact"/>
            </w:pPr>
            <w:r>
              <w:t xml:space="preserve">4 quarters ending Q4 2025</w:t>
            </w:r>
          </w:p>
        </w:tc>
        <w:tc>
          <w:tcPr/>
          <w:p>
            <w:pPr>
              <w:pStyle w:val="Compact"/>
            </w:pPr>
            <w:r>
              <w:t xml:space="preserve">$2.211 trillion</w:t>
            </w:r>
          </w:p>
        </w:tc>
      </w:tr>
      <w:tr>
        <w:tc>
          <w:tcPr/>
          <w:p>
            <w:pPr>
              <w:pStyle w:val="Compact"/>
            </w:pPr>
            <w:r>
              <w:t xml:space="preserve">California total state taxes</w:t>
            </w:r>
          </w:p>
        </w:tc>
        <w:tc>
          <w:tcPr/>
          <w:p>
            <w:pPr>
              <w:pStyle w:val="Compact"/>
            </w:pPr>
            <w:r>
              <w:t xml:space="preserve">2025 annual state collections</w:t>
            </w:r>
          </w:p>
        </w:tc>
        <w:tc>
          <w:tcPr/>
          <w:p>
            <w:pPr>
              <w:pStyle w:val="Compact"/>
            </w:pPr>
            <w:r>
              <w:t xml:space="preserve">$275.0 billion</w:t>
            </w:r>
          </w:p>
        </w:tc>
      </w:tr>
      <w:tr>
        <w:tc>
          <w:tcPr/>
          <w:p>
            <w:pPr>
              <w:pStyle w:val="Compact"/>
            </w:pPr>
            <w:r>
              <w:t xml:space="preserve">California total sales and gross receipts taxes</w:t>
            </w:r>
          </w:p>
        </w:tc>
        <w:tc>
          <w:tcPr/>
          <w:p>
            <w:pPr>
              <w:pStyle w:val="Compact"/>
            </w:pPr>
            <w:r>
              <w:t xml:space="preserve">2025 annual state collections</w:t>
            </w:r>
          </w:p>
        </w:tc>
        <w:tc>
          <w:tcPr/>
          <w:p>
            <w:pPr>
              <w:pStyle w:val="Compact"/>
            </w:pPr>
            <w:r>
              <w:t xml:space="preserve">$75.4 billion</w:t>
            </w:r>
          </w:p>
        </w:tc>
      </w:tr>
    </w:tbl>
    <w:p>
      <w:pPr>
        <w:pStyle w:val="BodyText"/>
      </w:pPr>
      <w:r>
        <w:rPr>
          <w:b/>
          <w:bCs/>
        </w:rPr>
        <w:t xml:space="preserve">Sources:</w:t>
      </w:r>
      <w:r>
        <w:t xml:space="preserve"> </w:t>
      </w:r>
      <w:r>
        <w:t xml:space="preserve">BEA Q4 2025 current receipts table; Census QTAX; Census annual state tax collections via FRED.</w:t>
      </w:r>
      <w:r>
        <w:t xml:space="preserve"> </w:t>
      </w:r>
      <w:hyperlink r:id="rId27">
        <w:r>
          <w:rPr>
            <w:rStyle w:val="Hyperlink"/>
          </w:rPr>
          <w:t xml:space="preserve">[49]</w:t>
        </w:r>
      </w:hyperlink>
    </w:p>
    <w:bookmarkEnd w:id="58"/>
    <w:bookmarkStart w:id="59" w:name="open-questions-and-limitations"/>
    <w:p>
      <w:pPr>
        <w:pStyle w:val="Heading3"/>
      </w:pPr>
      <w:r>
        <w:t xml:space="preserve">Open questions and limitations</w:t>
      </w:r>
    </w:p>
    <w:p>
      <w:pPr>
        <w:pStyle w:val="FirstParagraph"/>
      </w:pPr>
      <w:r>
        <w:t xml:space="preserve">Two limits matter for interpretation. First, the latest official</w:t>
      </w:r>
      <w:r>
        <w:t xml:space="preserve"> </w:t>
      </w:r>
      <w:r>
        <w:rPr>
          <w:b/>
          <w:bCs/>
        </w:rPr>
        <w:t xml:space="preserve">all-federal</w:t>
      </w:r>
      <w:r>
        <w:t xml:space="preserve"> </w:t>
      </w:r>
      <w:r>
        <w:t xml:space="preserve">distributional-incidence data are</w:t>
      </w:r>
      <w:r>
        <w:t xml:space="preserve"> </w:t>
      </w:r>
      <w:r>
        <w:rPr>
          <w:b/>
          <w:bCs/>
        </w:rPr>
        <w:t xml:space="preserve">2022</w:t>
      </w:r>
      <w:r>
        <w:t xml:space="preserve">, so any statement about current-year burden by decile/percentile requires either interpolation or model-based estimates; this report therefore relies on CBO for 2022 and IRS-based percentile data for the narrower 2023 individual income tax. Second, California had not yet published a full</w:t>
      </w:r>
      <w:r>
        <w:t xml:space="preserve"> </w:t>
      </w:r>
      <w:r>
        <w:rPr>
          <w:b/>
          <w:bCs/>
        </w:rPr>
        <w:t xml:space="preserve">tax-year 2026</w:t>
      </w:r>
      <w:r>
        <w:t xml:space="preserve"> </w:t>
      </w:r>
      <w:r>
        <w:t xml:space="preserve">PIT schedule as of April 27, 2026, so the California rate discussion uses the latest official detailed schedules then available, which were for</w:t>
      </w:r>
      <w:r>
        <w:t xml:space="preserve"> </w:t>
      </w:r>
      <w:r>
        <w:rPr>
          <w:b/>
          <w:bCs/>
        </w:rPr>
        <w:t xml:space="preserve">tax year 2025</w:t>
      </w:r>
      <w:r>
        <w:t xml:space="preserve">.</w:t>
      </w:r>
      <w:r>
        <w:t xml:space="preserve"> </w:t>
      </w:r>
      <w:hyperlink r:id="rId39">
        <w:r>
          <w:rPr>
            <w:rStyle w:val="Hyperlink"/>
          </w:rPr>
          <w:t xml:space="preserve">[50]</w:t>
        </w:r>
      </w:hyperlink>
    </w:p>
    <w:bookmarkEnd w:id="59"/>
    <w:bookmarkEnd w:id="60"/>
    <w:bookmarkEnd w:id="61"/>
    <w:bookmarkEnd w:id="62"/>
    <w:p>
      <w:r>
        <w:pict>
          <v:rect style="width:0;height:1.5pt" o:hralign="center" o:hrstd="t" o:hr="t"/>
        </w:pict>
      </w:r>
    </w:p>
    <w:bookmarkStart w:id="63"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[5]</w:t>
        </w:r>
      </w:hyperlink>
      <w:r>
        <w:t xml:space="preserve"> </w:t>
      </w:r>
      <w:hyperlink r:id="rId21">
        <w:r>
          <w:rPr>
            <w:rStyle w:val="Hyperlink"/>
          </w:rPr>
          <w:t xml:space="preserve">[14]</w:t>
        </w:r>
      </w:hyperlink>
      <w:r>
        <w:t xml:space="preserve"> </w:t>
      </w:r>
      <w:hyperlink r:id="rId21">
        <w:r>
          <w:rPr>
            <w:rStyle w:val="Hyperlink"/>
          </w:rPr>
          <w:t xml:space="preserve">[16]</w:t>
        </w:r>
      </w:hyperlink>
      <w:r>
        <w:t xml:space="preserve"> </w:t>
      </w:r>
      <w:hyperlink r:id="rId21">
        <w:r>
          <w:rPr>
            <w:rStyle w:val="Hyperlink"/>
          </w:rPr>
          <w:t xml:space="preserve">[23]</w:t>
        </w:r>
      </w:hyperlink>
      <w:r>
        <w:t xml:space="preserve"> </w:t>
      </w:r>
      <w:hyperlink r:id="rId21">
        <w:r>
          <w:rPr>
            <w:rStyle w:val="Hyperlink"/>
          </w:rPr>
          <w:t xml:space="preserve">[25]</w:t>
        </w:r>
      </w:hyperlink>
      <w:r>
        <w:t xml:space="preserve"> </w:t>
      </w:r>
      <w:hyperlink r:id="rId21">
        <w:r>
          <w:rPr>
            <w:rStyle w:val="Hyperlink"/>
          </w:rPr>
          <w:t xml:space="preserve">[48]</w:t>
        </w:r>
      </w:hyperlink>
      <w:r>
        <w:t xml:space="preserve"> </w:t>
      </w:r>
      <w:r>
        <w:t xml:space="preserve">IRS releases tax inflation adjustments for tax year 2026, including amendments from the One, Big, Beautiful Bill | Internal Revenue Service</w:t>
      </w:r>
    </w:p>
    <w:p>
      <w:pPr>
        <w:pStyle w:val="BodyText"/>
      </w:pPr>
      <w:hyperlink r:id="rId21">
        <w:r>
          <w:rPr>
            <w:rStyle w:val="Hyperlink"/>
          </w:rPr>
          <w:t xml:space="preserve">https://www.irs.gov/newsroom/irs-releases-tax-inflation-adjustments-for-tax-year-2026-including-amendments-from-the-one-big-beautiful-bill</w:t>
        </w:r>
      </w:hyperlink>
    </w:p>
    <w:p>
      <w:pPr>
        <w:pStyle w:val="BodyText"/>
      </w:pPr>
      <w:hyperlink r:id="rId22">
        <w:r>
          <w:rPr>
            <w:rStyle w:val="Hyperlink"/>
          </w:rPr>
          <w:t xml:space="preserve">[3]</w:t>
        </w:r>
      </w:hyperlink>
      <w:r>
        <w:t xml:space="preserve"> </w:t>
      </w:r>
      <w:r>
        <w:t xml:space="preserve">TAX EXPENDITURES FISCAL YEAR 2027</w:t>
      </w:r>
    </w:p>
    <w:p>
      <w:pPr>
        <w:pStyle w:val="BodyText"/>
      </w:pPr>
      <w:hyperlink r:id="rId22">
        <w:r>
          <w:rPr>
            <w:rStyle w:val="Hyperlink"/>
          </w:rPr>
          <w:t xml:space="preserve">https://home.treasury.gov/system/files/131/Tax-Expenditures-FY2027.pdf?utm_source=chatgpt.com</w:t>
        </w:r>
      </w:hyperlink>
    </w:p>
    <w:p>
      <w:pPr>
        <w:pStyle w:val="BodyText"/>
      </w:pPr>
      <w:hyperlink r:id="rId23">
        <w:r>
          <w:rPr>
            <w:rStyle w:val="Hyperlink"/>
          </w:rPr>
          <w:t xml:space="preserve">[4]</w:t>
        </w:r>
      </w:hyperlink>
      <w:r>
        <w:t xml:space="preserve"> </w:t>
      </w:r>
      <w:hyperlink r:id="rId23">
        <w:r>
          <w:rPr>
            <w:rStyle w:val="Hyperlink"/>
          </w:rPr>
          <w:t xml:space="preserve">[8]</w:t>
        </w:r>
      </w:hyperlink>
      <w:r>
        <w:t xml:space="preserve"> </w:t>
      </w:r>
      <w:r>
        <w:t xml:space="preserve">CBO Shows Federal Taxes Remained Progressive in 2022</w:t>
      </w:r>
    </w:p>
    <w:p>
      <w:pPr>
        <w:pStyle w:val="BodyText"/>
      </w:pPr>
      <w:hyperlink r:id="rId23">
        <w:r>
          <w:rPr>
            <w:rStyle w:val="Hyperlink"/>
          </w:rPr>
          <w:t xml:space="preserve">https://taxfoundation.org/data/all/federal/us-income-growth-progressive-tax-code-2022/?utm_source=chatgpt.com</w:t>
        </w:r>
      </w:hyperlink>
    </w:p>
    <w:p>
      <w:pPr>
        <w:pStyle w:val="BodyText"/>
      </w:pPr>
      <w:hyperlink r:id="rId24">
        <w:r>
          <w:rPr>
            <w:rStyle w:val="Hyperlink"/>
          </w:rPr>
          <w:t xml:space="preserve">[6]</w:t>
        </w:r>
      </w:hyperlink>
      <w:r>
        <w:t xml:space="preserve"> </w:t>
      </w:r>
      <w:r>
        <w:t xml:space="preserve">One, Big, Beautiful Bill provisions | Internal Revenue Service</w:t>
      </w:r>
    </w:p>
    <w:p>
      <w:pPr>
        <w:pStyle w:val="BodyText"/>
      </w:pPr>
      <w:hyperlink r:id="rId24">
        <w:r>
          <w:rPr>
            <w:rStyle w:val="Hyperlink"/>
          </w:rPr>
          <w:t xml:space="preserve">https://www.irs.gov/newsroom/one-big-beautiful-bill-provisions?utm_source=chatgpt.com</w:t>
        </w:r>
      </w:hyperlink>
    </w:p>
    <w:p>
      <w:pPr>
        <w:pStyle w:val="BodyText"/>
      </w:pPr>
      <w:hyperlink r:id="rId25">
        <w:r>
          <w:rPr>
            <w:rStyle w:val="Hyperlink"/>
          </w:rPr>
          <w:t xml:space="preserve">[7]</w:t>
        </w:r>
      </w:hyperlink>
      <w:r>
        <w:t xml:space="preserve"> </w:t>
      </w:r>
      <w:hyperlink r:id="rId25">
        <w:r>
          <w:rPr>
            <w:rStyle w:val="Hyperlink"/>
          </w:rPr>
          <w:t xml:space="preserve">[10]</w:t>
        </w:r>
      </w:hyperlink>
      <w:r>
        <w:t xml:space="preserve"> </w:t>
      </w:r>
      <w:hyperlink r:id="rId25">
        <w:r>
          <w:rPr>
            <w:rStyle w:val="Hyperlink"/>
          </w:rPr>
          <w:t xml:space="preserve">[27]</w:t>
        </w:r>
      </w:hyperlink>
      <w:r>
        <w:t xml:space="preserve"> </w:t>
      </w:r>
      <w:r>
        <w:t xml:space="preserve">home.treasury.gov</w:t>
      </w:r>
    </w:p>
    <w:p>
      <w:pPr>
        <w:pStyle w:val="BodyText"/>
      </w:pPr>
      <w:hyperlink r:id="rId25">
        <w:r>
          <w:rPr>
            <w:rStyle w:val="Hyperlink"/>
          </w:rPr>
          <w:t xml:space="preserve">https://home.treasury.gov/system/files/131/Tax-Expenditures-FY2027.pdf</w:t>
        </w:r>
      </w:hyperlink>
    </w:p>
    <w:p>
      <w:pPr>
        <w:pStyle w:val="BodyText"/>
      </w:pPr>
      <w:hyperlink r:id="rId26">
        <w:r>
          <w:rPr>
            <w:rStyle w:val="Hyperlink"/>
          </w:rPr>
          <w:t xml:space="preserve">[9]</w:t>
        </w:r>
      </w:hyperlink>
      <w:r>
        <w:t xml:space="preserve"> </w:t>
      </w:r>
      <w:hyperlink r:id="rId26">
        <w:r>
          <w:rPr>
            <w:rStyle w:val="Hyperlink"/>
          </w:rPr>
          <w:t xml:space="preserve">[19]</w:t>
        </w:r>
      </w:hyperlink>
      <w:r>
        <w:t xml:space="preserve"> </w:t>
      </w:r>
      <w:hyperlink r:id="rId26">
        <w:r>
          <w:rPr>
            <w:rStyle w:val="Hyperlink"/>
          </w:rPr>
          <w:t xml:space="preserve">[31]</w:t>
        </w:r>
      </w:hyperlink>
      <w:r>
        <w:t xml:space="preserve"> </w:t>
      </w:r>
      <w:r>
        <w:t xml:space="preserve">The tax gap | Internal Revenue Service</w:t>
      </w:r>
    </w:p>
    <w:p>
      <w:pPr>
        <w:pStyle w:val="BodyText"/>
      </w:pPr>
      <w:hyperlink r:id="rId26">
        <w:r>
          <w:rPr>
            <w:rStyle w:val="Hyperlink"/>
          </w:rPr>
          <w:t xml:space="preserve">https://www.irs.gov/newsroom/the-tax-gap</w:t>
        </w:r>
      </w:hyperlink>
    </w:p>
    <w:p>
      <w:pPr>
        <w:pStyle w:val="BodyText"/>
      </w:pPr>
      <w:hyperlink r:id="rId27">
        <w:r>
          <w:rPr>
            <w:rStyle w:val="Hyperlink"/>
          </w:rPr>
          <w:t xml:space="preserve">[11]</w:t>
        </w:r>
      </w:hyperlink>
      <w:r>
        <w:t xml:space="preserve"> </w:t>
      </w:r>
      <w:hyperlink r:id="rId27">
        <w:r>
          <w:rPr>
            <w:rStyle w:val="Hyperlink"/>
          </w:rPr>
          <w:t xml:space="preserve">[12]</w:t>
        </w:r>
      </w:hyperlink>
      <w:r>
        <w:t xml:space="preserve"> </w:t>
      </w:r>
      <w:hyperlink r:id="rId27">
        <w:r>
          <w:rPr>
            <w:rStyle w:val="Hyperlink"/>
          </w:rPr>
          <w:t xml:space="preserve">[13]</w:t>
        </w:r>
      </w:hyperlink>
      <w:r>
        <w:t xml:space="preserve"> </w:t>
      </w:r>
      <w:hyperlink r:id="rId27">
        <w:r>
          <w:rPr>
            <w:rStyle w:val="Hyperlink"/>
          </w:rPr>
          <w:t xml:space="preserve">[35]</w:t>
        </w:r>
      </w:hyperlink>
      <w:r>
        <w:t xml:space="preserve"> </w:t>
      </w:r>
      <w:hyperlink r:id="rId27">
        <w:r>
          <w:rPr>
            <w:rStyle w:val="Hyperlink"/>
          </w:rPr>
          <w:t xml:space="preserve">[38]</w:t>
        </w:r>
      </w:hyperlink>
      <w:r>
        <w:t xml:space="preserve"> </w:t>
      </w:r>
      <w:hyperlink r:id="rId27">
        <w:r>
          <w:rPr>
            <w:rStyle w:val="Hyperlink"/>
          </w:rPr>
          <w:t xml:space="preserve">[49]</w:t>
        </w:r>
      </w:hyperlink>
      <w:r>
        <w:t xml:space="preserve"> </w:t>
      </w:r>
      <w:r>
        <w:t xml:space="preserve">Q4 2025, Table 3.3. State and Local Government ... - FRED</w:t>
      </w:r>
    </w:p>
    <w:p>
      <w:pPr>
        <w:pStyle w:val="BodyText"/>
      </w:pPr>
      <w:hyperlink r:id="rId27">
        <w:r>
          <w:rPr>
            <w:rStyle w:val="Hyperlink"/>
          </w:rPr>
          <w:t xml:space="preserve">https://fred.stlouisfed.org/release/tables?eid=5337&amp;rid=53&amp;utm_source=chatgpt.com</w:t>
        </w:r>
      </w:hyperlink>
    </w:p>
    <w:p>
      <w:pPr>
        <w:pStyle w:val="BodyText"/>
      </w:pPr>
      <w:hyperlink r:id="rId28">
        <w:r>
          <w:rPr>
            <w:rStyle w:val="Hyperlink"/>
          </w:rPr>
          <w:t xml:space="preserve">[15]</w:t>
        </w:r>
      </w:hyperlink>
      <w:r>
        <w:t xml:space="preserve"> </w:t>
      </w:r>
      <w:hyperlink r:id="rId28">
        <w:r>
          <w:rPr>
            <w:rStyle w:val="Hyperlink"/>
          </w:rPr>
          <w:t xml:space="preserve">[22]</w:t>
        </w:r>
      </w:hyperlink>
      <w:r>
        <w:t xml:space="preserve"> </w:t>
      </w:r>
      <w:hyperlink r:id="rId28">
        <w:r>
          <w:rPr>
            <w:rStyle w:val="Hyperlink"/>
          </w:rPr>
          <w:t xml:space="preserve">[39]</w:t>
        </w:r>
      </w:hyperlink>
      <w:r>
        <w:t xml:space="preserve"> </w:t>
      </w:r>
      <w:hyperlink r:id="rId28">
        <w:r>
          <w:rPr>
            <w:rStyle w:val="Hyperlink"/>
          </w:rPr>
          <w:t xml:space="preserve">[43]</w:t>
        </w:r>
      </w:hyperlink>
      <w:r>
        <w:t xml:space="preserve"> </w:t>
      </w:r>
      <w:hyperlink r:id="rId28">
        <w:r>
          <w:rPr>
            <w:rStyle w:val="Hyperlink"/>
          </w:rPr>
          <w:t xml:space="preserve">[44]</w:t>
        </w:r>
      </w:hyperlink>
      <w:r>
        <w:t xml:space="preserve"> </w:t>
      </w:r>
      <w:hyperlink r:id="rId28">
        <w:r>
          <w:rPr>
            <w:rStyle w:val="Hyperlink"/>
          </w:rPr>
          <w:t xml:space="preserve">[47]</w:t>
        </w:r>
      </w:hyperlink>
      <w:r>
        <w:t xml:space="preserve"> </w:t>
      </w:r>
      <w:r>
        <w:t xml:space="preserve">Revenue Estimates - 2026-27 GB Budget Summary</w:t>
      </w:r>
    </w:p>
    <w:p>
      <w:pPr>
        <w:pStyle w:val="BodyText"/>
      </w:pPr>
      <w:hyperlink r:id="rId28">
        <w:r>
          <w:rPr>
            <w:rStyle w:val="Hyperlink"/>
          </w:rPr>
          <w:t xml:space="preserve">https://ebudget.ca.gov/2026-27/pdf/BudgetSummary/RevenueEstimates.pdf</w:t>
        </w:r>
      </w:hyperlink>
    </w:p>
    <w:p>
      <w:pPr>
        <w:pStyle w:val="BodyText"/>
      </w:pPr>
      <w:hyperlink r:id="rId30">
        <w:r>
          <w:rPr>
            <w:rStyle w:val="Hyperlink"/>
          </w:rPr>
          <w:t xml:space="preserve">[17]</w:t>
        </w:r>
      </w:hyperlink>
      <w:r>
        <w:t xml:space="preserve"> </w:t>
      </w:r>
      <w:r>
        <w:t xml:space="preserve">Rev. Proc. 2025-32</w:t>
      </w:r>
    </w:p>
    <w:p>
      <w:pPr>
        <w:pStyle w:val="BodyText"/>
      </w:pPr>
      <w:hyperlink r:id="rId30">
        <w:r>
          <w:rPr>
            <w:rStyle w:val="Hyperlink"/>
          </w:rPr>
          <w:t xml:space="preserve">https://www.irs.gov/pub/irs-drop/rp-25-32.pdf?utm_source=chatgpt.com</w:t>
        </w:r>
      </w:hyperlink>
    </w:p>
    <w:p>
      <w:pPr>
        <w:pStyle w:val="BodyText"/>
      </w:pPr>
      <w:hyperlink r:id="rId31">
        <w:r>
          <w:rPr>
            <w:rStyle w:val="Hyperlink"/>
          </w:rPr>
          <w:t xml:space="preserve">[18]</w:t>
        </w:r>
      </w:hyperlink>
      <w:r>
        <w:t xml:space="preserve"> </w:t>
      </w:r>
      <w:r>
        <w:t xml:space="preserve">Corporate alternative minimum tax</w:t>
      </w:r>
    </w:p>
    <w:p>
      <w:pPr>
        <w:pStyle w:val="BodyText"/>
      </w:pPr>
      <w:hyperlink r:id="rId31">
        <w:r>
          <w:rPr>
            <w:rStyle w:val="Hyperlink"/>
          </w:rPr>
          <w:t xml:space="preserve">https://www.irs.gov/inflation-reduction-act-of-2022/corporate-alternative-minimum-tax?utm_source=chatgpt.com</w:t>
        </w:r>
      </w:hyperlink>
    </w:p>
    <w:p>
      <w:pPr>
        <w:pStyle w:val="BodyText"/>
      </w:pPr>
      <w:hyperlink r:id="rId32">
        <w:r>
          <w:rPr>
            <w:rStyle w:val="Hyperlink"/>
          </w:rPr>
          <w:t xml:space="preserve">[20]</w:t>
        </w:r>
      </w:hyperlink>
      <w:r>
        <w:t xml:space="preserve"> </w:t>
      </w:r>
      <w:hyperlink r:id="rId32">
        <w:r>
          <w:rPr>
            <w:rStyle w:val="Hyperlink"/>
          </w:rPr>
          <w:t xml:space="preserve">[41]</w:t>
        </w:r>
      </w:hyperlink>
      <w:r>
        <w:t xml:space="preserve"> </w:t>
      </w:r>
      <w:r>
        <w:t xml:space="preserve">Contribution and Benefit Base</w:t>
      </w:r>
    </w:p>
    <w:p>
      <w:pPr>
        <w:pStyle w:val="BodyText"/>
      </w:pPr>
      <w:hyperlink r:id="rId32">
        <w:r>
          <w:rPr>
            <w:rStyle w:val="Hyperlink"/>
          </w:rPr>
          <w:t xml:space="preserve">https://www.ssa.gov/oact/cola/cbb.html?utm_source=chatgpt.com</w:t>
        </w:r>
      </w:hyperlink>
    </w:p>
    <w:p>
      <w:pPr>
        <w:pStyle w:val="BodyText"/>
      </w:pPr>
      <w:hyperlink r:id="rId33">
        <w:r>
          <w:rPr>
            <w:rStyle w:val="Hyperlink"/>
          </w:rPr>
          <w:t xml:space="preserve">[21]</w:t>
        </w:r>
      </w:hyperlink>
      <w:r>
        <w:t xml:space="preserve"> </w:t>
      </w:r>
      <w:hyperlink r:id="rId33">
        <w:r>
          <w:rPr>
            <w:rStyle w:val="Hyperlink"/>
          </w:rPr>
          <w:t xml:space="preserve">[24]</w:t>
        </w:r>
      </w:hyperlink>
      <w:r>
        <w:t xml:space="preserve"> </w:t>
      </w:r>
      <w:r>
        <w:t xml:space="preserve">Imposing a Temporary Import Surcharge to Address ...</w:t>
      </w:r>
    </w:p>
    <w:p>
      <w:pPr>
        <w:pStyle w:val="BodyText"/>
      </w:pPr>
      <w:hyperlink r:id="rId33">
        <w:r>
          <w:rPr>
            <w:rStyle w:val="Hyperlink"/>
          </w:rPr>
          <w:t xml:space="preserve">https://www.whitehouse.gov/presidential-actions/2026/02/imposing-a-temporary-import-surcharge-to-address-fundamental-international-payments-problems/?utm_source=chatgpt.com</w:t>
        </w:r>
      </w:hyperlink>
    </w:p>
    <w:p>
      <w:pPr>
        <w:pStyle w:val="BodyText"/>
      </w:pPr>
      <w:hyperlink r:id="rId35">
        <w:r>
          <w:rPr>
            <w:rStyle w:val="Hyperlink"/>
          </w:rPr>
          <w:t xml:space="preserve">[26]</w:t>
        </w:r>
      </w:hyperlink>
      <w:r>
        <w:t xml:space="preserve"> </w:t>
      </w:r>
      <w:r>
        <w:t xml:space="preserve">Inflation Reduction Act of 2022</w:t>
      </w:r>
    </w:p>
    <w:p>
      <w:pPr>
        <w:pStyle w:val="BodyText"/>
      </w:pPr>
      <w:hyperlink r:id="rId35">
        <w:r>
          <w:rPr>
            <w:rStyle w:val="Hyperlink"/>
          </w:rPr>
          <w:t xml:space="preserve">https://www.irs.gov/inflation-reduction-act-of-2022?utm_source=chatgpt.com</w:t>
        </w:r>
      </w:hyperlink>
    </w:p>
    <w:p>
      <w:pPr>
        <w:pStyle w:val="BodyText"/>
      </w:pPr>
      <w:hyperlink r:id="rId39">
        <w:r>
          <w:rPr>
            <w:rStyle w:val="Hyperlink"/>
          </w:rPr>
          <w:t xml:space="preserve">[28]</w:t>
        </w:r>
      </w:hyperlink>
      <w:r>
        <w:t xml:space="preserve"> </w:t>
      </w:r>
      <w:hyperlink r:id="rId39">
        <w:r>
          <w:rPr>
            <w:rStyle w:val="Hyperlink"/>
          </w:rPr>
          <w:t xml:space="preserve">[30]</w:t>
        </w:r>
      </w:hyperlink>
      <w:r>
        <w:t xml:space="preserve"> </w:t>
      </w:r>
      <w:hyperlink r:id="rId39">
        <w:r>
          <w:rPr>
            <w:rStyle w:val="Hyperlink"/>
          </w:rPr>
          <w:t xml:space="preserve">[50]</w:t>
        </w:r>
      </w:hyperlink>
      <w:r>
        <w:t xml:space="preserve"> </w:t>
      </w:r>
      <w:r>
        <w:t xml:space="preserve">The Distribution of Household Income, 2022 | Congressional Budget Office</w:t>
      </w:r>
    </w:p>
    <w:p>
      <w:pPr>
        <w:pStyle w:val="BodyText"/>
      </w:pPr>
      <w:hyperlink r:id="rId39">
        <w:r>
          <w:rPr>
            <w:rStyle w:val="Hyperlink"/>
          </w:rPr>
          <w:t xml:space="preserve">https://www.cbo.gov/publication/61911</w:t>
        </w:r>
      </w:hyperlink>
    </w:p>
    <w:p>
      <w:pPr>
        <w:pStyle w:val="BodyText"/>
      </w:pPr>
      <w:hyperlink r:id="rId40">
        <w:r>
          <w:rPr>
            <w:rStyle w:val="Hyperlink"/>
          </w:rPr>
          <w:t xml:space="preserve">[29]</w:t>
        </w:r>
      </w:hyperlink>
      <w:r>
        <w:t xml:space="preserve"> </w:t>
      </w:r>
      <w:r>
        <w:t xml:space="preserve">Individual income tax returns complete report (Publication ...</w:t>
      </w:r>
    </w:p>
    <w:p>
      <w:pPr>
        <w:pStyle w:val="BodyText"/>
      </w:pPr>
      <w:hyperlink r:id="rId40">
        <w:r>
          <w:rPr>
            <w:rStyle w:val="Hyperlink"/>
          </w:rPr>
          <w:t xml:space="preserve">https://www.irs.gov/statistics/soi-tax-stats-individual-income-tax-returns-complete-report-publication-1304?utm_source=chatgpt.com</w:t>
        </w:r>
      </w:hyperlink>
    </w:p>
    <w:p>
      <w:pPr>
        <w:pStyle w:val="BodyText"/>
      </w:pPr>
      <w:hyperlink r:id="rId44">
        <w:r>
          <w:rPr>
            <w:rStyle w:val="Hyperlink"/>
          </w:rPr>
          <w:t xml:space="preserve">[32]</w:t>
        </w:r>
      </w:hyperlink>
      <w:r>
        <w:t xml:space="preserve"> </w:t>
      </w:r>
      <w:r>
        <w:t xml:space="preserve">Compliance presence | Internal Revenue Service</w:t>
      </w:r>
    </w:p>
    <w:p>
      <w:pPr>
        <w:pStyle w:val="BodyText"/>
      </w:pPr>
      <w:hyperlink r:id="rId44">
        <w:r>
          <w:rPr>
            <w:rStyle w:val="Hyperlink"/>
          </w:rPr>
          <w:t xml:space="preserve">https://www.irs.gov/statistics/compliance-presence</w:t>
        </w:r>
      </w:hyperlink>
    </w:p>
    <w:p>
      <w:pPr>
        <w:pStyle w:val="BodyText"/>
      </w:pPr>
      <w:hyperlink r:id="rId45">
        <w:r>
          <w:rPr>
            <w:rStyle w:val="Hyperlink"/>
          </w:rPr>
          <w:t xml:space="preserve">[33]</w:t>
        </w:r>
      </w:hyperlink>
      <w:r>
        <w:t xml:space="preserve"> </w:t>
      </w:r>
      <w:r>
        <w:t xml:space="preserve">Publication 5530 (Rev. 6-2025)</w:t>
      </w:r>
    </w:p>
    <w:p>
      <w:pPr>
        <w:pStyle w:val="BodyText"/>
      </w:pPr>
      <w:hyperlink r:id="rId45">
        <w:r>
          <w:rPr>
            <w:rStyle w:val="Hyperlink"/>
          </w:rPr>
          <w:t xml:space="preserve">https://www.irs.gov/pub/irs-pdf/p5530.pdf</w:t>
        </w:r>
      </w:hyperlink>
    </w:p>
    <w:p>
      <w:pPr>
        <w:pStyle w:val="BodyText"/>
      </w:pPr>
      <w:hyperlink r:id="rId47">
        <w:r>
          <w:rPr>
            <w:rStyle w:val="Hyperlink"/>
          </w:rPr>
          <w:t xml:space="preserve">[34]</w:t>
        </w:r>
      </w:hyperlink>
      <w:r>
        <w:t xml:space="preserve"> </w:t>
      </w:r>
      <w:r>
        <w:t xml:space="preserve">Quarterly Summary of State &amp; Local Tax Revenue (QTAX)</w:t>
      </w:r>
    </w:p>
    <w:p>
      <w:pPr>
        <w:pStyle w:val="BodyText"/>
      </w:pPr>
      <w:hyperlink r:id="rId47">
        <w:r>
          <w:rPr>
            <w:rStyle w:val="Hyperlink"/>
          </w:rPr>
          <w:t xml:space="preserve">https://www.census.gov/programs-surveys/qtax.html?utm_source=chatgpt.com</w:t>
        </w:r>
      </w:hyperlink>
    </w:p>
    <w:p>
      <w:pPr>
        <w:pStyle w:val="BodyText"/>
      </w:pPr>
      <w:hyperlink r:id="rId48">
        <w:r>
          <w:rPr>
            <w:rStyle w:val="Hyperlink"/>
          </w:rPr>
          <w:t xml:space="preserve">[36]</w:t>
        </w:r>
      </w:hyperlink>
      <w:r>
        <w:t xml:space="preserve"> </w:t>
      </w:r>
      <w:r>
        <w:t xml:space="preserve">Total Taxes, 4 Quarters Ending for the United States ... - FRED</w:t>
      </w:r>
    </w:p>
    <w:p>
      <w:pPr>
        <w:pStyle w:val="BodyText"/>
      </w:pPr>
      <w:hyperlink r:id="rId48">
        <w:r>
          <w:rPr>
            <w:rStyle w:val="Hyperlink"/>
          </w:rPr>
          <w:t xml:space="preserve">https://fred.stlouisfed.org/series/QTAXTOT4QEQTAXCAT1USNO?utm_source=chatgpt.com</w:t>
        </w:r>
      </w:hyperlink>
    </w:p>
    <w:p>
      <w:pPr>
        <w:pStyle w:val="BodyText"/>
      </w:pPr>
      <w:hyperlink r:id="rId49">
        <w:r>
          <w:rPr>
            <w:rStyle w:val="Hyperlink"/>
          </w:rPr>
          <w:t xml:space="preserve">[37]</w:t>
        </w:r>
      </w:hyperlink>
      <w:r>
        <w:t xml:space="preserve"> </w:t>
      </w:r>
      <w:r>
        <w:t xml:space="preserve">State Government Tax Collections Data Now Available</w:t>
      </w:r>
    </w:p>
    <w:p>
      <w:pPr>
        <w:pStyle w:val="BodyText"/>
      </w:pPr>
      <w:hyperlink r:id="rId49">
        <w:r>
          <w:rPr>
            <w:rStyle w:val="Hyperlink"/>
          </w:rPr>
          <w:t xml:space="preserve">https://www.census.gov/newsroom/press-releases/2026/state-government-tax-collections-data.html?utm_source=chatgpt.com</w:t>
        </w:r>
      </w:hyperlink>
    </w:p>
    <w:p>
      <w:pPr>
        <w:pStyle w:val="BodyText"/>
      </w:pPr>
      <w:hyperlink r:id="rId52">
        <w:r>
          <w:rPr>
            <w:rStyle w:val="Hyperlink"/>
          </w:rPr>
          <w:t xml:space="preserve">[40]</w:t>
        </w:r>
      </w:hyperlink>
      <w:r>
        <w:t xml:space="preserve"> </w:t>
      </w:r>
      <w:r>
        <w:t xml:space="preserve">2025 California Tax Rate Schedules</w:t>
      </w:r>
    </w:p>
    <w:p>
      <w:pPr>
        <w:pStyle w:val="BodyText"/>
      </w:pPr>
      <w:hyperlink r:id="rId52">
        <w:r>
          <w:rPr>
            <w:rStyle w:val="Hyperlink"/>
          </w:rPr>
          <w:t xml:space="preserve">https://www.ftb.ca.gov/forms/2025/2025-540-tax-rate-schedules.pdf?utm_source=chatgpt.com</w:t>
        </w:r>
      </w:hyperlink>
    </w:p>
    <w:p>
      <w:pPr>
        <w:pStyle w:val="BodyText"/>
      </w:pPr>
      <w:hyperlink r:id="rId53">
        <w:r>
          <w:rPr>
            <w:rStyle w:val="Hyperlink"/>
          </w:rPr>
          <w:t xml:space="preserve">[42]</w:t>
        </w:r>
      </w:hyperlink>
      <w:r>
        <w:t xml:space="preserve"> </w:t>
      </w:r>
      <w:r>
        <w:t xml:space="preserve">California Property Tax: An Overview</w:t>
      </w:r>
    </w:p>
    <w:p>
      <w:pPr>
        <w:pStyle w:val="BodyText"/>
      </w:pPr>
      <w:hyperlink r:id="rId53">
        <w:r>
          <w:rPr>
            <w:rStyle w:val="Hyperlink"/>
          </w:rPr>
          <w:t xml:space="preserve">https://www.boe.ca.gov/proptaxes/pdf/pub29.pdf?utm_source=chatgpt.com</w:t>
        </w:r>
      </w:hyperlink>
    </w:p>
    <w:p>
      <w:pPr>
        <w:pStyle w:val="BodyText"/>
      </w:pPr>
      <w:hyperlink r:id="rId54">
        <w:r>
          <w:rPr>
            <w:rStyle w:val="Hyperlink"/>
          </w:rPr>
          <w:t xml:space="preserve">[45]</w:t>
        </w:r>
      </w:hyperlink>
      <w:r>
        <w:t xml:space="preserve"> </w:t>
      </w:r>
      <w:hyperlink r:id="rId54">
        <w:r>
          <w:rPr>
            <w:rStyle w:val="Hyperlink"/>
          </w:rPr>
          <w:t xml:space="preserve">[46]</w:t>
        </w:r>
      </w:hyperlink>
      <w:r>
        <w:t xml:space="preserve"> </w:t>
      </w:r>
      <w:r>
        <w:t xml:space="preserve">Department of Finance 2025-26 Tax Expenditure Report</w:t>
      </w:r>
    </w:p>
    <w:p>
      <w:pPr>
        <w:pStyle w:val="BodyText"/>
      </w:pPr>
      <w:hyperlink r:id="rId54">
        <w:r>
          <w:rPr>
            <w:rStyle w:val="Hyperlink"/>
          </w:rPr>
          <w:t xml:space="preserve">https://dof.ca.gov/media/docs/forecasting/revenue-and-taxation/tax-expenditure-reports/2025-26-Tax-Expenditure-Report.pdf</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dof.ca.gov/media/docs/forecasting/revenue-and-taxation/tax-expenditure-reports/2025-26-Tax-Expenditure-Report.pdf" TargetMode="External" /><Relationship Type="http://schemas.openxmlformats.org/officeDocument/2006/relationships/hyperlink" Id="rId28" Target="https://ebudget.ca.gov/2026-27/pdf/BudgetSummary/RevenueEstimates.pdf" TargetMode="External" /><Relationship Type="http://schemas.openxmlformats.org/officeDocument/2006/relationships/hyperlink" Id="rId27" Target="https://fred.stlouisfed.org/release/tables?eid=5337&amp;rid=53&amp;utm_source=chatgpt.com" TargetMode="External" /><Relationship Type="http://schemas.openxmlformats.org/officeDocument/2006/relationships/hyperlink" Id="rId48" Target="https://fred.stlouisfed.org/series/QTAXTOT4QEQTAXCAT1USNO?utm_source=chatgpt.com" TargetMode="External" /><Relationship Type="http://schemas.openxmlformats.org/officeDocument/2006/relationships/hyperlink" Id="rId25" Target="https://home.treasury.gov/system/files/131/Tax-Expenditures-FY2027.pdf" TargetMode="External" /><Relationship Type="http://schemas.openxmlformats.org/officeDocument/2006/relationships/hyperlink" Id="rId22" Target="https://home.treasury.gov/system/files/131/Tax-Expenditures-FY2027.pdf?utm_source=chatgpt.com" TargetMode="External" /><Relationship Type="http://schemas.openxmlformats.org/officeDocument/2006/relationships/hyperlink" Id="rId23" Target="https://taxfoundation.org/data/all/federal/us-income-growth-progressive-tax-code-2022/?utm_source=chatgpt.com" TargetMode="External" /><Relationship Type="http://schemas.openxmlformats.org/officeDocument/2006/relationships/hyperlink" Id="rId53" Target="https://www.boe.ca.gov/proptaxes/pdf/pub29.pdf?utm_source=chatgpt.com" TargetMode="External" /><Relationship Type="http://schemas.openxmlformats.org/officeDocument/2006/relationships/hyperlink" Id="rId39" Target="https://www.cbo.gov/publication/61911" TargetMode="External" /><Relationship Type="http://schemas.openxmlformats.org/officeDocument/2006/relationships/hyperlink" Id="rId49" Target="https://www.census.gov/newsroom/press-releases/2026/state-government-tax-collections-data.html?utm_source=chatgpt.com" TargetMode="External" /><Relationship Type="http://schemas.openxmlformats.org/officeDocument/2006/relationships/hyperlink" Id="rId47" Target="https://www.census.gov/programs-surveys/qtax.html?utm_source=chatgpt.com" TargetMode="External" /><Relationship Type="http://schemas.openxmlformats.org/officeDocument/2006/relationships/hyperlink" Id="rId52" Target="https://www.ftb.ca.gov/forms/2025/2025-540-tax-rate-schedules.pdf?utm_source=chatgpt.com" TargetMode="External" /><Relationship Type="http://schemas.openxmlformats.org/officeDocument/2006/relationships/hyperlink" Id="rId31" Target="https://www.irs.gov/inflation-reduction-act-of-2022/corporate-alternative-minimum-tax?utm_source=chatgpt.com" TargetMode="External" /><Relationship Type="http://schemas.openxmlformats.org/officeDocument/2006/relationships/hyperlink" Id="rId35" Target="https://www.irs.gov/inflation-reduction-act-of-2022?utm_source=chatgpt.com" TargetMode="External" /><Relationship Type="http://schemas.openxmlformats.org/officeDocument/2006/relationships/hyperlink" Id="rId21" Target="https://www.irs.gov/newsroom/irs-releases-tax-inflation-adjustments-for-tax-year-2026-including-amendments-from-the-one-big-beautiful-bill" TargetMode="External" /><Relationship Type="http://schemas.openxmlformats.org/officeDocument/2006/relationships/hyperlink" Id="rId24" Target="https://www.irs.gov/newsroom/one-big-beautiful-bill-provisions?utm_source=chatgpt.com" TargetMode="External" /><Relationship Type="http://schemas.openxmlformats.org/officeDocument/2006/relationships/hyperlink" Id="rId26" Target="https://www.irs.gov/newsroom/the-tax-gap" TargetMode="External" /><Relationship Type="http://schemas.openxmlformats.org/officeDocument/2006/relationships/hyperlink" Id="rId30" Target="https://www.irs.gov/pub/irs-drop/rp-25-32.pdf?utm_source=chatgpt.com" TargetMode="External" /><Relationship Type="http://schemas.openxmlformats.org/officeDocument/2006/relationships/hyperlink" Id="rId45" Target="https://www.irs.gov/pub/irs-pdf/p5530.pdf" TargetMode="External" /><Relationship Type="http://schemas.openxmlformats.org/officeDocument/2006/relationships/hyperlink" Id="rId44" Target="https://www.irs.gov/statistics/compliance-presence" TargetMode="External" /><Relationship Type="http://schemas.openxmlformats.org/officeDocument/2006/relationships/hyperlink" Id="rId40" Target="https://www.irs.gov/statistics/soi-tax-stats-individual-income-tax-returns-complete-report-publication-1304?utm_source=chatgpt.com" TargetMode="External" /><Relationship Type="http://schemas.openxmlformats.org/officeDocument/2006/relationships/hyperlink" Id="rId32" Target="https://www.ssa.gov/oact/cola/cbb.html?utm_source=chatgpt.com" TargetMode="External" /><Relationship Type="http://schemas.openxmlformats.org/officeDocument/2006/relationships/hyperlink" Id="rId33" Target="https://www.whitehouse.gov/presidential-actions/2026/02/imposing-a-temporary-import-surcharge-to-address-fundamental-international-payments-problems/?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54" Target="https://dof.ca.gov/media/docs/forecasting/revenue-and-taxation/tax-expenditure-reports/2025-26-Tax-Expenditure-Report.pdf" TargetMode="External" /><Relationship Type="http://schemas.openxmlformats.org/officeDocument/2006/relationships/hyperlink" Id="rId28" Target="https://ebudget.ca.gov/2026-27/pdf/BudgetSummary/RevenueEstimates.pdf" TargetMode="External" /><Relationship Type="http://schemas.openxmlformats.org/officeDocument/2006/relationships/hyperlink" Id="rId27" Target="https://fred.stlouisfed.org/release/tables?eid=5337&amp;rid=53&amp;utm_source=chatgpt.com" TargetMode="External" /><Relationship Type="http://schemas.openxmlformats.org/officeDocument/2006/relationships/hyperlink" Id="rId48" Target="https://fred.stlouisfed.org/series/QTAXTOT4QEQTAXCAT1USNO?utm_source=chatgpt.com" TargetMode="External" /><Relationship Type="http://schemas.openxmlformats.org/officeDocument/2006/relationships/hyperlink" Id="rId25" Target="https://home.treasury.gov/system/files/131/Tax-Expenditures-FY2027.pdf" TargetMode="External" /><Relationship Type="http://schemas.openxmlformats.org/officeDocument/2006/relationships/hyperlink" Id="rId22" Target="https://home.treasury.gov/system/files/131/Tax-Expenditures-FY2027.pdf?utm_source=chatgpt.com" TargetMode="External" /><Relationship Type="http://schemas.openxmlformats.org/officeDocument/2006/relationships/hyperlink" Id="rId23" Target="https://taxfoundation.org/data/all/federal/us-income-growth-progressive-tax-code-2022/?utm_source=chatgpt.com" TargetMode="External" /><Relationship Type="http://schemas.openxmlformats.org/officeDocument/2006/relationships/hyperlink" Id="rId53" Target="https://www.boe.ca.gov/proptaxes/pdf/pub29.pdf?utm_source=chatgpt.com" TargetMode="External" /><Relationship Type="http://schemas.openxmlformats.org/officeDocument/2006/relationships/hyperlink" Id="rId39" Target="https://www.cbo.gov/publication/61911" TargetMode="External" /><Relationship Type="http://schemas.openxmlformats.org/officeDocument/2006/relationships/hyperlink" Id="rId49" Target="https://www.census.gov/newsroom/press-releases/2026/state-government-tax-collections-data.html?utm_source=chatgpt.com" TargetMode="External" /><Relationship Type="http://schemas.openxmlformats.org/officeDocument/2006/relationships/hyperlink" Id="rId47" Target="https://www.census.gov/programs-surveys/qtax.html?utm_source=chatgpt.com" TargetMode="External" /><Relationship Type="http://schemas.openxmlformats.org/officeDocument/2006/relationships/hyperlink" Id="rId52" Target="https://www.ftb.ca.gov/forms/2025/2025-540-tax-rate-schedules.pdf?utm_source=chatgpt.com" TargetMode="External" /><Relationship Type="http://schemas.openxmlformats.org/officeDocument/2006/relationships/hyperlink" Id="rId31" Target="https://www.irs.gov/inflation-reduction-act-of-2022/corporate-alternative-minimum-tax?utm_source=chatgpt.com" TargetMode="External" /><Relationship Type="http://schemas.openxmlformats.org/officeDocument/2006/relationships/hyperlink" Id="rId35" Target="https://www.irs.gov/inflation-reduction-act-of-2022?utm_source=chatgpt.com" TargetMode="External" /><Relationship Type="http://schemas.openxmlformats.org/officeDocument/2006/relationships/hyperlink" Id="rId21" Target="https://www.irs.gov/newsroom/irs-releases-tax-inflation-adjustments-for-tax-year-2026-including-amendments-from-the-one-big-beautiful-bill" TargetMode="External" /><Relationship Type="http://schemas.openxmlformats.org/officeDocument/2006/relationships/hyperlink" Id="rId24" Target="https://www.irs.gov/newsroom/one-big-beautiful-bill-provisions?utm_source=chatgpt.com" TargetMode="External" /><Relationship Type="http://schemas.openxmlformats.org/officeDocument/2006/relationships/hyperlink" Id="rId26" Target="https://www.irs.gov/newsroom/the-tax-gap" TargetMode="External" /><Relationship Type="http://schemas.openxmlformats.org/officeDocument/2006/relationships/hyperlink" Id="rId30" Target="https://www.irs.gov/pub/irs-drop/rp-25-32.pdf?utm_source=chatgpt.com" TargetMode="External" /><Relationship Type="http://schemas.openxmlformats.org/officeDocument/2006/relationships/hyperlink" Id="rId45" Target="https://www.irs.gov/pub/irs-pdf/p5530.pdf" TargetMode="External" /><Relationship Type="http://schemas.openxmlformats.org/officeDocument/2006/relationships/hyperlink" Id="rId44" Target="https://www.irs.gov/statistics/compliance-presence" TargetMode="External" /><Relationship Type="http://schemas.openxmlformats.org/officeDocument/2006/relationships/hyperlink" Id="rId40" Target="https://www.irs.gov/statistics/soi-tax-stats-individual-income-tax-returns-complete-report-publication-1304?utm_source=chatgpt.com" TargetMode="External" /><Relationship Type="http://schemas.openxmlformats.org/officeDocument/2006/relationships/hyperlink" Id="rId32" Target="https://www.ssa.gov/oact/cola/cbb.html?utm_source=chatgpt.com" TargetMode="External" /><Relationship Type="http://schemas.openxmlformats.org/officeDocument/2006/relationships/hyperlink" Id="rId33" Target="https://www.whitehouse.gov/presidential-actions/2026/02/imposing-a-temporary-import-surcharge-to-address-fundamental-international-payments-problems/?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2026-04-27T21:07:34Z</dcterms:created>
  <dcterms:modified xsi:type="dcterms:W3CDTF">2026-04-27T21:07:34Z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