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structure-and-sources-of-american-law"/>
    <w:p>
      <w:pPr>
        <w:pStyle w:val="Heading1"/>
      </w:pPr>
      <w:r>
        <w:t xml:space="preserve">Structure and Sources of American Law</w:t>
      </w:r>
    </w:p>
    <w:bookmarkStart w:id="24" w:name="executive-summary"/>
    <w:p>
      <w:pPr>
        <w:pStyle w:val="Heading2"/>
      </w:pPr>
      <w:r>
        <w:t xml:space="preserve">Executive Summary</w:t>
      </w:r>
    </w:p>
    <w:p>
      <w:pPr>
        <w:pStyle w:val="FirstParagraph"/>
      </w:pPr>
      <w:r>
        <w:t xml:space="preserve">The law of the United States</w:t>
      </w:r>
      <w:hyperlink r:id="rId21">
        <w:r>
          <w:rPr>
            <w:rStyle w:val="Hyperlink"/>
          </w:rPr>
          <w:t xml:space="preserve">[1]</w:t>
        </w:r>
      </w:hyperlink>
      <w:r>
        <w:t xml:space="preserve"> </w:t>
      </w:r>
      <w:r>
        <w:t xml:space="preserve">is best understood as a system of</w:t>
      </w:r>
      <w:r>
        <w:t xml:space="preserve"> </w:t>
      </w:r>
      <w:r>
        <w:rPr>
          <w:b/>
          <w:bCs/>
        </w:rPr>
        <w:t xml:space="preserve">stacked authorities inside two overlapping sovereigns</w:t>
      </w:r>
      <w:r>
        <w:t xml:space="preserve">. At the federal level, the Constitution vests legislative power in Congress, executive power in the President, and judicial power in the federal courts. Article VI then makes the Constitution, valid federal statutes, and treaties the “supreme Law of the Land” against contrary state law. That means there is no single undifferentiated pyramid of “all law”; instead, the first question is always</w:t>
      </w:r>
      <w:r>
        <w:t xml:space="preserve"> </w:t>
      </w:r>
      <w:r>
        <w:rPr>
          <w:b/>
          <w:bCs/>
        </w:rPr>
        <w:t xml:space="preserve">which sovereign has authority over the subject</w:t>
      </w:r>
      <w:r>
        <w:t xml:space="preserve">, and the second is</w:t>
      </w:r>
      <w:r>
        <w:t xml:space="preserve"> </w:t>
      </w:r>
      <w:r>
        <w:rPr>
          <w:b/>
          <w:bCs/>
        </w:rPr>
        <w:t xml:space="preserve">which source within that sovereign is highest and validly enacted</w:t>
      </w:r>
      <w:r>
        <w:t xml:space="preserve">.</w:t>
      </w:r>
      <w:r>
        <w:t xml:space="preserve"> </w:t>
      </w:r>
      <w:hyperlink r:id="rId21">
        <w:r>
          <w:rPr>
            <w:rStyle w:val="Hyperlink"/>
          </w:rPr>
          <w:t xml:space="preserve">[2]</w:t>
        </w:r>
      </w:hyperlink>
    </w:p>
    <w:p>
      <w:pPr>
        <w:pStyle w:val="BodyText"/>
      </w:pPr>
      <w:r>
        <w:t xml:space="preserve">Within each sovereign, the ordinary hierarchy is comparatively clear:</w:t>
      </w:r>
      <w:r>
        <w:t xml:space="preserve"> </w:t>
      </w:r>
      <w:r>
        <w:rPr>
          <w:b/>
          <w:bCs/>
        </w:rPr>
        <w:t xml:space="preserve">constitution above statute, statute above regulation and executive/administrative action, and all of those above private arrangements that conflict with mandatory public law</w:t>
      </w:r>
      <w:r>
        <w:t xml:space="preserve">. Treaties complicate the picture because their domestic effect depends on whether they are self-executing or implemented by Congress, and because a later-in-time federal statute can prevail domestically over an earlier treaty. Federal common law also complicates the picture because, after</w:t>
      </w:r>
      <w:r>
        <w:t xml:space="preserve"> </w:t>
      </w:r>
      <w:r>
        <w:rPr>
          <w:i/>
          <w:iCs/>
        </w:rPr>
        <w:t xml:space="preserve">Erie Railroad Co. v. Tompkins</w:t>
      </w:r>
      <w:r>
        <w:t xml:space="preserve">, there is no general federal common law, only limited enclaves for uniquely federal interests.</w:t>
      </w:r>
      <w:r>
        <w:t xml:space="preserve"> </w:t>
      </w:r>
      <w:hyperlink r:id="rId22">
        <w:r>
          <w:rPr>
            <w:rStyle w:val="Hyperlink"/>
          </w:rPr>
          <w:t xml:space="preserve">[3]</w:t>
        </w:r>
      </w:hyperlink>
    </w:p>
    <w:p>
      <w:pPr>
        <w:pStyle w:val="BodyText"/>
      </w:pPr>
      <w:r>
        <w:t xml:space="preserve">Conflict resolution in American law is therefore less about memorizing one list than about applying a sequence of doctrines. The most important are the</w:t>
      </w:r>
      <w:r>
        <w:t xml:space="preserve"> </w:t>
      </w:r>
      <w:r>
        <w:rPr>
          <w:b/>
          <w:bCs/>
        </w:rPr>
        <w:t xml:space="preserve">Supremacy Clause and preemption</w:t>
      </w:r>
      <w:r>
        <w:t xml:space="preserve"> </w:t>
      </w:r>
      <w:r>
        <w:t xml:space="preserve">for federal-state conflicts,</w:t>
      </w:r>
      <w:r>
        <w:t xml:space="preserve"> </w:t>
      </w:r>
      <w:r>
        <w:rPr>
          <w:b/>
          <w:bCs/>
        </w:rPr>
        <w:t xml:space="preserve">federalism</w:t>
      </w:r>
      <w:r>
        <w:t xml:space="preserve"> </w:t>
      </w:r>
      <w:r>
        <w:t xml:space="preserve">and anti-commandeering limits on federal power over states,</w:t>
      </w:r>
      <w:r>
        <w:t xml:space="preserve"> </w:t>
      </w:r>
      <w:r>
        <w:rPr>
          <w:b/>
          <w:bCs/>
        </w:rPr>
        <w:t xml:space="preserve">choice-of-law</w:t>
      </w:r>
      <w:r>
        <w:t xml:space="preserve"> </w:t>
      </w:r>
      <w:r>
        <w:t xml:space="preserve">for multistate disputes,</w:t>
      </w:r>
      <w:r>
        <w:t xml:space="preserve"> </w:t>
      </w:r>
      <w:r>
        <w:rPr>
          <w:b/>
          <w:bCs/>
        </w:rPr>
        <w:t xml:space="preserve">stare decisis</w:t>
      </w:r>
      <w:r>
        <w:t xml:space="preserve"> </w:t>
      </w:r>
      <w:r>
        <w:t xml:space="preserve">for precedent, the</w:t>
      </w:r>
      <w:r>
        <w:t xml:space="preserve"> </w:t>
      </w:r>
      <w:r>
        <w:rPr>
          <w:b/>
          <w:bCs/>
        </w:rPr>
        <w:t xml:space="preserve">Erie doctrine</w:t>
      </w:r>
      <w:r>
        <w:t xml:space="preserve"> </w:t>
      </w:r>
      <w:r>
        <w:t xml:space="preserve">for federal courts deciding state-law claims, and the now-historical but still important</w:t>
      </w:r>
      <w:r>
        <w:t xml:space="preserve"> </w:t>
      </w:r>
      <w:r>
        <w:rPr>
          <w:b/>
          <w:bCs/>
        </w:rPr>
        <w:t xml:space="preserve">Chevron</w:t>
      </w:r>
      <w:r>
        <w:t xml:space="preserve"> </w:t>
      </w:r>
      <w:r>
        <w:t xml:space="preserve">framework, which the Supreme Court overruled in</w:t>
      </w:r>
      <w:r>
        <w:t xml:space="preserve"> </w:t>
      </w:r>
      <w:r>
        <w:rPr>
          <w:i/>
          <w:iCs/>
        </w:rPr>
        <w:t xml:space="preserve">Loper Bright Enterprises v. Raimondo</w:t>
      </w:r>
      <w:r>
        <w:t xml:space="preserve"> </w:t>
      </w:r>
      <w:r>
        <w:t xml:space="preserve">in 2024. For practitioners, the operational questions are:</w:t>
      </w:r>
      <w:r>
        <w:t xml:space="preserve"> </w:t>
      </w:r>
      <w:r>
        <w:rPr>
          <w:b/>
          <w:bCs/>
        </w:rPr>
        <w:t xml:space="preserve">What tribunal am I in? What source created the rule? Was it validly promulgated? Has it been preempted, displaced, or overridden? What standard of review applies?</w:t>
      </w:r>
      <w:r>
        <w:t xml:space="preserve"> </w:t>
      </w:r>
      <w:hyperlink r:id="rId23">
        <w:r>
          <w:rPr>
            <w:rStyle w:val="Hyperlink"/>
          </w:rPr>
          <w:t xml:space="preserve">[4]</w:t>
        </w:r>
      </w:hyperlink>
    </w:p>
    <w:bookmarkEnd w:id="24"/>
    <w:bookmarkStart w:id="38" w:name="architecture-of-legal-authority"/>
    <w:p>
      <w:pPr>
        <w:pStyle w:val="Heading2"/>
      </w:pPr>
      <w:r>
        <w:t xml:space="preserve">Architecture of Legal Authority</w:t>
      </w:r>
    </w:p>
    <w:p>
      <w:pPr>
        <w:pStyle w:val="FirstParagraph"/>
      </w:pPr>
      <w:r>
        <w:t xml:space="preserve">American law is built on a distinction between</w:t>
      </w:r>
      <w:r>
        <w:t xml:space="preserve"> </w:t>
      </w:r>
      <w:r>
        <w:rPr>
          <w:b/>
          <w:bCs/>
        </w:rPr>
        <w:t xml:space="preserve">source</w:t>
      </w:r>
      <w:r>
        <w:t xml:space="preserve"> </w:t>
      </w:r>
      <w:r>
        <w:t xml:space="preserve">and</w:t>
      </w:r>
      <w:r>
        <w:t xml:space="preserve"> </w:t>
      </w:r>
      <w:r>
        <w:rPr>
          <w:b/>
          <w:bCs/>
        </w:rPr>
        <w:t xml:space="preserve">force</w:t>
      </w:r>
      <w:r>
        <w:t xml:space="preserve">. A source becomes legally controlling only if the institution that produced it had constitutional or statutory authority to do so, followed the required procedures, and stayed within the limits of superior law. That is why the same document type can have different legal force depending on circumstances: a federal regulation validly issued under a statute can preempt contrary state law, while an executive order with no constitutional or statutory footing fails; a treaty may operate directly in domestic courts if self-executing, but otherwise may require implementing legislation; and a contract may govern the parties’ relationship until it collides with a nonwaivable statute, regulation, or constitutional rule.</w:t>
      </w:r>
      <w:r>
        <w:t xml:space="preserve"> </w:t>
      </w:r>
      <w:hyperlink r:id="rId25">
        <w:r>
          <w:rPr>
            <w:rStyle w:val="Hyperlink"/>
          </w:rPr>
          <w:t xml:space="preserve">[5]</w:t>
        </w:r>
      </w:hyperlink>
    </w:p>
    <w:p>
      <w:pPr>
        <w:pStyle w:val="BodyText"/>
      </w:pPr>
      <w:r>
        <w:t xml:space="preserve">The diagram below shows the</w:t>
      </w:r>
      <w:r>
        <w:t xml:space="preserve"> </w:t>
      </w:r>
      <w:r>
        <w:rPr>
          <w:b/>
          <w:bCs/>
        </w:rPr>
        <w:t xml:space="preserve">practical</w:t>
      </w:r>
      <w:r>
        <w:t xml:space="preserve"> </w:t>
      </w:r>
      <w:r>
        <w:t xml:space="preserve">hierarchy lawyers usually apply. It is practical rather than absolute because several layers are</w:t>
      </w:r>
      <w:r>
        <w:t xml:space="preserve"> </w:t>
      </w:r>
      <w:r>
        <w:rPr>
          <w:b/>
          <w:bCs/>
        </w:rPr>
        <w:t xml:space="preserve">domain-dependent</w:t>
      </w:r>
      <w:r>
        <w:t xml:space="preserve">: treaties and statutes are not always ordered until there is an actual conflict; federal common law exists only in limited fields; and local ordinances depend heavily on state home-rule and preemption doctrines.</w:t>
      </w:r>
      <w:r>
        <w:t xml:space="preserve"> </w:t>
      </w:r>
      <w:hyperlink r:id="rId23">
        <w:r>
          <w:rPr>
            <w:rStyle w:val="Hyperlink"/>
          </w:rPr>
          <w:t xml:space="preserve">[6]</w:t>
        </w:r>
      </w:hyperlink>
    </w:p>
    <w:p>
      <w:pPr>
        <w:pStyle w:val="SourceCode"/>
      </w:pPr>
      <w:r>
        <w:rPr>
          <w:rStyle w:val="VerbatimChar"/>
        </w:rPr>
        <w:t xml:space="preserve">flowchart TD</w:t>
      </w:r>
      <w:r>
        <w:br/>
      </w:r>
      <w:r>
        <w:rPr>
          <w:rStyle w:val="VerbatimChar"/>
        </w:rPr>
        <w:t xml:space="preserve">    A[U.S. Constitution]</w:t>
      </w:r>
      <w:r>
        <w:br/>
      </w:r>
      <w:r>
        <w:rPr>
          <w:rStyle w:val="VerbatimChar"/>
        </w:rPr>
        <w:t xml:space="preserve">    B[Federal statutes]</w:t>
      </w:r>
      <w:r>
        <w:br/>
      </w:r>
      <w:r>
        <w:rPr>
          <w:rStyle w:val="VerbatimChar"/>
        </w:rPr>
        <w:t xml:space="preserve">    C[Treaties&lt;br/&gt;self-executing or implemented]</w:t>
      </w:r>
      <w:r>
        <w:br/>
      </w:r>
      <w:r>
        <w:rPr>
          <w:rStyle w:val="VerbatimChar"/>
        </w:rPr>
        <w:t xml:space="preserve">    D[Federal regulations]</w:t>
      </w:r>
      <w:r>
        <w:br/>
      </w:r>
      <w:r>
        <w:rPr>
          <w:rStyle w:val="VerbatimChar"/>
        </w:rPr>
        <w:t xml:space="preserve">    E[Federal common law&lt;br/&gt;limited enclaves]</w:t>
      </w:r>
      <w:r>
        <w:br/>
      </w:r>
      <w:r>
        <w:rPr>
          <w:rStyle w:val="VerbatimChar"/>
        </w:rPr>
        <w:t xml:space="preserve">    F[Executive orders and federal agency orders]</w:t>
      </w:r>
      <w:r>
        <w:br/>
      </w:r>
      <w:r>
        <w:rPr>
          <w:rStyle w:val="VerbatimChar"/>
        </w:rPr>
        <w:t xml:space="preserve">    G[State constitutions]</w:t>
      </w:r>
      <w:r>
        <w:br/>
      </w:r>
      <w:r>
        <w:rPr>
          <w:rStyle w:val="VerbatimChar"/>
        </w:rPr>
        <w:t xml:space="preserve">    H[State statutes]</w:t>
      </w:r>
      <w:r>
        <w:br/>
      </w:r>
      <w:r>
        <w:rPr>
          <w:rStyle w:val="VerbatimChar"/>
        </w:rPr>
        <w:t xml:space="preserve">    I[State regulations]</w:t>
      </w:r>
      <w:r>
        <w:br/>
      </w:r>
      <w:r>
        <w:rPr>
          <w:rStyle w:val="VerbatimChar"/>
        </w:rPr>
        <w:t xml:space="preserve">    J[State common law]</w:t>
      </w:r>
      <w:r>
        <w:br/>
      </w:r>
      <w:r>
        <w:rPr>
          <w:rStyle w:val="VerbatimChar"/>
        </w:rPr>
        <w:t xml:space="preserve">    K[Local ordinances]</w:t>
      </w:r>
      <w:r>
        <w:br/>
      </w:r>
      <w:r>
        <w:rPr>
          <w:rStyle w:val="VerbatimChar"/>
        </w:rPr>
        <w:t xml:space="preserve">    L[Private law&lt;br/&gt;contracts, bylaws, covenants]</w:t>
      </w:r>
      <w:r>
        <w:br/>
      </w:r>
      <w:r>
        <w:br/>
      </w:r>
      <w:r>
        <w:rPr>
          <w:rStyle w:val="VerbatimChar"/>
        </w:rPr>
        <w:t xml:space="preserve">    A --&gt; B</w:t>
      </w:r>
      <w:r>
        <w:br/>
      </w:r>
      <w:r>
        <w:rPr>
          <w:rStyle w:val="VerbatimChar"/>
        </w:rPr>
        <w:t xml:space="preserve">    A --&gt; C</w:t>
      </w:r>
      <w:r>
        <w:br/>
      </w:r>
      <w:r>
        <w:rPr>
          <w:rStyle w:val="VerbatimChar"/>
        </w:rPr>
        <w:t xml:space="preserve">    B --&gt; D</w:t>
      </w:r>
      <w:r>
        <w:br/>
      </w:r>
      <w:r>
        <w:rPr>
          <w:rStyle w:val="VerbatimChar"/>
        </w:rPr>
        <w:t xml:space="preserve">    B --&gt; E</w:t>
      </w:r>
      <w:r>
        <w:br/>
      </w:r>
      <w:r>
        <w:rPr>
          <w:rStyle w:val="VerbatimChar"/>
        </w:rPr>
        <w:t xml:space="preserve">    B --&gt; F</w:t>
      </w:r>
      <w:r>
        <w:br/>
      </w:r>
      <w:r>
        <w:br/>
      </w:r>
      <w:r>
        <w:rPr>
          <w:rStyle w:val="VerbatimChar"/>
        </w:rPr>
        <w:t xml:space="preserve">    A --&gt; G</w:t>
      </w:r>
      <w:r>
        <w:br/>
      </w:r>
      <w:r>
        <w:rPr>
          <w:rStyle w:val="VerbatimChar"/>
        </w:rPr>
        <w:t xml:space="preserve">    G --&gt; H</w:t>
      </w:r>
      <w:r>
        <w:br/>
      </w:r>
      <w:r>
        <w:rPr>
          <w:rStyle w:val="VerbatimChar"/>
        </w:rPr>
        <w:t xml:space="preserve">    H --&gt; I</w:t>
      </w:r>
      <w:r>
        <w:br/>
      </w:r>
      <w:r>
        <w:rPr>
          <w:rStyle w:val="VerbatimChar"/>
        </w:rPr>
        <w:t xml:space="preserve">    H --&gt; J</w:t>
      </w:r>
      <w:r>
        <w:br/>
      </w:r>
      <w:r>
        <w:rPr>
          <w:rStyle w:val="VerbatimChar"/>
        </w:rPr>
        <w:t xml:space="preserve">    H --&gt; K</w:t>
      </w:r>
      <w:r>
        <w:br/>
      </w:r>
      <w:r>
        <w:br/>
      </w:r>
      <w:r>
        <w:rPr>
          <w:rStyle w:val="VerbatimChar"/>
        </w:rPr>
        <w:t xml:space="preserve">    I --&gt; K</w:t>
      </w:r>
      <w:r>
        <w:br/>
      </w:r>
      <w:r>
        <w:rPr>
          <w:rStyle w:val="VerbatimChar"/>
        </w:rPr>
        <w:t xml:space="preserve">    J --&gt; L</w:t>
      </w:r>
      <w:r>
        <w:br/>
      </w:r>
      <w:r>
        <w:rPr>
          <w:rStyle w:val="VerbatimChar"/>
        </w:rPr>
        <w:t xml:space="preserve">    K --&gt; L</w:t>
      </w:r>
    </w:p>
    <w:bookmarkStart w:id="30" w:name="federal-public-law-sources"/>
    <w:p>
      <w:pPr>
        <w:pStyle w:val="Heading3"/>
      </w:pPr>
      <w:r>
        <w:t xml:space="preserve">Federal public-law sources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Legal basis and creation method</w:t>
            </w:r>
          </w:p>
        </w:tc>
        <w:tc>
          <w:tcPr/>
          <w:p>
            <w:pPr>
              <w:pStyle w:val="Compact"/>
            </w:pPr>
            <w:r>
              <w:t xml:space="preserve">Typical legal force</w:t>
            </w:r>
          </w:p>
        </w:tc>
        <w:tc>
          <w:tcPr/>
          <w:p>
            <w:pPr>
              <w:pStyle w:val="Compact"/>
            </w:pPr>
            <w:r>
              <w:t xml:space="preserve">Illustrative example or limit</w:t>
            </w:r>
          </w:p>
        </w:tc>
        <w:tc>
          <w:tcPr/>
          <w:p>
            <w:pPr>
              <w:pStyle w:val="Compact"/>
            </w:pPr>
            <w:r>
              <w:t xml:space="preserve">Official support</w:t>
            </w:r>
          </w:p>
        </w:tc>
      </w:tr>
      <w:tr>
        <w:tc>
          <w:tcPr/>
          <w:p>
            <w:pPr>
              <w:pStyle w:val="Compact"/>
            </w:pPr>
            <w:r>
              <w:t xml:space="preserve">U.S. Constitution</w:t>
            </w:r>
          </w:p>
        </w:tc>
        <w:tc>
          <w:tcPr/>
          <w:p>
            <w:pPr>
              <w:pStyle w:val="Compact"/>
            </w:pPr>
            <w:r>
              <w:t xml:space="preserve">Articles I–III allocate power; Article VI establishes supremacy.</w:t>
            </w:r>
          </w:p>
        </w:tc>
        <w:tc>
          <w:tcPr/>
          <w:p>
            <w:pPr>
              <w:pStyle w:val="Compact"/>
            </w:pPr>
            <w:r>
              <w:t xml:space="preserve">Highest domestic law. All other sources must conform to it.</w:t>
            </w:r>
          </w:p>
        </w:tc>
        <w:tc>
          <w:tcPr/>
          <w:p>
            <w:pPr>
              <w:pStyle w:val="Compact"/>
            </w:pPr>
            <w:r>
              <w:rPr>
                <w:i/>
                <w:iCs/>
              </w:rPr>
              <w:t xml:space="preserve">Marbury v. Madison</w:t>
            </w:r>
            <w:r>
              <w:t xml:space="preserve">, 5 U.S. (1 Cranch) 137 (1803), entrenched judicial review of inferior federal law.</w:t>
            </w:r>
          </w:p>
        </w:tc>
        <w:tc>
          <w:tcPr/>
          <w:p>
            <w:pPr>
              <w:pStyle w:val="Compact"/>
            </w:pPr>
            <w:hyperlink r:id="rId21">
              <w:r>
                <w:rPr>
                  <w:rStyle w:val="Hyperlink"/>
                </w:rPr>
                <w:t xml:space="preserve">[7]</w:t>
              </w:r>
            </w:hyperlink>
          </w:p>
        </w:tc>
      </w:tr>
      <w:tr>
        <w:tc>
          <w:tcPr/>
          <w:p>
            <w:pPr>
              <w:pStyle w:val="Compact"/>
            </w:pPr>
            <w:r>
              <w:t xml:space="preserve">Federal statutes</w:t>
            </w:r>
          </w:p>
        </w:tc>
        <w:tc>
          <w:tcPr/>
          <w:p>
            <w:pPr>
              <w:pStyle w:val="Compact"/>
            </w:pPr>
            <w:r>
              <w:t xml:space="preserve">Enacted by Congress through bicameralism and presentment.</w:t>
            </w:r>
          </w:p>
        </w:tc>
        <w:tc>
          <w:tcPr/>
          <w:p>
            <w:pPr>
              <w:pStyle w:val="Compact"/>
            </w:pPr>
            <w:r>
              <w:t xml:space="preserve">Supreme over contrary state law if validly within federal power; subordinate to Constitution.</w:t>
            </w:r>
          </w:p>
        </w:tc>
        <w:tc>
          <w:tcPr/>
          <w:p>
            <w:pPr>
              <w:pStyle w:val="Compact"/>
            </w:pPr>
            <w:r>
              <w:t xml:space="preserve">5 U.S.C. § 706 governs review of agency action; 9 U.S.C. § 2 enforces arbitration agreements.</w:t>
            </w:r>
          </w:p>
        </w:tc>
        <w:tc>
          <w:tcPr/>
          <w:p>
            <w:pPr>
              <w:pStyle w:val="Compact"/>
            </w:pPr>
            <w:hyperlink r:id="rId21">
              <w:r>
                <w:rPr>
                  <w:rStyle w:val="Hyperlink"/>
                </w:rPr>
                <w:t xml:space="preserve">[8]</w:t>
              </w:r>
            </w:hyperlink>
          </w:p>
        </w:tc>
      </w:tr>
      <w:tr>
        <w:tc>
          <w:tcPr/>
          <w:p>
            <w:pPr>
              <w:pStyle w:val="Compact"/>
            </w:pPr>
            <w:r>
              <w:t xml:space="preserve">Treaties</w:t>
            </w:r>
          </w:p>
        </w:tc>
        <w:tc>
          <w:tcPr/>
          <w:p>
            <w:pPr>
              <w:pStyle w:val="Compact"/>
            </w:pPr>
            <w:r>
              <w:t xml:space="preserve">President makes treaties with Senate advice and consent under Article II, § 2, cl. 2.</w:t>
            </w:r>
          </w:p>
        </w:tc>
        <w:tc>
          <w:tcPr/>
          <w:p>
            <w:pPr>
              <w:pStyle w:val="Compact"/>
            </w:pPr>
            <w:r>
              <w:t xml:space="preserve">Can be supreme federal law against state law if self-executing; otherwise require implementing legislation. Cannot override the Constitution.</w:t>
            </w:r>
          </w:p>
        </w:tc>
        <w:tc>
          <w:tcPr/>
          <w:p>
            <w:pPr>
              <w:pStyle w:val="Compact"/>
            </w:pPr>
            <w:r>
              <w:rPr>
                <w:i/>
                <w:iCs/>
              </w:rPr>
              <w:t xml:space="preserve">Medellín v. Texas</w:t>
            </w:r>
            <w:r>
              <w:t xml:space="preserve">, 552 U.S. 491 (2008), distinguished self-executing from non-self-executing treaties; later-in-time statutes can prevail domestically over earlier treaties.</w:t>
            </w:r>
          </w:p>
        </w:tc>
        <w:tc>
          <w:tcPr/>
          <w:p>
            <w:pPr>
              <w:pStyle w:val="Compact"/>
            </w:pPr>
            <w:hyperlink r:id="rId22">
              <w:r>
                <w:rPr>
                  <w:rStyle w:val="Hyperlink"/>
                </w:rPr>
                <w:t xml:space="preserve">[9]</w:t>
              </w:r>
            </w:hyperlink>
          </w:p>
        </w:tc>
      </w:tr>
      <w:tr>
        <w:tc>
          <w:tcPr/>
          <w:p>
            <w:pPr>
              <w:pStyle w:val="Compact"/>
            </w:pPr>
            <w:r>
              <w:t xml:space="preserve">Federal regulations</w:t>
            </w:r>
          </w:p>
        </w:tc>
        <w:tc>
          <w:tcPr/>
          <w:p>
            <w:pPr>
              <w:pStyle w:val="Compact"/>
            </w:pPr>
            <w:r>
              <w:t xml:space="preserve">Agencies issue rules under delegated statutory authority, typically through APA rulemaking, with Federal Register publication and CFR codification.</w:t>
            </w:r>
          </w:p>
        </w:tc>
        <w:tc>
          <w:tcPr/>
          <w:p>
            <w:pPr>
              <w:pStyle w:val="Compact"/>
            </w:pPr>
            <w:r>
              <w:t xml:space="preserve">Have the force of law if validly promulgated; can preempt state law when Congress authorized that effect.</w:t>
            </w:r>
          </w:p>
        </w:tc>
        <w:tc>
          <w:tcPr/>
          <w:p>
            <w:pPr>
              <w:pStyle w:val="Compact"/>
            </w:pPr>
            <w:r>
              <w:t xml:space="preserve">44 U.S.C. §§ 1505, 1507 and 1 C.F.R. pt. 8 structure Federal Register/CFR publication; APA § 553 structures notice-and-comment.</w:t>
            </w:r>
          </w:p>
        </w:tc>
        <w:tc>
          <w:tcPr/>
          <w:p>
            <w:pPr>
              <w:pStyle w:val="Compact"/>
            </w:pPr>
            <w:hyperlink r:id="rId26">
              <w:r>
                <w:rPr>
                  <w:rStyle w:val="Hyperlink"/>
                </w:rPr>
                <w:t xml:space="preserve">[10]</w:t>
              </w:r>
            </w:hyperlink>
          </w:p>
        </w:tc>
      </w:tr>
      <w:tr>
        <w:tc>
          <w:tcPr/>
          <w:p>
            <w:pPr>
              <w:pStyle w:val="Compact"/>
            </w:pPr>
            <w:r>
              <w:t xml:space="preserve">Federal common law</w:t>
            </w:r>
          </w:p>
        </w:tc>
        <w:tc>
          <w:tcPr/>
          <w:p>
            <w:pPr>
              <w:pStyle w:val="Compact"/>
            </w:pPr>
            <w:r>
              <w:t xml:space="preserve">Judge-made law recognized only in limited enclaves after</w:t>
            </w:r>
            <w:r>
              <w:t xml:space="preserve"> </w:t>
            </w:r>
            <w:r>
              <w:rPr>
                <w:i/>
                <w:iCs/>
              </w:rPr>
              <w:t xml:space="preserve">Erie</w:t>
            </w:r>
            <w:r>
              <w:t xml:space="preserve">.</w:t>
            </w:r>
          </w:p>
        </w:tc>
        <w:tc>
          <w:tcPr/>
          <w:p>
            <w:pPr>
              <w:pStyle w:val="Compact"/>
            </w:pPr>
            <w:r>
              <w:t xml:space="preserve">Subordinate to the Constitution, statutes, treaties, and valid regulations; can still displace state law in uniquely federal fields.</w:t>
            </w:r>
          </w:p>
        </w:tc>
        <w:tc>
          <w:tcPr/>
          <w:p>
            <w:pPr>
              <w:pStyle w:val="Compact"/>
            </w:pPr>
            <w:r>
              <w:rPr>
                <w:i/>
                <w:iCs/>
              </w:rPr>
              <w:t xml:space="preserve">Clearfield Trust Co. v. United States</w:t>
            </w:r>
            <w:r>
              <w:t xml:space="preserve">, 318 U.S. 363 (1943), and</w:t>
            </w:r>
            <w:r>
              <w:t xml:space="preserve"> </w:t>
            </w:r>
            <w:r>
              <w:rPr>
                <w:i/>
                <w:iCs/>
              </w:rPr>
              <w:t xml:space="preserve">Boyle v. United Technologies Corp.</w:t>
            </w:r>
            <w:r>
              <w:t xml:space="preserve">, 487 U.S. 500 (1988), are leading examples.</w:t>
            </w:r>
          </w:p>
        </w:tc>
        <w:tc>
          <w:tcPr/>
          <w:p>
            <w:pPr>
              <w:pStyle w:val="Compact"/>
            </w:pPr>
            <w:hyperlink r:id="rId27">
              <w:r>
                <w:rPr>
                  <w:rStyle w:val="Hyperlink"/>
                </w:rPr>
                <w:t xml:space="preserve">[11]</w:t>
              </w:r>
            </w:hyperlink>
          </w:p>
        </w:tc>
      </w:tr>
      <w:tr>
        <w:tc>
          <w:tcPr/>
          <w:p>
            <w:pPr>
              <w:pStyle w:val="Compact"/>
            </w:pPr>
            <w:r>
              <w:t xml:space="preserve">Executive orders</w:t>
            </w:r>
          </w:p>
        </w:tc>
        <w:tc>
          <w:tcPr/>
          <w:p>
            <w:pPr>
              <w:pStyle w:val="Compact"/>
            </w:pPr>
            <w:r>
              <w:t xml:space="preserve">Presidential directives to the executive branch; proposed orders must cite their legal authority and are ordinarily published.</w:t>
            </w:r>
          </w:p>
        </w:tc>
        <w:tc>
          <w:tcPr/>
          <w:p>
            <w:pPr>
              <w:pStyle w:val="Compact"/>
            </w:pPr>
            <w:r>
              <w:t xml:space="preserve">Bind the executive branch when grounded in constitutional or statutory authority; cannot override statutes or the Constitution.</w:t>
            </w:r>
          </w:p>
        </w:tc>
        <w:tc>
          <w:tcPr/>
          <w:p>
            <w:pPr>
              <w:pStyle w:val="Compact"/>
            </w:pPr>
            <w:r>
              <w:rPr>
                <w:i/>
                <w:iCs/>
              </w:rPr>
              <w:t xml:space="preserve">Youngstown Sheet &amp; Tube Co. v. Sawyer</w:t>
            </w:r>
            <w:r>
              <w:t xml:space="preserve">, 343 U.S. 579 (1952), remains the canonical limit.</w:t>
            </w:r>
          </w:p>
        </w:tc>
        <w:tc>
          <w:tcPr/>
          <w:p>
            <w:pPr>
              <w:pStyle w:val="Compact"/>
            </w:pPr>
            <w:hyperlink r:id="rId28">
              <w:r>
                <w:rPr>
                  <w:rStyle w:val="Hyperlink"/>
                </w:rPr>
                <w:t xml:space="preserve">[12]</w:t>
              </w:r>
            </w:hyperlink>
          </w:p>
        </w:tc>
      </w:tr>
      <w:tr>
        <w:tc>
          <w:tcPr/>
          <w:p>
            <w:pPr>
              <w:pStyle w:val="Compact"/>
            </w:pPr>
            <w:r>
              <w:t xml:space="preserve">Federal administrative adjudications and orders</w:t>
            </w:r>
          </w:p>
        </w:tc>
        <w:tc>
          <w:tcPr/>
          <w:p>
            <w:pPr>
              <w:pStyle w:val="Compact"/>
            </w:pPr>
            <w:r>
              <w:t xml:space="preserve">Formal adjudications and final orders arise under organic acts and APA §§ 554, 556, 557.</w:t>
            </w:r>
          </w:p>
        </w:tc>
        <w:tc>
          <w:tcPr/>
          <w:p>
            <w:pPr>
              <w:pStyle w:val="Compact"/>
            </w:pPr>
            <w:r>
              <w:t xml:space="preserve">Bind the parties; sometimes also function as agency precedent; always derive force from superior statutes and regulations.</w:t>
            </w:r>
          </w:p>
        </w:tc>
        <w:tc>
          <w:tcPr/>
          <w:p>
            <w:pPr>
              <w:pStyle w:val="Compact"/>
            </w:pPr>
            <w:r>
              <w:t xml:space="preserve">Final agency action is ordinarily reviewable under APA ch. 7.</w:t>
            </w:r>
          </w:p>
        </w:tc>
        <w:tc>
          <w:tcPr/>
          <w:p>
            <w:pPr>
              <w:pStyle w:val="Compact"/>
            </w:pPr>
            <w:hyperlink r:id="rId29">
              <w:r>
                <w:rPr>
                  <w:rStyle w:val="Hyperlink"/>
                </w:rPr>
                <w:t xml:space="preserve">[13]</w:t>
              </w:r>
            </w:hyperlink>
          </w:p>
        </w:tc>
      </w:tr>
    </w:tbl>
    <w:bookmarkEnd w:id="30"/>
    <w:bookmarkStart w:id="37" w:name="state-local-and-private-law-sources"/>
    <w:p>
      <w:pPr>
        <w:pStyle w:val="Heading3"/>
      </w:pPr>
      <w:r>
        <w:t xml:space="preserve">State, local, and private-law sources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Legal basis and creation method</w:t>
            </w:r>
          </w:p>
        </w:tc>
        <w:tc>
          <w:tcPr/>
          <w:p>
            <w:pPr>
              <w:pStyle w:val="Compact"/>
            </w:pPr>
            <w:r>
              <w:t xml:space="preserve">Typical legal force</w:t>
            </w:r>
          </w:p>
        </w:tc>
        <w:tc>
          <w:tcPr/>
          <w:p>
            <w:pPr>
              <w:pStyle w:val="Compact"/>
            </w:pPr>
            <w:r>
              <w:t xml:space="preserve">Illustrative example or limit</w:t>
            </w:r>
          </w:p>
        </w:tc>
        <w:tc>
          <w:tcPr/>
          <w:p>
            <w:pPr>
              <w:pStyle w:val="Compact"/>
            </w:pPr>
            <w:r>
              <w:t xml:space="preserve">Official support</w:t>
            </w:r>
          </w:p>
        </w:tc>
      </w:tr>
      <w:tr>
        <w:tc>
          <w:tcPr/>
          <w:p>
            <w:pPr>
              <w:pStyle w:val="Compact"/>
            </w:pPr>
            <w:r>
              <w:t xml:space="preserve">State constitutions</w:t>
            </w:r>
          </w:p>
        </w:tc>
        <w:tc>
          <w:tcPr/>
          <w:p>
            <w:pPr>
              <w:pStyle w:val="Compact"/>
            </w:pPr>
            <w:r>
              <w:t xml:space="preserve">Each state’s charter creates state institutions and often grants broader or more detailed rights than the federal Constitution.</w:t>
            </w:r>
          </w:p>
        </w:tc>
        <w:tc>
          <w:tcPr/>
          <w:p>
            <w:pPr>
              <w:pStyle w:val="Compact"/>
            </w:pPr>
            <w:r>
              <w:t xml:space="preserve">Highest law within the state, but subordinate to federal supreme law.</w:t>
            </w:r>
          </w:p>
        </w:tc>
        <w:tc>
          <w:tcPr/>
          <w:p>
            <w:pPr>
              <w:pStyle w:val="Compact"/>
            </w:pPr>
            <w:r>
              <w:t xml:space="preserve">California and Florida expressly protect privacy; New York and Texas constitutionalize distinctive local-government and property structures.</w:t>
            </w:r>
          </w:p>
        </w:tc>
        <w:tc>
          <w:tcPr/>
          <w:p>
            <w:pPr>
              <w:pStyle w:val="Compact"/>
            </w:pPr>
            <w:hyperlink r:id="rId31">
              <w:r>
                <w:rPr>
                  <w:rStyle w:val="Hyperlink"/>
                </w:rPr>
                <w:t xml:space="preserve">[14]</w:t>
              </w:r>
            </w:hyperlink>
          </w:p>
        </w:tc>
      </w:tr>
      <w:tr>
        <w:tc>
          <w:tcPr/>
          <w:p>
            <w:pPr>
              <w:pStyle w:val="Compact"/>
            </w:pPr>
            <w:r>
              <w:t xml:space="preserve">State statutes</w:t>
            </w:r>
          </w:p>
        </w:tc>
        <w:tc>
          <w:tcPr/>
          <w:p>
            <w:pPr>
              <w:pStyle w:val="Compact"/>
            </w:pPr>
            <w:r>
              <w:t xml:space="preserve">Enacted under state constitutional procedures and usually codified by subject or chapter.</w:t>
            </w:r>
          </w:p>
        </w:tc>
        <w:tc>
          <w:tcPr/>
          <w:p>
            <w:pPr>
              <w:pStyle w:val="Compact"/>
            </w:pPr>
            <w:r>
              <w:t xml:space="preserve">Primary statewide positive law; typically displace contrary common law and often preempt local ordinances.</w:t>
            </w:r>
          </w:p>
        </w:tc>
        <w:tc>
          <w:tcPr/>
          <w:p>
            <w:pPr>
              <w:pStyle w:val="Compact"/>
            </w:pPr>
            <w:r>
              <w:t xml:space="preserve">State APAs in New York, Texas, and Florida illustrate how statutes structure rulemaking and adjudication.</w:t>
            </w:r>
          </w:p>
        </w:tc>
        <w:tc>
          <w:tcPr/>
          <w:p>
            <w:pPr>
              <w:pStyle w:val="Compact"/>
            </w:pPr>
            <w:hyperlink r:id="rId32">
              <w:r>
                <w:rPr>
                  <w:rStyle w:val="Hyperlink"/>
                </w:rPr>
                <w:t xml:space="preserve">[15]</w:t>
              </w:r>
            </w:hyperlink>
          </w:p>
        </w:tc>
      </w:tr>
      <w:tr>
        <w:tc>
          <w:tcPr/>
          <w:p>
            <w:pPr>
              <w:pStyle w:val="Compact"/>
            </w:pPr>
            <w:r>
              <w:t xml:space="preserve">State regulations</w:t>
            </w:r>
          </w:p>
        </w:tc>
        <w:tc>
          <w:tcPr/>
          <w:p>
            <w:pPr>
              <w:pStyle w:val="Compact"/>
            </w:pPr>
            <w:r>
              <w:t xml:space="preserve">Issued under state APA or enabling act and compiled in state administrative codes/registers.</w:t>
            </w:r>
          </w:p>
        </w:tc>
        <w:tc>
          <w:tcPr/>
          <w:p>
            <w:pPr>
              <w:pStyle w:val="Compact"/>
            </w:pPr>
            <w:r>
              <w:t xml:space="preserve">Enforceable if within delegation and properly promulgated; subordinate to constitutions and statutes.</w:t>
            </w:r>
          </w:p>
        </w:tc>
        <w:tc>
          <w:tcPr/>
          <w:p>
            <w:pPr>
              <w:pStyle w:val="Compact"/>
            </w:pPr>
            <w:r>
              <w:t xml:space="preserve">NYCRR, TAC, and FAC/FAR are state analogues to the CFR.</w:t>
            </w:r>
          </w:p>
        </w:tc>
        <w:tc>
          <w:tcPr/>
          <w:p>
            <w:pPr>
              <w:pStyle w:val="Compact"/>
            </w:pPr>
            <w:hyperlink r:id="rId33">
              <w:r>
                <w:rPr>
                  <w:rStyle w:val="Hyperlink"/>
                </w:rPr>
                <w:t xml:space="preserve">[16]</w:t>
              </w:r>
            </w:hyperlink>
          </w:p>
        </w:tc>
      </w:tr>
      <w:tr>
        <w:tc>
          <w:tcPr/>
          <w:p>
            <w:pPr>
              <w:pStyle w:val="Compact"/>
            </w:pPr>
            <w:r>
              <w:t xml:space="preserve">State common law</w:t>
            </w:r>
          </w:p>
        </w:tc>
        <w:tc>
          <w:tcPr/>
          <w:p>
            <w:pPr>
              <w:pStyle w:val="Compact"/>
            </w:pPr>
            <w:r>
              <w:t xml:space="preserve">Judge-made rules in tort, contract, property, equity, remedies, and many default doctrines.</w:t>
            </w:r>
          </w:p>
        </w:tc>
        <w:tc>
          <w:tcPr/>
          <w:p>
            <w:pPr>
              <w:pStyle w:val="Compact"/>
            </w:pPr>
            <w:r>
              <w:t xml:space="preserve">Important gap-filling and default law; yields to constitutions, statutes, and valid regulations.</w:t>
            </w:r>
          </w:p>
        </w:tc>
        <w:tc>
          <w:tcPr/>
          <w:p>
            <w:pPr>
              <w:pStyle w:val="Compact"/>
            </w:pPr>
            <w:r>
              <w:t xml:space="preserve">In federal diversity litigation, state common law remains central because</w:t>
            </w:r>
            <w:r>
              <w:t xml:space="preserve"> </w:t>
            </w:r>
            <w:r>
              <w:rPr>
                <w:i/>
                <w:iCs/>
              </w:rPr>
              <w:t xml:space="preserve">Erie</w:t>
            </w:r>
            <w:r>
              <w:t xml:space="preserve"> </w:t>
            </w:r>
            <w:r>
              <w:t xml:space="preserve">requires federal courts to apply state substantive law.</w:t>
            </w:r>
          </w:p>
        </w:tc>
        <w:tc>
          <w:tcPr/>
          <w:p>
            <w:pPr>
              <w:pStyle w:val="Compact"/>
            </w:pPr>
            <w:hyperlink r:id="rId27">
              <w:r>
                <w:rPr>
                  <w:rStyle w:val="Hyperlink"/>
                </w:rPr>
                <w:t xml:space="preserve">[17]</w:t>
              </w:r>
            </w:hyperlink>
          </w:p>
        </w:tc>
      </w:tr>
      <w:tr>
        <w:tc>
          <w:tcPr/>
          <w:p>
            <w:pPr>
              <w:pStyle w:val="Compact"/>
            </w:pPr>
            <w:r>
              <w:t xml:space="preserve">Local ordinances</w:t>
            </w:r>
          </w:p>
        </w:tc>
        <w:tc>
          <w:tcPr/>
          <w:p>
            <w:pPr>
              <w:pStyle w:val="Compact"/>
            </w:pPr>
            <w:r>
              <w:t xml:space="preserve">Cities and counties exercise authority derived from state constitutions, statutes, and home-rule provisions.</w:t>
            </w:r>
          </w:p>
        </w:tc>
        <w:tc>
          <w:tcPr/>
          <w:p>
            <w:pPr>
              <w:pStyle w:val="Compact"/>
            </w:pPr>
            <w:r>
              <w:t xml:space="preserve">Always subordinate to federal law; usually subordinate to state constitutions and statutes; exact autonomy depends on home-rule and preemption doctrine.</w:t>
            </w:r>
          </w:p>
        </w:tc>
        <w:tc>
          <w:tcPr/>
          <w:p>
            <w:pPr>
              <w:pStyle w:val="Compact"/>
            </w:pPr>
            <w:r>
              <w:t xml:space="preserve">New York, Texas, and Florida all constitutionalize or statutorily protect local self-government in different ways.</w:t>
            </w:r>
          </w:p>
        </w:tc>
        <w:tc>
          <w:tcPr/>
          <w:p>
            <w:pPr>
              <w:pStyle w:val="Compact"/>
            </w:pPr>
            <w:hyperlink r:id="rId34">
              <w:r>
                <w:rPr>
                  <w:rStyle w:val="Hyperlink"/>
                </w:rPr>
                <w:t xml:space="preserve">[18]</w:t>
              </w:r>
            </w:hyperlink>
          </w:p>
        </w:tc>
      </w:tr>
      <w:tr>
        <w:tc>
          <w:tcPr/>
          <w:p>
            <w:pPr>
              <w:pStyle w:val="Compact"/>
            </w:pPr>
            <w:r>
              <w:t xml:space="preserve">State and local administrative decisions</w:t>
            </w:r>
          </w:p>
        </w:tc>
        <w:tc>
          <w:tcPr/>
          <w:p>
            <w:pPr>
              <w:pStyle w:val="Compact"/>
            </w:pPr>
            <w:r>
              <w:t xml:space="preserve">Orders in licensing, discipline, benefits, taxation, labor, utilities, land use, and similar matters.</w:t>
            </w:r>
          </w:p>
        </w:tc>
        <w:tc>
          <w:tcPr/>
          <w:p>
            <w:pPr>
              <w:pStyle w:val="Compact"/>
            </w:pPr>
            <w:r>
              <w:t xml:space="preserve">Bind the parties and sometimes have broader internal agency effect; always derive authority from statute and regulation.</w:t>
            </w:r>
          </w:p>
        </w:tc>
        <w:tc>
          <w:tcPr/>
          <w:p>
            <w:pPr>
              <w:pStyle w:val="Compact"/>
            </w:pPr>
            <w:r>
              <w:t xml:space="preserve">State APAs and hearing systems in Texas and Florida make this especially visible.</w:t>
            </w:r>
          </w:p>
        </w:tc>
        <w:tc>
          <w:tcPr/>
          <w:p>
            <w:pPr>
              <w:pStyle w:val="Compact"/>
            </w:pPr>
            <w:hyperlink r:id="rId35">
              <w:r>
                <w:rPr>
                  <w:rStyle w:val="Hyperlink"/>
                </w:rPr>
                <w:t xml:space="preserve">[19]</w:t>
              </w:r>
            </w:hyperlink>
          </w:p>
        </w:tc>
      </w:tr>
      <w:tr>
        <w:tc>
          <w:tcPr/>
          <w:p>
            <w:pPr>
              <w:pStyle w:val="Compact"/>
            </w:pPr>
            <w:r>
              <w:t xml:space="preserve">Private law</w:t>
            </w:r>
          </w:p>
        </w:tc>
        <w:tc>
          <w:tcPr/>
          <w:p>
            <w:pPr>
              <w:pStyle w:val="Compact"/>
            </w:pPr>
            <w:r>
              <w:t xml:space="preserve">Contracts, bylaws, trust instruments, covenants, arbitration clauses, settlement agreements.</w:t>
            </w:r>
          </w:p>
        </w:tc>
        <w:tc>
          <w:tcPr/>
          <w:p>
            <w:pPr>
              <w:pStyle w:val="Compact"/>
            </w:pPr>
            <w:r>
              <w:t xml:space="preserve">Controlling between parties only because public law recognizes them; they yield to mandatory public law and public policy.</w:t>
            </w:r>
          </w:p>
        </w:tc>
        <w:tc>
          <w:tcPr/>
          <w:p>
            <w:pPr>
              <w:pStyle w:val="Compact"/>
            </w:pPr>
            <w:r>
              <w:t xml:space="preserve">The FAA, 9 U.S.C. § 2, is the clearest federal example of public law enforcing private ordering.</w:t>
            </w:r>
          </w:p>
        </w:tc>
        <w:tc>
          <w:tcPr/>
          <w:p>
            <w:pPr>
              <w:pStyle w:val="Compact"/>
            </w:pPr>
            <w:hyperlink r:id="rId36">
              <w:r>
                <w:rPr>
                  <w:rStyle w:val="Hyperlink"/>
                </w:rPr>
                <w:t xml:space="preserve">[20]</w:t>
              </w:r>
            </w:hyperlink>
          </w:p>
        </w:tc>
      </w:tr>
    </w:tbl>
    <w:bookmarkEnd w:id="37"/>
    <w:bookmarkEnd w:id="38"/>
    <w:bookmarkStart w:id="44" w:name="conflict-resolution"/>
    <w:p>
      <w:pPr>
        <w:pStyle w:val="Heading2"/>
      </w:pPr>
      <w:r>
        <w:t xml:space="preserve">Conflict Resolution</w:t>
      </w:r>
    </w:p>
    <w:p>
      <w:pPr>
        <w:pStyle w:val="FirstParagraph"/>
      </w:pPr>
      <w:r>
        <w:t xml:space="preserve">When legal materials conflict, American courts rarely “balance” them abstractly. They apply</w:t>
      </w:r>
      <w:r>
        <w:t xml:space="preserve"> </w:t>
      </w:r>
      <w:r>
        <w:rPr>
          <w:b/>
          <w:bCs/>
        </w:rPr>
        <w:t xml:space="preserve">named doctrines</w:t>
      </w:r>
      <w:r>
        <w:t xml:space="preserve"> </w:t>
      </w:r>
      <w:r>
        <w:t xml:space="preserve">that sort conflicts by source, sovereign, forum, and institutional role. The main question is not merely “which rule is newer?” but “which actor had authority to make a controlling rule for this issue, and what does the governing conflict doctrine say about displacement, deference, or precedent?”</w:t>
      </w:r>
      <w:r>
        <w:t xml:space="preserve"> </w:t>
      </w:r>
      <w:hyperlink r:id="rId23">
        <w:r>
          <w:rPr>
            <w:rStyle w:val="Hyperlink"/>
          </w:rPr>
          <w:t xml:space="preserve">[21]</w:t>
        </w:r>
      </w:hyperlink>
    </w:p>
    <w:p>
      <w:pPr>
        <w:pStyle w:val="BodyText"/>
      </w:pPr>
      <w:r>
        <w:t xml:space="preserve">The flow below captures the operational sequence. Courts begin with constitutional constraints, then decide whether a federal rule validly displaces state law, whether</w:t>
      </w:r>
      <w:r>
        <w:t xml:space="preserve"> </w:t>
      </w:r>
      <w:r>
        <w:rPr>
          <w:i/>
          <w:iCs/>
        </w:rPr>
        <w:t xml:space="preserve">Erie</w:t>
      </w:r>
      <w:r>
        <w:t xml:space="preserve"> </w:t>
      </w:r>
      <w:r>
        <w:t xml:space="preserve">or choice-of-law principles require importing state law into federal court, whether agency interpretation receives any weight after</w:t>
      </w:r>
      <w:r>
        <w:t xml:space="preserve"> </w:t>
      </w:r>
      <w:r>
        <w:rPr>
          <w:i/>
          <w:iCs/>
        </w:rPr>
        <w:t xml:space="preserve">Loper Bright</w:t>
      </w:r>
      <w:r>
        <w:t xml:space="preserve">, and finally whether precedent already answers the question.</w:t>
      </w:r>
      <w:r>
        <w:t xml:space="preserve"> </w:t>
      </w:r>
      <w:hyperlink r:id="rId23">
        <w:r>
          <w:rPr>
            <w:rStyle w:val="Hyperlink"/>
          </w:rPr>
          <w:t xml:space="preserve">[22]</w:t>
        </w:r>
      </w:hyperlink>
    </w:p>
    <w:p>
      <w:pPr>
        <w:pStyle w:val="SourceCode"/>
      </w:pPr>
      <w:r>
        <w:rPr>
          <w:rStyle w:val="VerbatimChar"/>
        </w:rPr>
        <w:t xml:space="preserve">flowchart TD</w:t>
      </w:r>
      <w:r>
        <w:br/>
      </w:r>
      <w:r>
        <w:rPr>
          <w:rStyle w:val="VerbatimChar"/>
        </w:rPr>
        <w:t xml:space="preserve">    A[Legal dispute] --&gt; B{Federal or state issue?}</w:t>
      </w:r>
      <w:r>
        <w:br/>
      </w:r>
      <w:r>
        <w:rPr>
          <w:rStyle w:val="VerbatimChar"/>
        </w:rPr>
        <w:t xml:space="preserve">    B --&gt; C{Constitution implicated?}</w:t>
      </w:r>
      <w:r>
        <w:br/>
      </w:r>
      <w:r>
        <w:rPr>
          <w:rStyle w:val="VerbatimChar"/>
        </w:rPr>
        <w:t xml:space="preserve">    C --&gt;|Yes| D[Constitution controls]</w:t>
      </w:r>
      <w:r>
        <w:br/>
      </w:r>
      <w:r>
        <w:rPr>
          <w:rStyle w:val="VerbatimChar"/>
        </w:rPr>
        <w:t xml:space="preserve">    C --&gt;|No| E{Federal statute, treaty, or regulation conflicts with state law?}</w:t>
      </w:r>
      <w:r>
        <w:br/>
      </w:r>
      <w:r>
        <w:rPr>
          <w:rStyle w:val="VerbatimChar"/>
        </w:rPr>
        <w:t xml:space="preserve">    E --&gt;|Yes| F[Apply Supremacy Clause and preemption]</w:t>
      </w:r>
      <w:r>
        <w:br/>
      </w:r>
      <w:r>
        <w:rPr>
          <w:rStyle w:val="VerbatimChar"/>
        </w:rPr>
        <w:t xml:space="preserve">    E --&gt;|No| G{Federal court deciding state-law claim?}</w:t>
      </w:r>
      <w:r>
        <w:br/>
      </w:r>
      <w:r>
        <w:rPr>
          <w:rStyle w:val="VerbatimChar"/>
        </w:rPr>
        <w:t xml:space="preserve">    G --&gt;|Yes| H[Apply Erie; in diversity use forum state's choice-of-law rules]</w:t>
      </w:r>
      <w:r>
        <w:br/>
      </w:r>
      <w:r>
        <w:rPr>
          <w:rStyle w:val="VerbatimChar"/>
        </w:rPr>
        <w:t xml:space="preserve">    G --&gt;|No| I[Apply state hierarchy and state preemption rules]</w:t>
      </w:r>
      <w:r>
        <w:br/>
      </w:r>
      <w:r>
        <w:rPr>
          <w:rStyle w:val="VerbatimChar"/>
        </w:rPr>
        <w:t xml:space="preserve">    F --&gt; J{Agency interpretation involved?}</w:t>
      </w:r>
      <w:r>
        <w:br/>
      </w:r>
      <w:r>
        <w:rPr>
          <w:rStyle w:val="VerbatimChar"/>
        </w:rPr>
        <w:t xml:space="preserve">    J --&gt;|Statute| K[Independent judicial judgment after Loper Bright]</w:t>
      </w:r>
      <w:r>
        <w:br/>
      </w:r>
      <w:r>
        <w:rPr>
          <w:rStyle w:val="VerbatimChar"/>
        </w:rPr>
        <w:t xml:space="preserve">    J --&gt;|Regulation| L[Kisor/Auer only if genuine ambiguity and limits satisfied]</w:t>
      </w:r>
      <w:r>
        <w:br/>
      </w:r>
      <w:r>
        <w:rPr>
          <w:rStyle w:val="VerbatimChar"/>
        </w:rPr>
        <w:t xml:space="preserve">    H --&gt; M[Apply controlling precedent]</w:t>
      </w:r>
      <w:r>
        <w:br/>
      </w:r>
      <w:r>
        <w:rPr>
          <w:rStyle w:val="VerbatimChar"/>
        </w:rPr>
        <w:t xml:space="preserve">    I --&gt; M</w:t>
      </w:r>
      <w:r>
        <w:br/>
      </w:r>
      <w:r>
        <w:rPr>
          <w:rStyle w:val="VerbatimChar"/>
        </w:rPr>
        <w:t xml:space="preserve">    K --&gt; M</w:t>
      </w:r>
      <w:r>
        <w:br/>
      </w:r>
      <w:r>
        <w:rPr>
          <w:rStyle w:val="VerbatimChar"/>
        </w:rPr>
        <w:t xml:space="preserve">    L --&gt; M</w:t>
      </w:r>
      <w:r>
        <w:br/>
      </w:r>
      <w:r>
        <w:rPr>
          <w:rStyle w:val="VerbatimChar"/>
        </w:rPr>
        <w:t xml:space="preserve">    D --&gt; M</w:t>
      </w:r>
      <w:r>
        <w:br/>
      </w:r>
      <w:r>
        <w:rPr>
          <w:rStyle w:val="VerbatimChar"/>
        </w:rPr>
        <w:t xml:space="preserve">    M[Vertical stare decisis first; standards of review last]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Doctrine</w:t>
            </w:r>
          </w:p>
        </w:tc>
        <w:tc>
          <w:tcPr/>
          <w:p>
            <w:pPr>
              <w:pStyle w:val="Compact"/>
            </w:pPr>
            <w:r>
              <w:t xml:space="preserve">Core rule</w:t>
            </w:r>
          </w:p>
        </w:tc>
        <w:tc>
          <w:tcPr/>
          <w:p>
            <w:pPr>
              <w:pStyle w:val="Compact"/>
            </w:pPr>
            <w:r>
              <w:t xml:space="preserve">Classic authorities</w:t>
            </w:r>
          </w:p>
        </w:tc>
        <w:tc>
          <w:tcPr/>
          <w:p>
            <w:pPr>
              <w:pStyle w:val="Compact"/>
            </w:pPr>
            <w:r>
              <w:t xml:space="preserve">Practical consequence</w:t>
            </w:r>
          </w:p>
        </w:tc>
      </w:tr>
      <w:tr>
        <w:tc>
          <w:tcPr/>
          <w:p>
            <w:pPr>
              <w:pStyle w:val="Compact"/>
            </w:pPr>
            <w:r>
              <w:t xml:space="preserve">Supremacy Clause and preemption</w:t>
            </w:r>
          </w:p>
        </w:tc>
        <w:tc>
          <w:tcPr/>
          <w:p>
            <w:pPr>
              <w:pStyle w:val="Compact"/>
            </w:pPr>
            <w:r>
              <w:t xml:space="preserve">Valid federal law displaces contrary state law. Modern doctrine recognizes</w:t>
            </w:r>
            <w:r>
              <w:t xml:space="preserve"> </w:t>
            </w:r>
            <w:r>
              <w:rPr>
                <w:b/>
                <w:bCs/>
              </w:rPr>
              <w:t xml:space="preserve">express</w:t>
            </w:r>
            <w:r>
              <w:t xml:space="preserve">,</w:t>
            </w:r>
            <w:r>
              <w:t xml:space="preserve"> </w:t>
            </w:r>
            <w:r>
              <w:rPr>
                <w:b/>
                <w:bCs/>
              </w:rPr>
              <w:t xml:space="preserve">field</w:t>
            </w:r>
            <w:r>
              <w:t xml:space="preserve">, and</w:t>
            </w:r>
            <w:r>
              <w:t xml:space="preserve"> </w:t>
            </w:r>
            <w:r>
              <w:rPr>
                <w:b/>
                <w:bCs/>
              </w:rPr>
              <w:t xml:space="preserve">conflict</w:t>
            </w:r>
            <w:r>
              <w:t xml:space="preserve"> </w:t>
            </w:r>
            <w:r>
              <w:t xml:space="preserve">preemption, including impossibility and obstacle preemption.</w:t>
            </w:r>
          </w:p>
        </w:tc>
        <w:tc>
          <w:tcPr/>
          <w:p>
            <w:pPr>
              <w:pStyle w:val="Compact"/>
            </w:pPr>
            <w:r>
              <w:t xml:space="preserve">U.S. Const. art. VI, cl. 2;</w:t>
            </w:r>
            <w:r>
              <w:t xml:space="preserve"> </w:t>
            </w:r>
            <w:r>
              <w:rPr>
                <w:i/>
                <w:iCs/>
              </w:rPr>
              <w:t xml:space="preserve">Arizona v. United States</w:t>
            </w:r>
            <w:r>
              <w:t xml:space="preserve">, 567 U.S. 387 (2012);</w:t>
            </w:r>
            <w:r>
              <w:t xml:space="preserve"> </w:t>
            </w:r>
            <w:r>
              <w:rPr>
                <w:i/>
                <w:iCs/>
              </w:rPr>
              <w:t xml:space="preserve">Crosby v. National Foreign Trade Council</w:t>
            </w:r>
            <w:r>
              <w:t xml:space="preserve">, 530 U.S. 363 (2000);</w:t>
            </w:r>
            <w:r>
              <w:t xml:space="preserve"> </w:t>
            </w:r>
            <w:r>
              <w:rPr>
                <w:i/>
                <w:iCs/>
              </w:rPr>
              <w:t xml:space="preserve">Wyeth v. Levine</w:t>
            </w:r>
            <w:r>
              <w:t xml:space="preserve">, 555 U.S. 555 (2009).</w:t>
            </w:r>
            <w:r>
              <w:t xml:space="preserve"> </w:t>
            </w:r>
            <w:hyperlink r:id="rId23">
              <w:r>
                <w:rPr>
                  <w:rStyle w:val="Hyperlink"/>
                </w:rPr>
                <w:t xml:space="preserve">[23]</w:t>
              </w:r>
            </w:hyperlink>
          </w:p>
        </w:tc>
        <w:tc>
          <w:tcPr/>
          <w:p>
            <w:pPr>
              <w:pStyle w:val="Compact"/>
            </w:pPr>
            <w:r>
              <w:t xml:space="preserve">If Congress validly occupies the field or creates an impossible/obstacle conflict, the state rule falls away even if the state acted within its ordinary police power.</w:t>
            </w:r>
          </w:p>
        </w:tc>
      </w:tr>
      <w:tr>
        <w:tc>
          <w:tcPr/>
          <w:p>
            <w:pPr>
              <w:pStyle w:val="Compact"/>
            </w:pPr>
            <w:r>
              <w:t xml:space="preserve">Federalism and anti-commandeering</w:t>
            </w:r>
          </w:p>
        </w:tc>
        <w:tc>
          <w:tcPr/>
          <w:p>
            <w:pPr>
              <w:pStyle w:val="Compact"/>
            </w:pPr>
            <w:r>
              <w:t xml:space="preserve">The federal government has enumerated powers, not a general police power; even when Congress may preempt contrary state law, it may not simply command state legislatures or executive officers to administer federal programs.</w:t>
            </w:r>
          </w:p>
        </w:tc>
        <w:tc>
          <w:tcPr/>
          <w:p>
            <w:pPr>
              <w:pStyle w:val="Compact"/>
            </w:pPr>
            <w:r>
              <w:t xml:space="preserve">Article I’s enumerated-powers structure; Tenth Amendment anti-commandeering doctrine.</w:t>
            </w:r>
            <w:r>
              <w:t xml:space="preserve"> </w:t>
            </w:r>
            <w:hyperlink r:id="rId39">
              <w:r>
                <w:rPr>
                  <w:rStyle w:val="Hyperlink"/>
                </w:rPr>
                <w:t xml:space="preserve">[24]</w:t>
              </w:r>
            </w:hyperlink>
          </w:p>
        </w:tc>
        <w:tc>
          <w:tcPr/>
          <w:p>
            <w:pPr>
              <w:pStyle w:val="Compact"/>
            </w:pPr>
            <w:r>
              <w:t xml:space="preserve">Federal law may</w:t>
            </w:r>
            <w:r>
              <w:t xml:space="preserve"> </w:t>
            </w:r>
            <w:r>
              <w:rPr>
                <w:b/>
                <w:bCs/>
              </w:rPr>
              <w:t xml:space="preserve">preempt</w:t>
            </w:r>
            <w:r>
              <w:t xml:space="preserve">, but it may not ordinarily</w:t>
            </w:r>
            <w:r>
              <w:t xml:space="preserve"> </w:t>
            </w:r>
            <w:r>
              <w:rPr>
                <w:b/>
                <w:bCs/>
              </w:rPr>
              <w:t xml:space="preserve">commandeer</w:t>
            </w:r>
            <w:r>
              <w:t xml:space="preserve">. That distinction often determines whether a federal measure is valid.</w:t>
            </w:r>
          </w:p>
        </w:tc>
      </w:tr>
      <w:tr>
        <w:tc>
          <w:tcPr/>
          <w:p>
            <w:pPr>
              <w:pStyle w:val="Compact"/>
            </w:pPr>
            <w:r>
              <w:t xml:space="preserve">Choice-of-law</w:t>
            </w:r>
          </w:p>
        </w:tc>
        <w:tc>
          <w:tcPr/>
          <w:p>
            <w:pPr>
              <w:pStyle w:val="Compact"/>
            </w:pPr>
            <w:r>
              <w:t xml:space="preserve">In multistate disputes, a court must decide which state’s law governs. In diversity, a federal court uses the forum state’s conflict rules. Constitutional limits require sufficient contacts and fundamental fairness.</w:t>
            </w:r>
          </w:p>
        </w:tc>
        <w:tc>
          <w:tcPr/>
          <w:p>
            <w:pPr>
              <w:pStyle w:val="Compact"/>
            </w:pPr>
            <w:r>
              <w:rPr>
                <w:i/>
                <w:iCs/>
              </w:rPr>
              <w:t xml:space="preserve">Klaxon Co. v. Stentor Electric Mfg. Co.</w:t>
            </w:r>
            <w:r>
              <w:t xml:space="preserve">, 313 U.S. 487 (1941);</w:t>
            </w:r>
            <w:r>
              <w:t xml:space="preserve"> </w:t>
            </w:r>
            <w:r>
              <w:rPr>
                <w:i/>
                <w:iCs/>
              </w:rPr>
              <w:t xml:space="preserve">Allstate Ins. Co. v. Hague</w:t>
            </w:r>
            <w:r>
              <w:t xml:space="preserve">, 449 U.S. 302 (1981);</w:t>
            </w:r>
            <w:r>
              <w:t xml:space="preserve"> </w:t>
            </w:r>
            <w:r>
              <w:rPr>
                <w:i/>
                <w:iCs/>
              </w:rPr>
              <w:t xml:space="preserve">Phillips Petroleum Co. v. Shutts</w:t>
            </w:r>
            <w:r>
              <w:t xml:space="preserve">, 472 U.S. 797 (1985).</w:t>
            </w:r>
            <w:r>
              <w:t xml:space="preserve"> </w:t>
            </w:r>
            <w:hyperlink r:id="rId40">
              <w:r>
                <w:rPr>
                  <w:rStyle w:val="Hyperlink"/>
                </w:rPr>
                <w:t xml:space="preserve">[25]</w:t>
              </w:r>
            </w:hyperlink>
          </w:p>
        </w:tc>
        <w:tc>
          <w:tcPr/>
          <w:p>
            <w:pPr>
              <w:pStyle w:val="Compact"/>
            </w:pPr>
            <w:r>
              <w:t xml:space="preserve">A federal court hearing only state-law claims does</w:t>
            </w:r>
            <w:r>
              <w:t xml:space="preserve"> </w:t>
            </w:r>
            <w:r>
              <w:rPr>
                <w:b/>
                <w:bCs/>
              </w:rPr>
              <w:t xml:space="preserve">not</w:t>
            </w:r>
            <w:r>
              <w:t xml:space="preserve"> </w:t>
            </w:r>
            <w:r>
              <w:t xml:space="preserve">invent federal conflicts rules; it generally borrows the forum state’s approach, subject to due-process and full-faith-and-credit limits.</w:t>
            </w:r>
          </w:p>
        </w:tc>
      </w:tr>
      <w:tr>
        <w:tc>
          <w:tcPr/>
          <w:p>
            <w:pPr>
              <w:pStyle w:val="Compact"/>
            </w:pPr>
            <w:r>
              <w:t xml:space="preserve">Stare decisis</w:t>
            </w:r>
          </w:p>
        </w:tc>
        <w:tc>
          <w:tcPr/>
          <w:p>
            <w:pPr>
              <w:pStyle w:val="Compact"/>
            </w:pPr>
            <w:r>
              <w:t xml:space="preserve">Lower courts are bound by higher-court precedent; a court’s own precedent is presumptively controlling but not unchangeable.</w:t>
            </w:r>
          </w:p>
        </w:tc>
        <w:tc>
          <w:tcPr/>
          <w:p>
            <w:pPr>
              <w:pStyle w:val="Compact"/>
            </w:pPr>
            <w:r>
              <w:rPr>
                <w:i/>
                <w:iCs/>
              </w:rPr>
              <w:t xml:space="preserve">Hutto v. Davis</w:t>
            </w:r>
            <w:r>
              <w:t xml:space="preserve">, 454 U.S. 370 (1982);</w:t>
            </w:r>
            <w:r>
              <w:t xml:space="preserve"> </w:t>
            </w:r>
            <w:r>
              <w:rPr>
                <w:i/>
                <w:iCs/>
              </w:rPr>
              <w:t xml:space="preserve">Agostini v. Felton</w:t>
            </w:r>
            <w:r>
              <w:t xml:space="preserve">, 521 U.S. 203 (1997);</w:t>
            </w:r>
            <w:r>
              <w:t xml:space="preserve"> </w:t>
            </w:r>
            <w:r>
              <w:rPr>
                <w:i/>
                <w:iCs/>
              </w:rPr>
              <w:t xml:space="preserve">Dobbs v. Jackson Women’s Health Organization</w:t>
            </w:r>
            <w:r>
              <w:t xml:space="preserve">, 597 U.S. 215 (2022).</w:t>
            </w:r>
            <w:r>
              <w:t xml:space="preserve"> </w:t>
            </w:r>
            <w:hyperlink r:id="rId41">
              <w:r>
                <w:rPr>
                  <w:rStyle w:val="Hyperlink"/>
                </w:rPr>
                <w:t xml:space="preserve">[26]</w:t>
              </w:r>
            </w:hyperlink>
          </w:p>
        </w:tc>
        <w:tc>
          <w:tcPr/>
          <w:p>
            <w:pPr>
              <w:pStyle w:val="Compact"/>
            </w:pPr>
            <w:r>
              <w:t xml:space="preserve">The first conflict question inside a court system is often not substantive law at all, but whether precedent already settles the matter.</w:t>
            </w:r>
          </w:p>
        </w:tc>
      </w:tr>
      <w:tr>
        <w:tc>
          <w:tcPr/>
          <w:p>
            <w:pPr>
              <w:pStyle w:val="Compact"/>
            </w:pPr>
            <w:r>
              <w:t xml:space="preserve">Erie doctrine</w:t>
            </w:r>
          </w:p>
        </w:tc>
        <w:tc>
          <w:tcPr/>
          <w:p>
            <w:pPr>
              <w:pStyle w:val="Compact"/>
            </w:pPr>
            <w:r>
              <w:t xml:space="preserve">There is no general federal common law in diversity cases; federal courts apply state substantive law and federal procedure.</w:t>
            </w:r>
          </w:p>
        </w:tc>
        <w:tc>
          <w:tcPr/>
          <w:p>
            <w:pPr>
              <w:pStyle w:val="Compact"/>
            </w:pPr>
            <w:r>
              <w:rPr>
                <w:i/>
                <w:iCs/>
              </w:rPr>
              <w:t xml:space="preserve">Erie Railroad Co. v. Tompkins</w:t>
            </w:r>
            <w:r>
              <w:t xml:space="preserve">, 304 U.S. 64 (1938); 28 U.S.C. § 2072; Federal Judicial Center’s</w:t>
            </w:r>
            <w:r>
              <w:t xml:space="preserve"> </w:t>
            </w:r>
            <w:r>
              <w:rPr>
                <w:i/>
                <w:iCs/>
              </w:rPr>
              <w:t xml:space="preserve">Erie</w:t>
            </w:r>
            <w:r>
              <w:t xml:space="preserve"> </w:t>
            </w:r>
            <w:r>
              <w:t xml:space="preserve">materials.</w:t>
            </w:r>
            <w:r>
              <w:t xml:space="preserve"> </w:t>
            </w:r>
            <w:hyperlink r:id="rId27">
              <w:r>
                <w:rPr>
                  <w:rStyle w:val="Hyperlink"/>
                </w:rPr>
                <w:t xml:space="preserve">[27]</w:t>
              </w:r>
            </w:hyperlink>
          </w:p>
        </w:tc>
        <w:tc>
          <w:tcPr/>
          <w:p>
            <w:pPr>
              <w:pStyle w:val="Compact"/>
            </w:pPr>
            <w:r>
              <w:t xml:space="preserve">Many “hierarchy” questions in federal court are really</w:t>
            </w:r>
            <w:r>
              <w:t xml:space="preserve"> </w:t>
            </w:r>
            <w:r>
              <w:rPr>
                <w:i/>
                <w:iCs/>
              </w:rPr>
              <w:t xml:space="preserve">Erie</w:t>
            </w:r>
            <w:r>
              <w:t xml:space="preserve"> </w:t>
            </w:r>
            <w:r>
              <w:t xml:space="preserve">questions: is the disputed rule substantive enough to come from state law, or procedural enough to come from federal law?</w:t>
            </w:r>
          </w:p>
        </w:tc>
      </w:tr>
      <w:tr>
        <w:tc>
          <w:tcPr/>
          <w:p>
            <w:pPr>
              <w:pStyle w:val="Compact"/>
            </w:pPr>
            <w:r>
              <w:t xml:space="preserve">Chevron deference and its afterlife</w:t>
            </w:r>
          </w:p>
        </w:tc>
        <w:tc>
          <w:tcPr/>
          <w:p>
            <w:pPr>
              <w:pStyle w:val="Compact"/>
            </w:pPr>
            <w:r>
              <w:t xml:space="preserve">Historically,</w:t>
            </w:r>
            <w:r>
              <w:t xml:space="preserve"> </w:t>
            </w:r>
            <w:r>
              <w:rPr>
                <w:i/>
                <w:iCs/>
              </w:rPr>
              <w:t xml:space="preserve">Chevron</w:t>
            </w:r>
            <w:r>
              <w:t xml:space="preserve"> </w:t>
            </w:r>
            <w:r>
              <w:t xml:space="preserve">required deference to reasonable agency interpretations of ambiguous statutes. In 2024,</w:t>
            </w:r>
            <w:r>
              <w:t xml:space="preserve"> </w:t>
            </w:r>
            <w:r>
              <w:rPr>
                <w:i/>
                <w:iCs/>
              </w:rPr>
              <w:t xml:space="preserve">Loper Bright</w:t>
            </w:r>
            <w:r>
              <w:t xml:space="preserve"> </w:t>
            </w:r>
            <w:r>
              <w:t xml:space="preserve">overruled</w:t>
            </w:r>
            <w:r>
              <w:t xml:space="preserve"> </w:t>
            </w:r>
            <w:r>
              <w:rPr>
                <w:i/>
                <w:iCs/>
              </w:rPr>
              <w:t xml:space="preserve">Chevron</w:t>
            </w:r>
            <w:r>
              <w:t xml:space="preserve"> </w:t>
            </w:r>
            <w:r>
              <w:t xml:space="preserve">and restored independent judicial judgment under the APA. Limited deference to agency interpretations of agents’ own regulations survives under</w:t>
            </w:r>
            <w:r>
              <w:t xml:space="preserve"> </w:t>
            </w:r>
            <w:r>
              <w:rPr>
                <w:i/>
                <w:iCs/>
              </w:rPr>
              <w:t xml:space="preserve">Kisor</w:t>
            </w:r>
            <w:r>
              <w:t xml:space="preserve">’s narrowed framework.</w:t>
            </w:r>
          </w:p>
        </w:tc>
        <w:tc>
          <w:tcPr/>
          <w:p>
            <w:pPr>
              <w:pStyle w:val="Compact"/>
            </w:pPr>
            <w:r>
              <w:rPr>
                <w:i/>
                <w:iCs/>
              </w:rPr>
              <w:t xml:space="preserve">Chevron U.S.A. Inc. v. NRDC</w:t>
            </w:r>
            <w:r>
              <w:t xml:space="preserve">, 467 U.S. 837 (1984), overruled by</w:t>
            </w:r>
            <w:r>
              <w:t xml:space="preserve"> </w:t>
            </w:r>
            <w:r>
              <w:rPr>
                <w:i/>
                <w:iCs/>
              </w:rPr>
              <w:t xml:space="preserve">Loper Bright Enters. v. Raimondo</w:t>
            </w:r>
            <w:r>
              <w:t xml:space="preserve">, 603 U.S. 369 (2024);</w:t>
            </w:r>
            <w:r>
              <w:t xml:space="preserve"> </w:t>
            </w:r>
            <w:r>
              <w:rPr>
                <w:i/>
                <w:iCs/>
              </w:rPr>
              <w:t xml:space="preserve">Kisor v. Wilkie</w:t>
            </w:r>
            <w:r>
              <w:t xml:space="preserve">, 588 U.S. 558 (2019).</w:t>
            </w:r>
            <w:r>
              <w:t xml:space="preserve"> </w:t>
            </w:r>
            <w:hyperlink r:id="rId42">
              <w:r>
                <w:rPr>
                  <w:rStyle w:val="Hyperlink"/>
                </w:rPr>
                <w:t xml:space="preserve">[28]</w:t>
              </w:r>
            </w:hyperlink>
          </w:p>
        </w:tc>
        <w:tc>
          <w:tcPr/>
          <w:p>
            <w:pPr>
              <w:pStyle w:val="Compact"/>
            </w:pPr>
            <w:r>
              <w:t xml:space="preserve">Courts still respect agency expertise, but they now decide statutory meaning themselves, making source hierarchy and delegation analysis more judicially centered than under</w:t>
            </w:r>
            <w:r>
              <w:t xml:space="preserve"> </w:t>
            </w:r>
            <w:r>
              <w:rPr>
                <w:i/>
                <w:iCs/>
              </w:rPr>
              <w:t xml:space="preserve">Chevron</w:t>
            </w:r>
            <w:r>
              <w:t xml:space="preserve">.</w:t>
            </w:r>
          </w:p>
        </w:tc>
      </w:tr>
    </w:tbl>
    <w:p>
      <w:pPr>
        <w:pStyle w:val="BodyText"/>
      </w:pPr>
      <w:r>
        <w:t xml:space="preserve">Two further conflict rules are especially important. First,</w:t>
      </w:r>
      <w:r>
        <w:t xml:space="preserve"> </w:t>
      </w:r>
      <w:r>
        <w:rPr>
          <w:b/>
          <w:bCs/>
        </w:rPr>
        <w:t xml:space="preserve">treaties and statutes are coequal below the Constitution</w:t>
      </w:r>
      <w:r>
        <w:t xml:space="preserve"> </w:t>
      </w:r>
      <w:r>
        <w:t xml:space="preserve">for domestic-law purposes, so if they truly conflict and the treaty is self-executing, the later-in-time federal rule normally prevails domestically. Second,</w:t>
      </w:r>
      <w:r>
        <w:t xml:space="preserve"> </w:t>
      </w:r>
      <w:r>
        <w:rPr>
          <w:b/>
          <w:bCs/>
        </w:rPr>
        <w:t xml:space="preserve">treaties cannot supersede the Constitution</w:t>
      </w:r>
      <w:r>
        <w:t xml:space="preserve">, which is why</w:t>
      </w:r>
      <w:r>
        <w:t xml:space="preserve"> </w:t>
      </w:r>
      <w:r>
        <w:rPr>
          <w:i/>
          <w:iCs/>
        </w:rPr>
        <w:t xml:space="preserve">Reid v. Covert</w:t>
      </w:r>
      <w:r>
        <w:t xml:space="preserve">, 354 U.S. 1 (1957), remains foundational.</w:t>
      </w:r>
      <w:r>
        <w:t xml:space="preserve"> </w:t>
      </w:r>
      <w:hyperlink r:id="rId43">
        <w:r>
          <w:rPr>
            <w:rStyle w:val="Hyperlink"/>
          </w:rPr>
          <w:t xml:space="preserve">[29]</w:t>
        </w:r>
      </w:hyperlink>
    </w:p>
    <w:bookmarkEnd w:id="44"/>
    <w:bookmarkStart w:id="48" w:name="X82d062c0de5a16c42c53e1d9be43fe7ace92f19"/>
    <w:p>
      <w:pPr>
        <w:pStyle w:val="Heading2"/>
      </w:pPr>
      <w:r>
        <w:t xml:space="preserve">Branches, Agencies, and Lawmaking Functions</w:t>
      </w:r>
    </w:p>
    <w:p>
      <w:pPr>
        <w:pStyle w:val="FirstParagraph"/>
      </w:pPr>
      <w:r>
        <w:t xml:space="preserve">The constitutional branches matter because source hierarchy is also a hierarchy of</w:t>
      </w:r>
      <w:r>
        <w:t xml:space="preserve"> </w:t>
      </w:r>
      <w:r>
        <w:rPr>
          <w:b/>
          <w:bCs/>
        </w:rPr>
        <w:t xml:space="preserve">institutional functions</w:t>
      </w:r>
      <w:r>
        <w:t xml:space="preserve">. United States Congress</w:t>
      </w:r>
      <w:hyperlink r:id="rId45">
        <w:r>
          <w:rPr>
            <w:rStyle w:val="Hyperlink"/>
          </w:rPr>
          <w:t xml:space="preserve">[30]</w:t>
        </w:r>
      </w:hyperlink>
      <w:r>
        <w:t xml:space="preserve"> </w:t>
      </w:r>
      <w:r>
        <w:t xml:space="preserve">makes statutes under Article I, and Congress also creates agencies, defines their jurisdiction, controls appropriations, and may delegate policymaking discretion subject to constitutional limits. The modern nondelegation doctrine remains permissive, but it does not disappear: Congress must still supply an intelligible principle, and recent doctrine shows renewed sensitivity to broad delegations in major policy areas.</w:t>
      </w:r>
      <w:r>
        <w:t xml:space="preserve"> </w:t>
      </w:r>
      <w:hyperlink r:id="rId21">
        <w:r>
          <w:rPr>
            <w:rStyle w:val="Hyperlink"/>
          </w:rPr>
          <w:t xml:space="preserve">[31]</w:t>
        </w:r>
      </w:hyperlink>
    </w:p>
    <w:p>
      <w:pPr>
        <w:pStyle w:val="BodyText"/>
      </w:pPr>
      <w:r>
        <w:t xml:space="preserve">The President, under Article II, executes the laws, supervises the executive branch, appoints officers subject to the Appointments Clause, and issues executive orders and proclamations. But presidential instruments are not freestanding lawmaking in the legislative sense: they must rest on constitutional or statutory authority and fail if they contradict a statute or the Constitution, as</w:t>
      </w:r>
      <w:r>
        <w:t xml:space="preserve"> </w:t>
      </w:r>
      <w:r>
        <w:rPr>
          <w:i/>
          <w:iCs/>
        </w:rPr>
        <w:t xml:space="preserve">Youngstown</w:t>
      </w:r>
      <w:r>
        <w:t xml:space="preserve"> </w:t>
      </w:r>
      <w:r>
        <w:t xml:space="preserve">demonstrates. Agencies, in turn, are creatures of statute. Their binding outputs come in two principal forms:</w:t>
      </w:r>
      <w:r>
        <w:t xml:space="preserve"> </w:t>
      </w:r>
      <w:r>
        <w:rPr>
          <w:b/>
          <w:bCs/>
        </w:rPr>
        <w:t xml:space="preserve">regulations</w:t>
      </w:r>
      <w:r>
        <w:t xml:space="preserve"> </w:t>
      </w:r>
      <w:r>
        <w:t xml:space="preserve">under rulemaking authority and</w:t>
      </w:r>
      <w:r>
        <w:t xml:space="preserve"> </w:t>
      </w:r>
      <w:r>
        <w:rPr>
          <w:b/>
          <w:bCs/>
        </w:rPr>
        <w:t xml:space="preserve">orders</w:t>
      </w:r>
      <w:r>
        <w:t xml:space="preserve"> </w:t>
      </w:r>
      <w:r>
        <w:t xml:space="preserve">under adjudicatory authority.</w:t>
      </w:r>
      <w:r>
        <w:t xml:space="preserve"> </w:t>
      </w:r>
      <w:hyperlink r:id="rId46">
        <w:r>
          <w:rPr>
            <w:rStyle w:val="Hyperlink"/>
          </w:rPr>
          <w:t xml:space="preserve">[32]</w:t>
        </w:r>
      </w:hyperlink>
    </w:p>
    <w:p>
      <w:pPr>
        <w:pStyle w:val="BodyText"/>
      </w:pPr>
      <w:r>
        <w:t xml:space="preserve">The judiciary’s role is interpretive and remedial rather than legislative. Supreme Court of the United States</w:t>
      </w:r>
      <w:hyperlink r:id="rId47">
        <w:r>
          <w:rPr>
            <w:rStyle w:val="Hyperlink"/>
          </w:rPr>
          <w:t xml:space="preserve">[33]</w:t>
        </w:r>
      </w:hyperlink>
      <w:r>
        <w:t xml:space="preserve"> </w:t>
      </w:r>
      <w:r>
        <w:t xml:space="preserve">and the lower federal courts exercise the judicial power vested by Article III, decide cases and controversies, and through adjudication generate precedent that structures later disputes.</w:t>
      </w:r>
      <w:r>
        <w:t xml:space="preserve"> </w:t>
      </w:r>
      <w:r>
        <w:rPr>
          <w:i/>
          <w:iCs/>
        </w:rPr>
        <w:t xml:space="preserve">Marbury</w:t>
      </w:r>
      <w:r>
        <w:t xml:space="preserve"> </w:t>
      </w:r>
      <w:r>
        <w:t xml:space="preserve">anchors judicial review; the APA structures judicial review of agencies; and</w:t>
      </w:r>
      <w:r>
        <w:t xml:space="preserve"> </w:t>
      </w:r>
      <w:r>
        <w:rPr>
          <w:i/>
          <w:iCs/>
        </w:rPr>
        <w:t xml:space="preserve">stare decisis</w:t>
      </w:r>
      <w:r>
        <w:t xml:space="preserve"> </w:t>
      </w:r>
      <w:r>
        <w:t xml:space="preserve">determines how past judicial interpretations constrain future courts.</w:t>
      </w:r>
      <w:r>
        <w:t xml:space="preserve"> </w:t>
      </w:r>
      <w:hyperlink r:id="rId45">
        <w:r>
          <w:rPr>
            <w:rStyle w:val="Hyperlink"/>
          </w:rPr>
          <w:t xml:space="preserve">[34]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Institution</w:t>
            </w:r>
          </w:p>
        </w:tc>
        <w:tc>
          <w:tcPr/>
          <w:p>
            <w:pPr>
              <w:pStyle w:val="Compact"/>
            </w:pPr>
            <w:r>
              <w:t xml:space="preserve">Primary legal outputs</w:t>
            </w:r>
          </w:p>
        </w:tc>
        <w:tc>
          <w:tcPr/>
          <w:p>
            <w:pPr>
              <w:pStyle w:val="Compact"/>
            </w:pPr>
            <w:r>
              <w:t xml:space="preserve">Why those outputs matter in the hierarchy</w:t>
            </w:r>
          </w:p>
        </w:tc>
        <w:tc>
          <w:tcPr/>
          <w:p>
            <w:pPr>
              <w:pStyle w:val="Compact"/>
            </w:pPr>
            <w:r>
              <w:t xml:space="preserve">Main limits</w:t>
            </w:r>
          </w:p>
        </w:tc>
      </w:tr>
      <w:tr>
        <w:tc>
          <w:tcPr/>
          <w:p>
            <w:pPr>
              <w:pStyle w:val="Compact"/>
            </w:pPr>
            <w:r>
              <w:t xml:space="preserve">Congress</w:t>
            </w:r>
          </w:p>
        </w:tc>
        <w:tc>
          <w:tcPr/>
          <w:p>
            <w:pPr>
              <w:pStyle w:val="Compact"/>
            </w:pPr>
            <w:r>
              <w:t xml:space="preserve">Statutes, appropriations, organic acts, jurisdictional grants</w:t>
            </w:r>
          </w:p>
        </w:tc>
        <w:tc>
          <w:tcPr/>
          <w:p>
            <w:pPr>
              <w:pStyle w:val="Compact"/>
            </w:pPr>
            <w:r>
              <w:t xml:space="preserve">Statutes are the core positive-law source beneath the Constitution and the foundation for most agency power.</w:t>
            </w:r>
          </w:p>
        </w:tc>
        <w:tc>
          <w:tcPr/>
          <w:p>
            <w:pPr>
              <w:pStyle w:val="Compact"/>
            </w:pPr>
            <w:r>
              <w:t xml:space="preserve">Enumerated powers, bicameralism/presentment, constitutional rights, nondelegation outer bounds.</w:t>
            </w:r>
            <w:r>
              <w:t xml:space="preserve"> </w:t>
            </w:r>
            <w:hyperlink r:id="rId21">
              <w:r>
                <w:rPr>
                  <w:rStyle w:val="Hyperlink"/>
                </w:rPr>
                <w:t xml:space="preserve">[35]</w:t>
              </w:r>
            </w:hyperlink>
          </w:p>
        </w:tc>
      </w:tr>
      <w:tr>
        <w:tc>
          <w:tcPr/>
          <w:p>
            <w:pPr>
              <w:pStyle w:val="Compact"/>
            </w:pPr>
            <w:r>
              <w:t xml:space="preserve">President</w:t>
            </w:r>
          </w:p>
        </w:tc>
        <w:tc>
          <w:tcPr/>
          <w:p>
            <w:pPr>
              <w:pStyle w:val="Compact"/>
            </w:pPr>
            <w:r>
              <w:t xml:space="preserve">Executive orders, proclamations, appointments, enforcement directives</w:t>
            </w:r>
          </w:p>
        </w:tc>
        <w:tc>
          <w:tcPr/>
          <w:p>
            <w:pPr>
              <w:pStyle w:val="Compact"/>
            </w:pPr>
            <w:r>
              <w:t xml:space="preserve">Executive action can strongly affect implementation and internal executive ordering, but it is derivative rather than supreme.</w:t>
            </w:r>
          </w:p>
        </w:tc>
        <w:tc>
          <w:tcPr/>
          <w:p>
            <w:pPr>
              <w:pStyle w:val="Compact"/>
            </w:pPr>
            <w:r>
              <w:t xml:space="preserve">Statutes, Constitution, Article II limits,</w:t>
            </w:r>
            <w:r>
              <w:t xml:space="preserve"> </w:t>
            </w:r>
            <w:r>
              <w:rPr>
                <w:i/>
                <w:iCs/>
              </w:rPr>
              <w:t xml:space="preserve">Youngstown</w:t>
            </w:r>
            <w:r>
              <w:t xml:space="preserve">.</w:t>
            </w:r>
            <w:r>
              <w:t xml:space="preserve"> </w:t>
            </w:r>
            <w:hyperlink r:id="rId46">
              <w:r>
                <w:rPr>
                  <w:rStyle w:val="Hyperlink"/>
                </w:rPr>
                <w:t xml:space="preserve">[36]</w:t>
              </w:r>
            </w:hyperlink>
          </w:p>
        </w:tc>
      </w:tr>
      <w:tr>
        <w:tc>
          <w:tcPr/>
          <w:p>
            <w:pPr>
              <w:pStyle w:val="Compact"/>
            </w:pPr>
            <w:r>
              <w:t xml:space="preserve">Agencies</w:t>
            </w:r>
          </w:p>
        </w:tc>
        <w:tc>
          <w:tcPr/>
          <w:p>
            <w:pPr>
              <w:pStyle w:val="Compact"/>
            </w:pPr>
            <w:r>
              <w:t xml:space="preserve">Regulations, formal orders, guidance, interpretations</w:t>
            </w:r>
          </w:p>
        </w:tc>
        <w:tc>
          <w:tcPr/>
          <w:p>
            <w:pPr>
              <w:pStyle w:val="Compact"/>
            </w:pPr>
            <w:r>
              <w:t xml:space="preserve">Agencies operationalize statutes and often create the rules that directly govern daily conduct.</w:t>
            </w:r>
          </w:p>
        </w:tc>
        <w:tc>
          <w:tcPr/>
          <w:p>
            <w:pPr>
              <w:pStyle w:val="Compact"/>
            </w:pPr>
            <w:r>
              <w:t xml:space="preserve">Organic statute, APA procedure, judicial review, presidential supervision.</w:t>
            </w:r>
            <w:r>
              <w:t xml:space="preserve"> </w:t>
            </w:r>
            <w:hyperlink r:id="rId26">
              <w:r>
                <w:rPr>
                  <w:rStyle w:val="Hyperlink"/>
                </w:rPr>
                <w:t xml:space="preserve">[37]</w:t>
              </w:r>
            </w:hyperlink>
          </w:p>
        </w:tc>
      </w:tr>
      <w:tr>
        <w:tc>
          <w:tcPr/>
          <w:p>
            <w:pPr>
              <w:pStyle w:val="Compact"/>
            </w:pPr>
            <w:r>
              <w:t xml:space="preserve">Courts</w:t>
            </w:r>
          </w:p>
        </w:tc>
        <w:tc>
          <w:tcPr/>
          <w:p>
            <w:pPr>
              <w:pStyle w:val="Compact"/>
            </w:pPr>
            <w:r>
              <w:t xml:space="preserve">Judgments, precedents, constitutional and statutory interpretations</w:t>
            </w:r>
          </w:p>
        </w:tc>
        <w:tc>
          <w:tcPr/>
          <w:p>
            <w:pPr>
              <w:pStyle w:val="Compact"/>
            </w:pPr>
            <w:r>
              <w:t xml:space="preserve">Courts determine validity, displacement, preemption, deference, and precedent.</w:t>
            </w:r>
          </w:p>
        </w:tc>
        <w:tc>
          <w:tcPr/>
          <w:p>
            <w:pPr>
              <w:pStyle w:val="Compact"/>
            </w:pPr>
            <w:r>
              <w:t xml:space="preserve">Jurisdiction, justiciability, precedent rules, textually assigned powers.</w:t>
            </w:r>
            <w:r>
              <w:t xml:space="preserve"> </w:t>
            </w:r>
            <w:hyperlink r:id="rId45">
              <w:r>
                <w:rPr>
                  <w:rStyle w:val="Hyperlink"/>
                </w:rPr>
                <w:t xml:space="preserve">[38]</w:t>
              </w:r>
            </w:hyperlink>
          </w:p>
        </w:tc>
      </w:tr>
    </w:tbl>
    <w:bookmarkEnd w:id="48"/>
    <w:bookmarkStart w:id="51" w:name="procedure-evidence-and-judicial-review"/>
    <w:p>
      <w:pPr>
        <w:pStyle w:val="Heading2"/>
      </w:pPr>
      <w:r>
        <w:t xml:space="preserve">Procedure, Evidence, and Judicial Review</w:t>
      </w:r>
    </w:p>
    <w:p>
      <w:pPr>
        <w:pStyle w:val="FirstParagraph"/>
      </w:pPr>
      <w:r>
        <w:t xml:space="preserve">Procedure is not merely “secondary” law. In federal court, it is its own body of enacted law, authorized primarily by the</w:t>
      </w:r>
      <w:r>
        <w:t xml:space="preserve"> </w:t>
      </w:r>
      <w:r>
        <w:rPr>
          <w:b/>
          <w:bCs/>
        </w:rPr>
        <w:t xml:space="preserve">Rules Enabling Act</w:t>
      </w:r>
      <w:r>
        <w:t xml:space="preserve">, 28 U.S.C. § 2072, under which the Supreme Court prescribes general rules of practice, procedure, and evidence for the federal courts. The Federal Rules of Civil Procedure, Appellate Procedure, Criminal Procedure, and Evidence therefore have binding legal force, though they may not abridge, enlarge, or modify substantive rights and must yield to contrary constitutional or statutory commands.</w:t>
      </w:r>
      <w:r>
        <w:t xml:space="preserve"> </w:t>
      </w:r>
      <w:hyperlink r:id="rId49">
        <w:r>
          <w:rPr>
            <w:rStyle w:val="Hyperlink"/>
          </w:rPr>
          <w:t xml:space="preserve">[39]</w:t>
        </w:r>
      </w:hyperlink>
    </w:p>
    <w:p>
      <w:pPr>
        <w:pStyle w:val="BodyText"/>
      </w:pPr>
      <w:r>
        <w:t xml:space="preserve">That is why procedural hierarchy often looks different from substantive hierarchy. Under</w:t>
      </w:r>
      <w:r>
        <w:t xml:space="preserve"> </w:t>
      </w:r>
      <w:r>
        <w:rPr>
          <w:i/>
          <w:iCs/>
        </w:rPr>
        <w:t xml:space="preserve">Erie</w:t>
      </w:r>
      <w:r>
        <w:t xml:space="preserve">, federal courts hearing state-law claims do not apply a free-floating federal general common law; they apply state substantive law and federal procedure. As a result, many litigation fights are not about whether state or federal law is “higher” in the abstract, but whether a disputed rule is properly characterized as substantive or procedural. The Federal Judicial Center’s treatment of both</w:t>
      </w:r>
      <w:r>
        <w:t xml:space="preserve"> </w:t>
      </w:r>
      <w:r>
        <w:rPr>
          <w:i/>
          <w:iCs/>
        </w:rPr>
        <w:t xml:space="preserve">Erie</w:t>
      </w:r>
      <w:r>
        <w:t xml:space="preserve"> </w:t>
      </w:r>
      <w:r>
        <w:t xml:space="preserve">and the Federal Rules of Evidence reflects exactly this divide.</w:t>
      </w:r>
      <w:r>
        <w:t xml:space="preserve"> </w:t>
      </w:r>
      <w:hyperlink r:id="rId27">
        <w:r>
          <w:rPr>
            <w:rStyle w:val="Hyperlink"/>
          </w:rPr>
          <w:t xml:space="preserve">[40]</w:t>
        </w:r>
      </w:hyperlink>
    </w:p>
    <w:p>
      <w:pPr>
        <w:pStyle w:val="BodyText"/>
      </w:pPr>
      <w:r>
        <w:t xml:space="preserve">Judicial review of administrative action is primarily governed by</w:t>
      </w:r>
      <w:r>
        <w:t xml:space="preserve"> </w:t>
      </w:r>
      <w:r>
        <w:rPr>
          <w:b/>
          <w:bCs/>
        </w:rPr>
        <w:t xml:space="preserve">APA chapter 7</w:t>
      </w:r>
      <w:r>
        <w:t xml:space="preserve">. Sections 701–706 identify when review is available and what courts do with final agency action. Under 5 U.S.C. § 706, courts must compel unlawfully withheld action and set aside agency action that is unconstitutional, beyond statutory authority, procedurally defective, arbitrary and capricious, unsupported by substantial evidence where required, or unwarranted by the facts in formal adjudication.</w:t>
      </w:r>
      <w:r>
        <w:t xml:space="preserve"> </w:t>
      </w:r>
      <w:r>
        <w:rPr>
          <w:i/>
          <w:iCs/>
        </w:rPr>
        <w:t xml:space="preserve">Motor Vehicle Manufacturers Association v. State Farm Mutual Automobile Insurance Co.</w:t>
      </w:r>
      <w:r>
        <w:t xml:space="preserve">, 463 U.S. 29 (1983), remains the leading federal articulation of arbitrary-and-capricious review.</w:t>
      </w:r>
      <w:r>
        <w:t xml:space="preserve"> </w:t>
      </w:r>
      <w:hyperlink r:id="rId50">
        <w:r>
          <w:rPr>
            <w:rStyle w:val="Hyperlink"/>
          </w:rPr>
          <w:t xml:space="preserve">[41]</w:t>
        </w:r>
      </w:hyperlink>
    </w:p>
    <w:p>
      <w:pPr>
        <w:pStyle w:val="BodyText"/>
      </w:pPr>
      <w:r>
        <w:t xml:space="preserve">Administrative adjudication itself is procedural law with substantive consequences. APA § 554 governs formal adjudications, § 556 governs hearing powers and evidence, and § 557 governs initial decisions and agency review. This means that many “agency law” disputes involve several stacked sources at once: the Constitution, the organic statute, the APA, the agency’s own regulations, and the final order under review.</w:t>
      </w:r>
      <w:r>
        <w:t xml:space="preserve"> </w:t>
      </w:r>
      <w:hyperlink r:id="rId29">
        <w:r>
          <w:rPr>
            <w:rStyle w:val="Hyperlink"/>
          </w:rPr>
          <w:t xml:space="preserve">[42]</w:t>
        </w:r>
      </w:hyperlink>
    </w:p>
    <w:bookmarkEnd w:id="51"/>
    <w:bookmarkStart w:id="55" w:name="representative-state-comparisons"/>
    <w:p>
      <w:pPr>
        <w:pStyle w:val="Heading2"/>
      </w:pPr>
      <w:r>
        <w:t xml:space="preserve">Representative State Comparisons</w:t>
      </w:r>
    </w:p>
    <w:p>
      <w:pPr>
        <w:pStyle w:val="FirstParagraph"/>
      </w:pPr>
      <w:r>
        <w:t xml:space="preserve">State law is not monolithic. The common pattern is familiar—state constitution above statute above regulation—but the</w:t>
      </w:r>
      <w:r>
        <w:t xml:space="preserve"> </w:t>
      </w:r>
      <w:r>
        <w:rPr>
          <w:b/>
          <w:bCs/>
        </w:rPr>
        <w:t xml:space="preserve">texture</w:t>
      </w:r>
      <w:r>
        <w:t xml:space="preserve"> </w:t>
      </w:r>
      <w:r>
        <w:t xml:space="preserve">of legal authority differs substantially from state to state. The four representative states below illustrate how constitutions, codification systems, administrative structures, and distinctive doctrines alter the practical operation of hierarchy. This comparison is representative rather than exhaustive.</w:t>
      </w:r>
      <w:r>
        <w:t xml:space="preserve"> </w:t>
      </w:r>
      <w:hyperlink r:id="rId47">
        <w:r>
          <w:rPr>
            <w:rStyle w:val="Hyperlink"/>
          </w:rPr>
          <w:t xml:space="preserve">[43]</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Constitutional profile</w:t>
            </w:r>
          </w:p>
        </w:tc>
        <w:tc>
          <w:tcPr/>
          <w:p>
            <w:pPr>
              <w:pStyle w:val="Compact"/>
            </w:pPr>
            <w:r>
              <w:t xml:space="preserve">Codification and publication</w:t>
            </w:r>
          </w:p>
        </w:tc>
        <w:tc>
          <w:tcPr/>
          <w:p>
            <w:pPr>
              <w:pStyle w:val="Compact"/>
            </w:pPr>
            <w:r>
              <w:t xml:space="preserve">Administrative structure</w:t>
            </w:r>
          </w:p>
        </w:tc>
        <w:tc>
          <w:tcPr/>
          <w:p>
            <w:pPr>
              <w:pStyle w:val="Compact"/>
            </w:pPr>
            <w:r>
              <w:t xml:space="preserve">Distinctive doctrines affecting hierarchy</w:t>
            </w:r>
          </w:p>
        </w:tc>
        <w:tc>
          <w:tcPr/>
          <w:p>
            <w:pPr>
              <w:pStyle w:val="Compact"/>
            </w:pPr>
            <w:r>
              <w:t xml:space="preserve">Support</w:t>
            </w:r>
          </w:p>
        </w:tc>
      </w:tr>
      <w:tr>
        <w:tc>
          <w:tcPr/>
          <w:p>
            <w:pPr>
              <w:pStyle w:val="Compact"/>
            </w:pPr>
            <w:r>
              <w:t xml:space="preserve">California</w:t>
            </w:r>
            <w:hyperlink r:id="rId43">
              <w:r>
                <w:rPr>
                  <w:rStyle w:val="Hyperlink"/>
                </w:rPr>
                <w:t xml:space="preserve">[44]</w:t>
              </w:r>
            </w:hyperlink>
          </w:p>
        </w:tc>
        <w:tc>
          <w:tcPr/>
          <w:p>
            <w:pPr>
              <w:pStyle w:val="Compact"/>
            </w:pPr>
            <w:r>
              <w:t xml:space="preserve">Current constitution revised in 1879; explicit privacy clause; initiative, referendum, and recall are constitutional powers of the electorate.</w:t>
            </w:r>
          </w:p>
        </w:tc>
        <w:tc>
          <w:tcPr/>
          <w:p>
            <w:pPr>
              <w:pStyle w:val="Compact"/>
            </w:pPr>
            <w:r>
              <w:t xml:space="preserve">Legislative Information organizes law into multiple subject-matter codes; the constitution and statutes are highly exposed to direct-democracy amendment and revision.</w:t>
            </w:r>
          </w:p>
        </w:tc>
        <w:tc>
          <w:tcPr/>
          <w:p>
            <w:pPr>
              <w:pStyle w:val="Compact"/>
            </w:pPr>
            <w:r>
              <w:t xml:space="preserve">California’s administrative system is APA-centered, with rulemaking under Gov. Code ch. 3.5 (§ 11340 et seq.) and hearing procedures under Gov. Code ch. 5 (§ 11500 et seq.).</w:t>
            </w:r>
          </w:p>
        </w:tc>
        <w:tc>
          <w:tcPr/>
          <w:p>
            <w:pPr>
              <w:pStyle w:val="Compact"/>
            </w:pPr>
            <w:r>
              <w:t xml:space="preserve">The “municipal affair” versus “statewide concern” distinction under Article XI, section 5 is central to state-local conflicts; direct democracy also means constitutional and statutory change can come from voters, not only the legislature.</w:t>
            </w:r>
          </w:p>
        </w:tc>
        <w:tc>
          <w:tcPr/>
          <w:p>
            <w:pPr>
              <w:pStyle w:val="Compact"/>
            </w:pPr>
            <w:hyperlink r:id="rId47">
              <w:r>
                <w:rPr>
                  <w:rStyle w:val="Hyperlink"/>
                </w:rPr>
                <w:t xml:space="preserve">[45]</w:t>
              </w:r>
            </w:hyperlink>
          </w:p>
        </w:tc>
      </w:tr>
      <w:tr>
        <w:tc>
          <w:tcPr/>
          <w:p>
            <w:pPr>
              <w:pStyle w:val="Compact"/>
            </w:pPr>
            <w:r>
              <w:t xml:space="preserve">New York</w:t>
            </w:r>
            <w:hyperlink r:id="rId23">
              <w:r>
                <w:rPr>
                  <w:rStyle w:val="Hyperlink"/>
                </w:rPr>
                <w:t xml:space="preserve">[46]</w:t>
              </w:r>
            </w:hyperlink>
          </w:p>
        </w:tc>
        <w:tc>
          <w:tcPr/>
          <w:p>
            <w:pPr>
              <w:pStyle w:val="Compact"/>
            </w:pPr>
            <w:r>
              <w:t xml:space="preserve">Constitution of 1894, revised in 1938 and amended many times; official archives note over 200 amendments and a mandatory constitutional-convention question every 20 years.</w:t>
            </w:r>
          </w:p>
        </w:tc>
        <w:tc>
          <w:tcPr/>
          <w:p>
            <w:pPr>
              <w:pStyle w:val="Compact"/>
            </w:pPr>
            <w:r>
              <w:t xml:space="preserve">Statutes are organized chiefly as the Consolidated Laws; the State Administrative Procedure Act is one of those chapters. The Department of State warns that online NYCRR text is not the official evidentiary version.</w:t>
            </w:r>
          </w:p>
        </w:tc>
        <w:tc>
          <w:tcPr/>
          <w:p>
            <w:pPr>
              <w:pStyle w:val="Compact"/>
            </w:pPr>
            <w:r>
              <w:t xml:space="preserve">SAPA governs statewide rulemaking and adjudication; New York often relies on agency-specific hearing officers, though bodies such as the New York State Department of State</w:t>
            </w:r>
            <w:hyperlink r:id="rId21">
              <w:r>
                <w:rPr>
                  <w:rStyle w:val="Hyperlink"/>
                </w:rPr>
                <w:t xml:space="preserve">[47]</w:t>
              </w:r>
            </w:hyperlink>
            <w:r>
              <w:t xml:space="preserve"> </w:t>
            </w:r>
            <w:r>
              <w:t xml:space="preserve">maintain their own offices of administrative hearings.</w:t>
            </w:r>
          </w:p>
        </w:tc>
        <w:tc>
          <w:tcPr/>
          <w:p>
            <w:pPr>
              <w:pStyle w:val="Compact"/>
            </w:pPr>
            <w:r>
              <w:t xml:space="preserve">Article IX and the Municipal Home Rule Law give New York a strong home-rule framework, making state-local priority questions unusually dependent on state constitutional text and home-rule statutes.</w:t>
            </w:r>
          </w:p>
        </w:tc>
        <w:tc>
          <w:tcPr/>
          <w:p>
            <w:pPr>
              <w:pStyle w:val="Compact"/>
            </w:pPr>
            <w:hyperlink r:id="rId52">
              <w:r>
                <w:rPr>
                  <w:rStyle w:val="Hyperlink"/>
                </w:rPr>
                <w:t xml:space="preserve">[48]</w:t>
              </w:r>
            </w:hyperlink>
          </w:p>
        </w:tc>
      </w:tr>
      <w:tr>
        <w:tc>
          <w:tcPr/>
          <w:p>
            <w:pPr>
              <w:pStyle w:val="Compact"/>
            </w:pPr>
            <w:r>
              <w:t xml:space="preserve">Texas</w:t>
            </w:r>
            <w:hyperlink r:id="rId21">
              <w:r>
                <w:rPr>
                  <w:rStyle w:val="Hyperlink"/>
                </w:rPr>
                <w:t xml:space="preserve">[49]</w:t>
              </w:r>
            </w:hyperlink>
          </w:p>
        </w:tc>
        <w:tc>
          <w:tcPr/>
          <w:p>
            <w:pPr>
              <w:pStyle w:val="Compact"/>
            </w:pPr>
            <w:r>
              <w:t xml:space="preserve">The current constitution dates from 1876; an official House Research Organization report noted that voters had approved 517 amendments by 2023, underscoring its detail and amendability.</w:t>
            </w:r>
          </w:p>
        </w:tc>
        <w:tc>
          <w:tcPr/>
          <w:p>
            <w:pPr>
              <w:pStyle w:val="Compact"/>
            </w:pPr>
            <w:r>
              <w:t xml:space="preserve">Texas uses a subject-matter code system on its Constitution and Statutes site; agency rules are compiled in the TAC, which is organized into 17 titles.</w:t>
            </w:r>
          </w:p>
        </w:tc>
        <w:tc>
          <w:tcPr/>
          <w:p>
            <w:pPr>
              <w:pStyle w:val="Compact"/>
            </w:pPr>
            <w:r>
              <w:t xml:space="preserve">Texas has a strong central-panel model through the State Office of Administrative Hearings</w:t>
            </w:r>
            <w:hyperlink r:id="rId28">
              <w:r>
                <w:rPr>
                  <w:rStyle w:val="Hyperlink"/>
                </w:rPr>
                <w:t xml:space="preserve">[50]</w:t>
              </w:r>
            </w:hyperlink>
            <w:r>
              <w:t xml:space="preserve">, an independent executive-branch tribunal for many contested cases.</w:t>
            </w:r>
          </w:p>
        </w:tc>
        <w:tc>
          <w:tcPr/>
          <w:p>
            <w:pPr>
              <w:pStyle w:val="Compact"/>
            </w:pPr>
            <w:r>
              <w:t xml:space="preserve">Article XI, section 5 constitutionalizes home-rule cities; constitutional homestead protections also remain structurally salient in private and public property law.</w:t>
            </w:r>
          </w:p>
        </w:tc>
        <w:tc>
          <w:tcPr/>
          <w:p>
            <w:pPr>
              <w:pStyle w:val="Compact"/>
            </w:pPr>
            <w:hyperlink r:id="rId53">
              <w:r>
                <w:rPr>
                  <w:rStyle w:val="Hyperlink"/>
                </w:rPr>
                <w:t xml:space="preserve">[51]</w:t>
              </w:r>
            </w:hyperlink>
          </w:p>
        </w:tc>
      </w:tr>
      <w:tr>
        <w:tc>
          <w:tcPr/>
          <w:p>
            <w:pPr>
              <w:pStyle w:val="Compact"/>
            </w:pPr>
            <w:r>
              <w:t xml:space="preserve">Florida</w:t>
            </w:r>
            <w:hyperlink r:id="rId29">
              <w:r>
                <w:rPr>
                  <w:rStyle w:val="Hyperlink"/>
                </w:rPr>
                <w:t xml:space="preserve">[52]</w:t>
              </w:r>
            </w:hyperlink>
          </w:p>
        </w:tc>
        <w:tc>
          <w:tcPr/>
          <w:p>
            <w:pPr>
              <w:pStyle w:val="Compact"/>
            </w:pPr>
            <w:r>
              <w:t xml:space="preserve">Florida’s modern constitution was revised in 1968; Article I, section 23 expressly protects privacy.</w:t>
            </w:r>
          </w:p>
        </w:tc>
        <w:tc>
          <w:tcPr/>
          <w:p>
            <w:pPr>
              <w:pStyle w:val="Compact"/>
            </w:pPr>
            <w:r>
              <w:t xml:space="preserve">The Florida Statutes are organized by title and chapter; Chapter 120 is the APA. Rules are published through the Florida Administrative Code and Florida Administrative Register.</w:t>
            </w:r>
          </w:p>
        </w:tc>
        <w:tc>
          <w:tcPr/>
          <w:p>
            <w:pPr>
              <w:pStyle w:val="Compact"/>
            </w:pPr>
            <w:r>
              <w:t xml:space="preserve">Florida has a visible central adjudicative structure through the Division of Administrative Hearings</w:t>
            </w:r>
            <w:hyperlink r:id="rId23">
              <w:r>
                <w:rPr>
                  <w:rStyle w:val="Hyperlink"/>
                </w:rPr>
                <w:t xml:space="preserve">[53]</w:t>
              </w:r>
            </w:hyperlink>
            <w:r>
              <w:t xml:space="preserve">, while the Department of State serves as the filing point for rules.</w:t>
            </w:r>
          </w:p>
        </w:tc>
        <w:tc>
          <w:tcPr/>
          <w:p>
            <w:pPr>
              <w:pStyle w:val="Compact"/>
            </w:pPr>
            <w:r>
              <w:t xml:space="preserve">Florida combines strong constitutional privacy with broad local home rule, so state-local conflicts often require close reading of both Article VIII and specific preemption statutes.</w:t>
            </w:r>
          </w:p>
        </w:tc>
        <w:tc>
          <w:tcPr/>
          <w:p>
            <w:pPr>
              <w:pStyle w:val="Compact"/>
            </w:pPr>
            <w:hyperlink r:id="rId54">
              <w:r>
                <w:rPr>
                  <w:rStyle w:val="Hyperlink"/>
                </w:rPr>
                <w:t xml:space="preserve">[54]</w:t>
              </w:r>
            </w:hyperlink>
          </w:p>
        </w:tc>
      </w:tr>
    </w:tbl>
    <w:bookmarkEnd w:id="55"/>
    <w:bookmarkStart w:id="60" w:name="primary-source-gateways"/>
    <w:p>
      <w:pPr>
        <w:pStyle w:val="Heading2"/>
      </w:pPr>
      <w:r>
        <w:t xml:space="preserve">Primary Source Gateways</w:t>
      </w:r>
    </w:p>
    <w:p>
      <w:pPr>
        <w:pStyle w:val="FirstParagraph"/>
      </w:pPr>
      <w:r>
        <w:t xml:space="preserve">The most reliable starting points are official or near-official repositories containing the text of the Constitution, statutes, regulations, and opinions. For federal work, the most useful division is:</w:t>
      </w:r>
      <w:r>
        <w:t xml:space="preserve"> </w:t>
      </w:r>
      <w:r>
        <w:rPr>
          <w:b/>
          <w:bCs/>
        </w:rPr>
        <w:t xml:space="preserve">Constitution and constitutional explanation at Congress</w:t>
      </w:r>
      <w:r>
        <w:t xml:space="preserve">,</w:t>
      </w:r>
      <w:r>
        <w:t xml:space="preserve"> </w:t>
      </w:r>
      <w:r>
        <w:rPr>
          <w:b/>
          <w:bCs/>
        </w:rPr>
        <w:t xml:space="preserve">statutes at the U.S. Code</w:t>
      </w:r>
      <w:r>
        <w:t xml:space="preserve">,</w:t>
      </w:r>
      <w:r>
        <w:t xml:space="preserve"> </w:t>
      </w:r>
      <w:r>
        <w:rPr>
          <w:b/>
          <w:bCs/>
        </w:rPr>
        <w:t xml:space="preserve">regulations in the Federal Register/CFR ecosystem</w:t>
      </w:r>
      <w:r>
        <w:t xml:space="preserve">, and</w:t>
      </w:r>
      <w:r>
        <w:t xml:space="preserve"> </w:t>
      </w:r>
      <w:r>
        <w:rPr>
          <w:b/>
          <w:bCs/>
        </w:rPr>
        <w:t xml:space="preserve">opinions in authenticated U.S. Reports or official Supreme Court PDFs</w:t>
      </w:r>
      <w:r>
        <w:t xml:space="preserve">. For state work, the best starting place is usually each state’s own legislative or administrative portal.</w:t>
      </w:r>
      <w:r>
        <w:t xml:space="preserve"> </w:t>
      </w:r>
      <w:hyperlink r:id="rId21">
        <w:r>
          <w:rPr>
            <w:rStyle w:val="Hyperlink"/>
          </w:rPr>
          <w:t xml:space="preserve">[55]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Best use</w:t>
            </w:r>
          </w:p>
        </w:tc>
        <w:tc>
          <w:tcPr/>
          <w:p>
            <w:pPr>
              <w:pStyle w:val="Compact"/>
            </w:pPr>
            <w:r>
              <w:t xml:space="preserve">Notes</w:t>
            </w:r>
          </w:p>
        </w:tc>
      </w:tr>
      <w:tr>
        <w:tc>
          <w:tcPr/>
          <w:p>
            <w:pPr>
              <w:pStyle w:val="Compact"/>
            </w:pPr>
            <w:r>
              <w:t xml:space="preserve">Constitution of the United States and Constitution Annotated</w:t>
            </w:r>
          </w:p>
        </w:tc>
        <w:tc>
          <w:tcPr/>
          <w:p>
            <w:pPr>
              <w:pStyle w:val="Compact"/>
            </w:pPr>
            <w:r>
              <w:t xml:space="preserve">Federal constitutional text and official congressional explanation.</w:t>
            </w:r>
          </w:p>
        </w:tc>
        <w:tc>
          <w:tcPr/>
          <w:p>
            <w:pPr>
              <w:pStyle w:val="Compact"/>
            </w:pPr>
            <w:r>
              <w:t xml:space="preserve">Use the Constitution text for black-letter authority and Constitution Annotated for official doctrinal synthesis.</w:t>
            </w:r>
            <w:r>
              <w:t xml:space="preserve"> </w:t>
            </w:r>
            <w:hyperlink r:id="rId21">
              <w:r>
                <w:rPr>
                  <w:rStyle w:val="Hyperlink"/>
                </w:rPr>
                <w:t xml:space="preserve">[56]</w:t>
              </w:r>
            </w:hyperlink>
          </w:p>
        </w:tc>
      </w:tr>
      <w:tr>
        <w:tc>
          <w:tcPr/>
          <w:p>
            <w:pPr>
              <w:pStyle w:val="Compact"/>
            </w:pPr>
            <w:r>
              <w:t xml:space="preserve">U.S. Code</w:t>
            </w:r>
          </w:p>
        </w:tc>
        <w:tc>
          <w:tcPr/>
          <w:p>
            <w:pPr>
              <w:pStyle w:val="Compact"/>
            </w:pPr>
            <w:r>
              <w:t xml:space="preserve">Current federal statutory text.</w:t>
            </w:r>
          </w:p>
        </w:tc>
        <w:tc>
          <w:tcPr/>
          <w:p>
            <w:pPr>
              <w:pStyle w:val="Compact"/>
            </w:pPr>
            <w:r>
              <w:t xml:space="preserve">Best starting point for statutory citations such as 5 U.S.C. §§ 553–557, 701–706, 28 U.S.C. § 2072, and 9 U.S.C. § 2.</w:t>
            </w:r>
            <w:r>
              <w:t xml:space="preserve"> </w:t>
            </w:r>
            <w:hyperlink r:id="rId49">
              <w:r>
                <w:rPr>
                  <w:rStyle w:val="Hyperlink"/>
                </w:rPr>
                <w:t xml:space="preserve">[57]</w:t>
              </w:r>
            </w:hyperlink>
          </w:p>
        </w:tc>
      </w:tr>
      <w:tr>
        <w:tc>
          <w:tcPr/>
          <w:p>
            <w:pPr>
              <w:pStyle w:val="Compact"/>
            </w:pPr>
            <w:r>
              <w:t xml:space="preserve">GovInfo and authenticated U.S. Reports</w:t>
            </w:r>
          </w:p>
        </w:tc>
        <w:tc>
          <w:tcPr/>
          <w:p>
            <w:pPr>
              <w:pStyle w:val="Compact"/>
            </w:pPr>
            <w:r>
              <w:t xml:space="preserve">Official federal opinions and Federal Register materials.</w:t>
            </w:r>
          </w:p>
        </w:tc>
        <w:tc>
          <w:tcPr/>
          <w:p>
            <w:pPr>
              <w:pStyle w:val="Compact"/>
            </w:pPr>
            <w:r>
              <w:t xml:space="preserve">Particularly useful for older Supreme Court cases and the Federal Register.</w:t>
            </w:r>
            <w:r>
              <w:t xml:space="preserve"> </w:t>
            </w:r>
            <w:hyperlink r:id="rId56">
              <w:r>
                <w:rPr>
                  <w:rStyle w:val="Hyperlink"/>
                </w:rPr>
                <w:t xml:space="preserve">[58]</w:t>
              </w:r>
            </w:hyperlink>
          </w:p>
        </w:tc>
      </w:tr>
      <w:tr>
        <w:tc>
          <w:tcPr/>
          <w:p>
            <w:pPr>
              <w:pStyle w:val="Compact"/>
            </w:pPr>
            <w:r>
              <w:t xml:space="preserve">CFR and eCFR</w:t>
            </w:r>
          </w:p>
        </w:tc>
        <w:tc>
          <w:tcPr/>
          <w:p>
            <w:pPr>
              <w:pStyle w:val="Compact"/>
            </w:pPr>
            <w:r>
              <w:t xml:space="preserve">Current federal regulatory text.</w:t>
            </w:r>
          </w:p>
        </w:tc>
        <w:tc>
          <w:tcPr/>
          <w:p>
            <w:pPr>
              <w:pStyle w:val="Compact"/>
            </w:pPr>
            <w:r>
              <w:t xml:space="preserve">The CFR is the official legal print codification; the eCFR is an up-to-date editorial version and is extremely useful for current research, but it is not the official legal edition.</w:t>
            </w:r>
            <w:r>
              <w:t xml:space="preserve"> </w:t>
            </w:r>
            <w:hyperlink r:id="rId57">
              <w:r>
                <w:rPr>
                  <w:rStyle w:val="Hyperlink"/>
                </w:rPr>
                <w:t xml:space="preserve">[59]</w:t>
              </w:r>
            </w:hyperlink>
          </w:p>
        </w:tc>
      </w:tr>
      <w:tr>
        <w:tc>
          <w:tcPr/>
          <w:p>
            <w:pPr>
              <w:pStyle w:val="Compact"/>
            </w:pPr>
            <w:r>
              <w:t xml:space="preserve">California official portals</w:t>
            </w:r>
          </w:p>
        </w:tc>
        <w:tc>
          <w:tcPr/>
          <w:p>
            <w:pPr>
              <w:pStyle w:val="Compact"/>
            </w:pPr>
            <w:r>
              <w:t xml:space="preserve">California constitutional history, code text, and ballot-initiative structure.</w:t>
            </w:r>
          </w:p>
        </w:tc>
        <w:tc>
          <w:tcPr/>
          <w:p>
            <w:pPr>
              <w:pStyle w:val="Compact"/>
            </w:pPr>
            <w:r>
              <w:t xml:space="preserve">Secretary of State archives and Legislative Information are the key entry points.</w:t>
            </w:r>
            <w:r>
              <w:t xml:space="preserve"> </w:t>
            </w:r>
            <w:hyperlink r:id="rId47">
              <w:r>
                <w:rPr>
                  <w:rStyle w:val="Hyperlink"/>
                </w:rPr>
                <w:t xml:space="preserve">[60]</w:t>
              </w:r>
            </w:hyperlink>
          </w:p>
        </w:tc>
      </w:tr>
      <w:tr>
        <w:tc>
          <w:tcPr/>
          <w:p>
            <w:pPr>
              <w:pStyle w:val="Compact"/>
            </w:pPr>
            <w:r>
              <w:t xml:space="preserve">New York official portals</w:t>
            </w:r>
          </w:p>
        </w:tc>
        <w:tc>
          <w:tcPr/>
          <w:p>
            <w:pPr>
              <w:pStyle w:val="Compact"/>
            </w:pPr>
            <w:r>
              <w:t xml:space="preserve">State constitution, Consolidated Laws, NYCRR information, and hearing offices.</w:t>
            </w:r>
          </w:p>
        </w:tc>
        <w:tc>
          <w:tcPr/>
          <w:p>
            <w:pPr>
              <w:pStyle w:val="Compact"/>
            </w:pPr>
            <w:r>
              <w:t xml:space="preserve">The Department of State’s NYCRR page is important because it flags evidentiary-status issues.</w:t>
            </w:r>
            <w:r>
              <w:t xml:space="preserve"> </w:t>
            </w:r>
            <w:hyperlink r:id="rId58">
              <w:r>
                <w:rPr>
                  <w:rStyle w:val="Hyperlink"/>
                </w:rPr>
                <w:t xml:space="preserve">[61]</w:t>
              </w:r>
            </w:hyperlink>
          </w:p>
        </w:tc>
      </w:tr>
      <w:tr>
        <w:tc>
          <w:tcPr/>
          <w:p>
            <w:pPr>
              <w:pStyle w:val="Compact"/>
            </w:pPr>
            <w:r>
              <w:t xml:space="preserve">Texas official portals</w:t>
            </w:r>
          </w:p>
        </w:tc>
        <w:tc>
          <w:tcPr/>
          <w:p>
            <w:pPr>
              <w:pStyle w:val="Compact"/>
            </w:pPr>
            <w:r>
              <w:t xml:space="preserve">Texas constitution, codes, TAC, and contested-case hearing system.</w:t>
            </w:r>
          </w:p>
        </w:tc>
        <w:tc>
          <w:tcPr/>
          <w:p>
            <w:pPr>
              <w:pStyle w:val="Compact"/>
            </w:pPr>
            <w:r>
              <w:t xml:space="preserve">Texas’s statutory and administrative-law materials are unusually centralized and easy to navigate.</w:t>
            </w:r>
            <w:r>
              <w:t xml:space="preserve"> </w:t>
            </w:r>
            <w:hyperlink r:id="rId59">
              <w:r>
                <w:rPr>
                  <w:rStyle w:val="Hyperlink"/>
                </w:rPr>
                <w:t xml:space="preserve">[62]</w:t>
              </w:r>
            </w:hyperlink>
          </w:p>
        </w:tc>
      </w:tr>
      <w:tr>
        <w:tc>
          <w:tcPr/>
          <w:p>
            <w:pPr>
              <w:pStyle w:val="Compact"/>
            </w:pPr>
            <w:r>
              <w:t xml:space="preserve">Florida official portals</w:t>
            </w:r>
          </w:p>
        </w:tc>
        <w:tc>
          <w:tcPr/>
          <w:p>
            <w:pPr>
              <w:pStyle w:val="Compact"/>
            </w:pPr>
            <w:r>
              <w:t xml:space="preserve">Constitution, statutes, administrative code/register, and DOAH.</w:t>
            </w:r>
          </w:p>
        </w:tc>
        <w:tc>
          <w:tcPr/>
          <w:p>
            <w:pPr>
              <w:pStyle w:val="Compact"/>
            </w:pPr>
            <w:r>
              <w:t xml:space="preserve">Florida’s portal structure makes Chapter 120 and administrative litigation unusually visible.</w:t>
            </w:r>
            <w:r>
              <w:t xml:space="preserve"> </w:t>
            </w:r>
            <w:hyperlink r:id="rId54">
              <w:r>
                <w:rPr>
                  <w:rStyle w:val="Hyperlink"/>
                </w:rPr>
                <w:t xml:space="preserve">[63]</w:t>
              </w:r>
            </w:hyperlink>
          </w:p>
        </w:tc>
      </w:tr>
    </w:tbl>
    <w:bookmarkEnd w:id="60"/>
    <w:bookmarkStart w:id="62" w:name="Xabcd0db9e5b020f1dbdff89ab9cf45c2422fa8e"/>
    <w:p>
      <w:pPr>
        <w:pStyle w:val="Heading2"/>
      </w:pPr>
      <w:r>
        <w:t xml:space="preserve">Unsettled Areas and Practical Implications</w:t>
      </w:r>
    </w:p>
    <w:p>
      <w:pPr>
        <w:pStyle w:val="FirstParagraph"/>
      </w:pPr>
      <w:r>
        <w:t xml:space="preserve">The most significant unsettled area in federal public law is the</w:t>
      </w:r>
      <w:r>
        <w:t xml:space="preserve"> </w:t>
      </w:r>
      <w:r>
        <w:rPr>
          <w:b/>
          <w:bCs/>
        </w:rPr>
        <w:t xml:space="preserve">post-</w:t>
      </w:r>
      <w:r>
        <w:rPr>
          <w:b/>
          <w:bCs/>
          <w:i/>
          <w:iCs/>
        </w:rPr>
        <w:t xml:space="preserve">Chevron</w:t>
      </w:r>
      <w:r>
        <w:rPr>
          <w:b/>
          <w:bCs/>
        </w:rPr>
        <w:t xml:space="preserve"> </w:t>
      </w:r>
      <w:r>
        <w:rPr>
          <w:b/>
          <w:bCs/>
        </w:rPr>
        <w:t xml:space="preserve">landscape</w:t>
      </w:r>
      <w:r>
        <w:t xml:space="preserve">.</w:t>
      </w:r>
      <w:r>
        <w:t xml:space="preserve"> </w:t>
      </w:r>
      <w:r>
        <w:rPr>
          <w:i/>
          <w:iCs/>
        </w:rPr>
        <w:t xml:space="preserve">Loper Bright</w:t>
      </w:r>
      <w:r>
        <w:t xml:space="preserve"> </w:t>
      </w:r>
      <w:r>
        <w:t xml:space="preserve">did not make agencies unimportant; it changed who has the last interpretive word. Courts now exercise independent judgment on statutory meaning, while</w:t>
      </w:r>
      <w:r>
        <w:t xml:space="preserve"> </w:t>
      </w:r>
      <w:r>
        <w:rPr>
          <w:i/>
          <w:iCs/>
        </w:rPr>
        <w:t xml:space="preserve">Kisor</w:t>
      </w:r>
      <w:r>
        <w:t xml:space="preserve">’s narrowed deference to agency interpretations of agency regulations remains in place. The resulting litigation environment is still stabilizing, especially where broad delegations, technical regulation, and the major-questions doctrine overlap.</w:t>
      </w:r>
      <w:r>
        <w:t xml:space="preserve"> </w:t>
      </w:r>
      <w:hyperlink r:id="rId42">
        <w:r>
          <w:rPr>
            <w:rStyle w:val="Hyperlink"/>
          </w:rPr>
          <w:t xml:space="preserve">[64]</w:t>
        </w:r>
      </w:hyperlink>
    </w:p>
    <w:p>
      <w:pPr>
        <w:pStyle w:val="BodyText"/>
      </w:pPr>
      <w:r>
        <w:t xml:space="preserve">A second unsettled area is the boundary between</w:t>
      </w:r>
      <w:r>
        <w:t xml:space="preserve"> </w:t>
      </w:r>
      <w:r>
        <w:rPr>
          <w:b/>
          <w:bCs/>
        </w:rPr>
        <w:t xml:space="preserve">permissible delegation, major questions, and nondelegation</w:t>
      </w:r>
      <w:r>
        <w:t xml:space="preserve">. Congress still delegates extensively, and the formal nondelegation doctrine remains comparatively forgiving. But recent doctrine and commentary within official constitutional materials show ongoing skepticism toward broad delegations touching major economic and political questions. For practitioners, that means delegation challenges are no longer fringe arguments in administrative law.</w:t>
      </w:r>
      <w:r>
        <w:t xml:space="preserve"> </w:t>
      </w:r>
      <w:hyperlink r:id="rId61">
        <w:r>
          <w:rPr>
            <w:rStyle w:val="Hyperlink"/>
          </w:rPr>
          <w:t xml:space="preserve">[65]</w:t>
        </w:r>
      </w:hyperlink>
    </w:p>
    <w:p>
      <w:pPr>
        <w:pStyle w:val="BodyText"/>
      </w:pPr>
      <w:r>
        <w:t xml:space="preserve">A third unsettled area is the constitutional and practical line between</w:t>
      </w:r>
      <w:r>
        <w:t xml:space="preserve"> </w:t>
      </w:r>
      <w:r>
        <w:rPr>
          <w:b/>
          <w:bCs/>
        </w:rPr>
        <w:t xml:space="preserve">treaties, executive agreements, implementation statutes, and termination authority</w:t>
      </w:r>
      <w:r>
        <w:t xml:space="preserve">. Official constitutional materials emphasize that self-execution remains contested in application, and that the Constitution does not clearly specify how treaty termination authority is allocated. In domestic litigation, this means lawyers must not assume that an international commitment automatically creates a judicially enforceable federal rule.</w:t>
      </w:r>
      <w:r>
        <w:t xml:space="preserve"> </w:t>
      </w:r>
      <w:hyperlink r:id="rId22">
        <w:r>
          <w:rPr>
            <w:rStyle w:val="Hyperlink"/>
          </w:rPr>
          <w:t xml:space="preserve">[66]</w:t>
        </w:r>
      </w:hyperlink>
    </w:p>
    <w:p>
      <w:pPr>
        <w:pStyle w:val="BodyText"/>
      </w:pPr>
      <w:r>
        <w:t xml:space="preserve">A fourth unsettled area lies in</w:t>
      </w:r>
      <w:r>
        <w:t xml:space="preserve"> </w:t>
      </w:r>
      <w:r>
        <w:rPr>
          <w:b/>
          <w:bCs/>
        </w:rPr>
        <w:t xml:space="preserve">state-local preemption and home rule</w:t>
      </w:r>
      <w:r>
        <w:t xml:space="preserve">. The four representative states all authorize meaningful local self-government, but they do so in different constitutional and statutory forms. As a result, the relative force of a local ordinance against state statutes, statewide policy, or state constitutional provisions can vary dramatically even when the subject matter looks similar. For practitioners, this is the main reason that “state law” cannot be treated as interchangeable across jurisdictions.</w:t>
      </w:r>
      <w:r>
        <w:t xml:space="preserve"> </w:t>
      </w:r>
      <w:hyperlink r:id="rId34">
        <w:r>
          <w:rPr>
            <w:rStyle w:val="Hyperlink"/>
          </w:rPr>
          <w:t xml:space="preserve">[67]</w:t>
        </w:r>
      </w:hyperlink>
    </w:p>
    <w:p>
      <w:pPr>
        <w:pStyle w:val="BodyText"/>
      </w:pPr>
      <w:r>
        <w:t xml:space="preserve">The practical lesson is straightforward. A competent hierarchy analysis usually proceeds in five moves: identify the</w:t>
      </w:r>
      <w:r>
        <w:t xml:space="preserve"> </w:t>
      </w:r>
      <w:r>
        <w:rPr>
          <w:b/>
          <w:bCs/>
        </w:rPr>
        <w:t xml:space="preserve">forum</w:t>
      </w:r>
      <w:r>
        <w:t xml:space="preserve"> </w:t>
      </w:r>
      <w:r>
        <w:t xml:space="preserve">and</w:t>
      </w:r>
      <w:r>
        <w:t xml:space="preserve"> </w:t>
      </w:r>
      <w:r>
        <w:rPr>
          <w:b/>
          <w:bCs/>
        </w:rPr>
        <w:t xml:space="preserve">sovereign</w:t>
      </w:r>
      <w:r>
        <w:t xml:space="preserve">; identify the</w:t>
      </w:r>
      <w:r>
        <w:t xml:space="preserve"> </w:t>
      </w:r>
      <w:r>
        <w:rPr>
          <w:b/>
          <w:bCs/>
        </w:rPr>
        <w:t xml:space="preserve">source type</w:t>
      </w:r>
      <w:r>
        <w:t xml:space="preserve">; verify the source’s</w:t>
      </w:r>
      <w:r>
        <w:t xml:space="preserve"> </w:t>
      </w:r>
      <w:r>
        <w:rPr>
          <w:b/>
          <w:bCs/>
        </w:rPr>
        <w:t xml:space="preserve">authority, promulgation, and finality</w:t>
      </w:r>
      <w:r>
        <w:t xml:space="preserve">; run the appropriate</w:t>
      </w:r>
      <w:r>
        <w:t xml:space="preserve"> </w:t>
      </w:r>
      <w:r>
        <w:rPr>
          <w:b/>
          <w:bCs/>
        </w:rPr>
        <w:t xml:space="preserve">conflict doctrine</w:t>
      </w:r>
      <w:r>
        <w:t xml:space="preserve">; and then apply the correct</w:t>
      </w:r>
      <w:r>
        <w:t xml:space="preserve"> </w:t>
      </w:r>
      <w:r>
        <w:rPr>
          <w:b/>
          <w:bCs/>
        </w:rPr>
        <w:t xml:space="preserve">standard of review</w:t>
      </w:r>
      <w:r>
        <w:t xml:space="preserve">. Most hard legal research problems in American law are resolved not by finding “more law,” but by locating the</w:t>
      </w:r>
      <w:r>
        <w:t xml:space="preserve"> </w:t>
      </w:r>
      <w:r>
        <w:rPr>
          <w:b/>
          <w:bCs/>
        </w:rPr>
        <w:t xml:space="preserve">right source at the right level</w:t>
      </w:r>
      <w:r>
        <w:t xml:space="preserve">, then asking the</w:t>
      </w:r>
      <w:r>
        <w:t xml:space="preserve"> </w:t>
      </w:r>
      <w:r>
        <w:rPr>
          <w:b/>
          <w:bCs/>
        </w:rPr>
        <w:t xml:space="preserve">right conflict question</w:t>
      </w:r>
      <w:r>
        <w:t xml:space="preserve"> </w:t>
      </w:r>
      <w:r>
        <w:t xml:space="preserve">about it.</w:t>
      </w:r>
      <w:r>
        <w:t xml:space="preserve"> </w:t>
      </w:r>
      <w:hyperlink r:id="rId23">
        <w:r>
          <w:rPr>
            <w:rStyle w:val="Hyperlink"/>
          </w:rPr>
          <w:t xml:space="preserve">[68]</w:t>
        </w:r>
      </w:hyperlink>
    </w:p>
    <w:p>
      <w:pPr>
        <w:pStyle w:val="BodyText"/>
      </w:pPr>
      <w:r>
        <w:t xml:space="preserve">Open questions remain. This report is representative rather than a 50-state treatise; it does not catalog every state-specific preemption doctrine, every agency-specific rule on precedential administrative decisions, or the full law of executive agreements and tribal law. Those are the main areas where a matter-specific jurisdictional supplement would usually be necessary.</w:t>
      </w:r>
      <w:r>
        <w:t xml:space="preserve"> </w:t>
      </w:r>
      <w:hyperlink r:id="rId34">
        <w:r>
          <w:rPr>
            <w:rStyle w:val="Hyperlink"/>
          </w:rPr>
          <w:t xml:space="preserve">[69]</w:t>
        </w:r>
      </w:hyperlink>
    </w:p>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[31]</w:t>
        </w:r>
      </w:hyperlink>
      <w:r>
        <w:t xml:space="preserve"> </w:t>
      </w:r>
      <w:hyperlink r:id="rId21">
        <w:r>
          <w:rPr>
            <w:rStyle w:val="Hyperlink"/>
          </w:rPr>
          <w:t xml:space="preserve">[35]</w:t>
        </w:r>
      </w:hyperlink>
      <w:r>
        <w:t xml:space="preserve"> </w:t>
      </w:r>
      <w:hyperlink r:id="rId21">
        <w:r>
          <w:rPr>
            <w:rStyle w:val="Hyperlink"/>
          </w:rPr>
          <w:t xml:space="preserve">[47]</w:t>
        </w:r>
      </w:hyperlink>
      <w:r>
        <w:t xml:space="preserve"> </w:t>
      </w:r>
      <w:hyperlink r:id="rId21">
        <w:r>
          <w:rPr>
            <w:rStyle w:val="Hyperlink"/>
          </w:rPr>
          <w:t xml:space="preserve">[49]</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r>
        <w:t xml:space="preserve">https://constitution.congress.gov/constitution/article-1/</w:t>
      </w:r>
    </w:p>
    <w:p>
      <w:pPr>
        <w:pStyle w:val="BodyText"/>
      </w:pPr>
      <w:hyperlink r:id="rId21">
        <w:r>
          <w:rPr>
            <w:rStyle w:val="Hyperlink"/>
          </w:rPr>
          <w:t xml:space="preserve">https://constitution.congress.gov/constitution/article-1/</w:t>
        </w:r>
      </w:hyperlink>
    </w:p>
    <w:p>
      <w:pPr>
        <w:pStyle w:val="BodyText"/>
      </w:pPr>
      <w:hyperlink r:id="rId22">
        <w:r>
          <w:rPr>
            <w:rStyle w:val="Hyperlink"/>
          </w:rPr>
          <w:t xml:space="preserve">[3]</w:t>
        </w:r>
      </w:hyperlink>
      <w:r>
        <w:t xml:space="preserve"> </w:t>
      </w:r>
      <w:hyperlink r:id="rId22">
        <w:r>
          <w:rPr>
            <w:rStyle w:val="Hyperlink"/>
          </w:rPr>
          <w:t xml:space="preserve">[9]</w:t>
        </w:r>
      </w:hyperlink>
      <w:r>
        <w:t xml:space="preserve"> </w:t>
      </w:r>
      <w:hyperlink r:id="rId22">
        <w:r>
          <w:rPr>
            <w:rStyle w:val="Hyperlink"/>
          </w:rPr>
          <w:t xml:space="preserve">[66]</w:t>
        </w:r>
      </w:hyperlink>
      <w:r>
        <w:t xml:space="preserve"> </w:t>
      </w:r>
      <w:r>
        <w:t xml:space="preserve">https://constitution.congress.gov/browse/essay/artII-S2-C2-1-4/ALDE_00012955/%5B%27Article%27%2C%20%272d%27%2C%20%27Section%27%2C%20%272d%27%2C%20%27Clause%27%2C%20%272%27%5D</w:t>
      </w:r>
    </w:p>
    <w:p>
      <w:pPr>
        <w:pStyle w:val="BodyText"/>
      </w:pPr>
      <w:hyperlink r:id="rId22">
        <w:r>
          <w:rPr>
            <w:rStyle w:val="Hyperlink"/>
          </w:rPr>
          <w:t xml:space="preserve">https://constitution.congress.gov/browse/essay/artII-S2-C2-1-4/ALDE_00012955/%5B%27Article%27%2C%20%272d%27%2C%20%27Section%27%2C%20%272d%27%2C%20%27Clause%27%2C%20%272%27%5D</w:t>
        </w:r>
      </w:hyperlink>
    </w:p>
    <w:p>
      <w:pPr>
        <w:pStyle w:val="BodyText"/>
      </w:pPr>
      <w:hyperlink r:id="rId23">
        <w:r>
          <w:rPr>
            <w:rStyle w:val="Hyperlink"/>
          </w:rPr>
          <w:t xml:space="preserve">[4]</w:t>
        </w:r>
      </w:hyperlink>
      <w:r>
        <w:t xml:space="preserve"> </w:t>
      </w:r>
      <w:hyperlink r:id="rId23">
        <w:r>
          <w:rPr>
            <w:rStyle w:val="Hyperlink"/>
          </w:rPr>
          <w:t xml:space="preserve">[6]</w:t>
        </w:r>
      </w:hyperlink>
      <w:r>
        <w:t xml:space="preserve"> </w:t>
      </w:r>
      <w:hyperlink r:id="rId23">
        <w:r>
          <w:rPr>
            <w:rStyle w:val="Hyperlink"/>
          </w:rPr>
          <w:t xml:space="preserve">[21]</w:t>
        </w:r>
      </w:hyperlink>
      <w:r>
        <w:t xml:space="preserve"> </w:t>
      </w:r>
      <w:hyperlink r:id="rId23">
        <w:r>
          <w:rPr>
            <w:rStyle w:val="Hyperlink"/>
          </w:rPr>
          <w:t xml:space="preserve">[22]</w:t>
        </w:r>
      </w:hyperlink>
      <w:r>
        <w:t xml:space="preserve"> </w:t>
      </w:r>
      <w:hyperlink r:id="rId23">
        <w:r>
          <w:rPr>
            <w:rStyle w:val="Hyperlink"/>
          </w:rPr>
          <w:t xml:space="preserve">[23]</w:t>
        </w:r>
      </w:hyperlink>
      <w:r>
        <w:t xml:space="preserve"> </w:t>
      </w:r>
      <w:hyperlink r:id="rId23">
        <w:r>
          <w:rPr>
            <w:rStyle w:val="Hyperlink"/>
          </w:rPr>
          <w:t xml:space="preserve">[46]</w:t>
        </w:r>
      </w:hyperlink>
      <w:r>
        <w:t xml:space="preserve"> </w:t>
      </w:r>
      <w:hyperlink r:id="rId23">
        <w:r>
          <w:rPr>
            <w:rStyle w:val="Hyperlink"/>
          </w:rPr>
          <w:t xml:space="preserve">[53]</w:t>
        </w:r>
      </w:hyperlink>
      <w:r>
        <w:t xml:space="preserve"> </w:t>
      </w:r>
      <w:hyperlink r:id="rId23">
        <w:r>
          <w:rPr>
            <w:rStyle w:val="Hyperlink"/>
          </w:rPr>
          <w:t xml:space="preserve">[68]</w:t>
        </w:r>
      </w:hyperlink>
      <w:r>
        <w:t xml:space="preserve"> </w:t>
      </w:r>
      <w:r>
        <w:t xml:space="preserve">https://constitution.congress.gov/browse/essay/artVI-C2-1/ALDE_00013395/</w:t>
      </w:r>
    </w:p>
    <w:p>
      <w:pPr>
        <w:pStyle w:val="BodyText"/>
      </w:pPr>
      <w:hyperlink r:id="rId23">
        <w:r>
          <w:rPr>
            <w:rStyle w:val="Hyperlink"/>
          </w:rPr>
          <w:t xml:space="preserve">https://constitution.congress.gov/browse/essay/artVI-C2-1/ALDE_00013395/</w:t>
        </w:r>
      </w:hyperlink>
    </w:p>
    <w:p>
      <w:pPr>
        <w:pStyle w:val="BodyText"/>
      </w:pPr>
      <w:hyperlink r:id="rId25">
        <w:r>
          <w:rPr>
            <w:rStyle w:val="Hyperlink"/>
          </w:rPr>
          <w:t xml:space="preserve">[5]</w:t>
        </w:r>
      </w:hyperlink>
      <w:r>
        <w:t xml:space="preserve"> </w:t>
      </w:r>
      <w:r>
        <w:t xml:space="preserve">https://uscode.house.gov/view.xhtml?edition=prelim&amp;num=0&amp;req=granuleid%3AUSC-prelim-title44-section1505</w:t>
      </w:r>
    </w:p>
    <w:p>
      <w:pPr>
        <w:pStyle w:val="BodyText"/>
      </w:pPr>
      <w:hyperlink r:id="rId25">
        <w:r>
          <w:rPr>
            <w:rStyle w:val="Hyperlink"/>
          </w:rPr>
          <w:t xml:space="preserve">https://uscode.house.gov/view.xhtml?edition=prelim&amp;num=0&amp;req=granuleid%3AUSC-prelim-title44-section1505</w:t>
        </w:r>
      </w:hyperlink>
    </w:p>
    <w:p>
      <w:pPr>
        <w:pStyle w:val="BodyText"/>
      </w:pPr>
      <w:hyperlink r:id="rId26">
        <w:r>
          <w:rPr>
            <w:rStyle w:val="Hyperlink"/>
          </w:rPr>
          <w:t xml:space="preserve">[10]</w:t>
        </w:r>
      </w:hyperlink>
      <w:r>
        <w:t xml:space="preserve"> </w:t>
      </w:r>
      <w:hyperlink r:id="rId26">
        <w:r>
          <w:rPr>
            <w:rStyle w:val="Hyperlink"/>
          </w:rPr>
          <w:t xml:space="preserve">[37]</w:t>
        </w:r>
      </w:hyperlink>
      <w:r>
        <w:t xml:space="preserve"> </w:t>
      </w:r>
      <w:r>
        <w:t xml:space="preserve">https://uscode.house.gov/view.xhtml?edition=prelim&amp;num=0&amp;req=granuleid%3AUSC-prelim-title5-section553</w:t>
      </w:r>
    </w:p>
    <w:p>
      <w:pPr>
        <w:pStyle w:val="BodyText"/>
      </w:pPr>
      <w:hyperlink r:id="rId26">
        <w:r>
          <w:rPr>
            <w:rStyle w:val="Hyperlink"/>
          </w:rPr>
          <w:t xml:space="preserve">https://uscode.house.gov/view.xhtml?edition=prelim&amp;num=0&amp;req=granuleid%3AUSC-prelim-title5-section553</w:t>
        </w:r>
      </w:hyperlink>
    </w:p>
    <w:p>
      <w:pPr>
        <w:pStyle w:val="BodyText"/>
      </w:pPr>
      <w:hyperlink r:id="rId27">
        <w:r>
          <w:rPr>
            <w:rStyle w:val="Hyperlink"/>
          </w:rPr>
          <w:t xml:space="preserve">[11]</w:t>
        </w:r>
      </w:hyperlink>
      <w:r>
        <w:t xml:space="preserve"> </w:t>
      </w:r>
      <w:hyperlink r:id="rId27">
        <w:r>
          <w:rPr>
            <w:rStyle w:val="Hyperlink"/>
          </w:rPr>
          <w:t xml:space="preserve">[17]</w:t>
        </w:r>
      </w:hyperlink>
      <w:r>
        <w:t xml:space="preserve"> </w:t>
      </w:r>
      <w:hyperlink r:id="rId27">
        <w:r>
          <w:rPr>
            <w:rStyle w:val="Hyperlink"/>
          </w:rPr>
          <w:t xml:space="preserve">[27]</w:t>
        </w:r>
      </w:hyperlink>
      <w:r>
        <w:t xml:space="preserve"> </w:t>
      </w:r>
      <w:hyperlink r:id="rId27">
        <w:r>
          <w:rPr>
            <w:rStyle w:val="Hyperlink"/>
          </w:rPr>
          <w:t xml:space="preserve">[40]</w:t>
        </w:r>
      </w:hyperlink>
      <w:r>
        <w:t xml:space="preserve"> </w:t>
      </w:r>
      <w:r>
        <w:t xml:space="preserve">https://www.fjc.gov/history/cases/cases-that-shaped-the-federal-courts/erie-railroad-co-v-tompkins</w:t>
      </w:r>
    </w:p>
    <w:p>
      <w:pPr>
        <w:pStyle w:val="BodyText"/>
      </w:pPr>
      <w:hyperlink r:id="rId27">
        <w:r>
          <w:rPr>
            <w:rStyle w:val="Hyperlink"/>
          </w:rPr>
          <w:t xml:space="preserve">https://www.fjc.gov/history/cases/cases-that-shaped-the-federal-courts/erie-railroad-co-v-tompkins</w:t>
        </w:r>
      </w:hyperlink>
    </w:p>
    <w:p>
      <w:pPr>
        <w:pStyle w:val="BodyText"/>
      </w:pPr>
      <w:hyperlink r:id="rId28">
        <w:r>
          <w:rPr>
            <w:rStyle w:val="Hyperlink"/>
          </w:rPr>
          <w:t xml:space="preserve">[12]</w:t>
        </w:r>
      </w:hyperlink>
      <w:r>
        <w:t xml:space="preserve"> </w:t>
      </w:r>
      <w:hyperlink r:id="rId28">
        <w:r>
          <w:rPr>
            <w:rStyle w:val="Hyperlink"/>
          </w:rPr>
          <w:t xml:space="preserve">[50]</w:t>
        </w:r>
      </w:hyperlink>
      <w:r>
        <w:t xml:space="preserve"> </w:t>
      </w:r>
      <w:r>
        <w:t xml:space="preserve">https://www.ecfr.gov/current/title-1/chapter-I/subchapter-E/part-19</w:t>
      </w:r>
    </w:p>
    <w:p>
      <w:pPr>
        <w:pStyle w:val="BodyText"/>
      </w:pPr>
      <w:hyperlink r:id="rId28">
        <w:r>
          <w:rPr>
            <w:rStyle w:val="Hyperlink"/>
          </w:rPr>
          <w:t xml:space="preserve">https://www.ecfr.gov/current/title-1/chapter-I/subchapter-E/part-19</w:t>
        </w:r>
      </w:hyperlink>
    </w:p>
    <w:p>
      <w:pPr>
        <w:pStyle w:val="BodyText"/>
      </w:pPr>
      <w:hyperlink r:id="rId29">
        <w:r>
          <w:rPr>
            <w:rStyle w:val="Hyperlink"/>
          </w:rPr>
          <w:t xml:space="preserve">[13]</w:t>
        </w:r>
      </w:hyperlink>
      <w:r>
        <w:t xml:space="preserve"> </w:t>
      </w:r>
      <w:hyperlink r:id="rId29">
        <w:r>
          <w:rPr>
            <w:rStyle w:val="Hyperlink"/>
          </w:rPr>
          <w:t xml:space="preserve">[42]</w:t>
        </w:r>
      </w:hyperlink>
      <w:r>
        <w:t xml:space="preserve"> </w:t>
      </w:r>
      <w:hyperlink r:id="rId29">
        <w:r>
          <w:rPr>
            <w:rStyle w:val="Hyperlink"/>
          </w:rPr>
          <w:t xml:space="preserve">[52]</w:t>
        </w:r>
      </w:hyperlink>
      <w:r>
        <w:t xml:space="preserve"> </w:t>
      </w:r>
      <w:r>
        <w:t xml:space="preserve">https://uscode.house.gov/view.xhtml?edition=prelim&amp;num=0&amp;req=granuleid%3AUSC-prelim-title5-section554</w:t>
      </w:r>
    </w:p>
    <w:p>
      <w:pPr>
        <w:pStyle w:val="BodyText"/>
      </w:pPr>
      <w:hyperlink r:id="rId29">
        <w:r>
          <w:rPr>
            <w:rStyle w:val="Hyperlink"/>
          </w:rPr>
          <w:t xml:space="preserve">https://uscode.house.gov/view.xhtml?edition=prelim&amp;num=0&amp;req=granuleid%3AUSC-prelim-title5-section554</w:t>
        </w:r>
      </w:hyperlink>
    </w:p>
    <w:p>
      <w:pPr>
        <w:pStyle w:val="BodyText"/>
      </w:pPr>
      <w:hyperlink r:id="rId31">
        <w:r>
          <w:rPr>
            <w:rStyle w:val="Hyperlink"/>
          </w:rPr>
          <w:t xml:space="preserve">[14]</w:t>
        </w:r>
      </w:hyperlink>
      <w:r>
        <w:t xml:space="preserve"> </w:t>
      </w:r>
      <w:r>
        <w:t xml:space="preserve">https://leginfo.legislature.ca.gov/faces/codes_displayText.xhtml?amp%3Barticle=I&amp;lawCode=CONS</w:t>
      </w:r>
    </w:p>
    <w:p>
      <w:pPr>
        <w:pStyle w:val="BodyText"/>
      </w:pPr>
      <w:hyperlink r:id="rId31">
        <w:r>
          <w:rPr>
            <w:rStyle w:val="Hyperlink"/>
          </w:rPr>
          <w:t xml:space="preserve">https://leginfo.legislature.ca.gov/faces/codes_displayText.xhtml?amp%3Barticle=I&amp;lawCode=CONS</w:t>
        </w:r>
      </w:hyperlink>
    </w:p>
    <w:p>
      <w:pPr>
        <w:pStyle w:val="BodyText"/>
      </w:pPr>
      <w:hyperlink r:id="rId32">
        <w:r>
          <w:rPr>
            <w:rStyle w:val="Hyperlink"/>
          </w:rPr>
          <w:t xml:space="preserve">[15]</w:t>
        </w:r>
      </w:hyperlink>
      <w:r>
        <w:t xml:space="preserve"> </w:t>
      </w:r>
      <w:r>
        <w:t xml:space="preserve">https://www.nysenate.gov/legislation/laws/SAP</w:t>
      </w:r>
    </w:p>
    <w:p>
      <w:pPr>
        <w:pStyle w:val="BodyText"/>
      </w:pPr>
      <w:hyperlink r:id="rId32">
        <w:r>
          <w:rPr>
            <w:rStyle w:val="Hyperlink"/>
          </w:rPr>
          <w:t xml:space="preserve">https://www.nysenate.gov/legislation/laws/SAP</w:t>
        </w:r>
      </w:hyperlink>
    </w:p>
    <w:p>
      <w:pPr>
        <w:pStyle w:val="BodyText"/>
      </w:pPr>
      <w:hyperlink r:id="rId33">
        <w:r>
          <w:rPr>
            <w:rStyle w:val="Hyperlink"/>
          </w:rPr>
          <w:t xml:space="preserve">[16]</w:t>
        </w:r>
      </w:hyperlink>
      <w:r>
        <w:t xml:space="preserve"> </w:t>
      </w:r>
      <w:r>
        <w:t xml:space="preserve">https://dos.ny.gov/rules-and-regulations</w:t>
      </w:r>
    </w:p>
    <w:p>
      <w:pPr>
        <w:pStyle w:val="BodyText"/>
      </w:pPr>
      <w:hyperlink r:id="rId33">
        <w:r>
          <w:rPr>
            <w:rStyle w:val="Hyperlink"/>
          </w:rPr>
          <w:t xml:space="preserve">https://dos.ny.gov/rules-and-regulations</w:t>
        </w:r>
      </w:hyperlink>
    </w:p>
    <w:p>
      <w:pPr>
        <w:pStyle w:val="BodyText"/>
      </w:pPr>
      <w:hyperlink r:id="rId34">
        <w:r>
          <w:rPr>
            <w:rStyle w:val="Hyperlink"/>
          </w:rPr>
          <w:t xml:space="preserve">[18]</w:t>
        </w:r>
      </w:hyperlink>
      <w:r>
        <w:t xml:space="preserve"> </w:t>
      </w:r>
      <w:hyperlink r:id="rId34">
        <w:r>
          <w:rPr>
            <w:rStyle w:val="Hyperlink"/>
          </w:rPr>
          <w:t xml:space="preserve">[67]</w:t>
        </w:r>
      </w:hyperlink>
      <w:r>
        <w:t xml:space="preserve"> </w:t>
      </w:r>
      <w:hyperlink r:id="rId34">
        <w:r>
          <w:rPr>
            <w:rStyle w:val="Hyperlink"/>
          </w:rPr>
          <w:t xml:space="preserve">[69]</w:t>
        </w:r>
      </w:hyperlink>
      <w:r>
        <w:t xml:space="preserve"> </w:t>
      </w:r>
      <w:r>
        <w:t xml:space="preserve">https://www.nysenate.gov/legislation/laws/CNS/A9S2/</w:t>
      </w:r>
    </w:p>
    <w:p>
      <w:pPr>
        <w:pStyle w:val="BodyText"/>
      </w:pPr>
      <w:hyperlink r:id="rId34">
        <w:r>
          <w:rPr>
            <w:rStyle w:val="Hyperlink"/>
          </w:rPr>
          <w:t xml:space="preserve">https://www.nysenate.gov/legislation/laws/CNS/A9S2/</w:t>
        </w:r>
      </w:hyperlink>
    </w:p>
    <w:p>
      <w:pPr>
        <w:pStyle w:val="BodyText"/>
      </w:pPr>
      <w:hyperlink r:id="rId35">
        <w:r>
          <w:rPr>
            <w:rStyle w:val="Hyperlink"/>
          </w:rPr>
          <w:t xml:space="preserve">[19]</w:t>
        </w:r>
      </w:hyperlink>
      <w:r>
        <w:t xml:space="preserve"> </w:t>
      </w:r>
      <w:r>
        <w:t xml:space="preserve">https://statutes.capitol.texas.gov/GetStatute.aspx?Code=GV&amp;Value=2001</w:t>
      </w:r>
    </w:p>
    <w:p>
      <w:pPr>
        <w:pStyle w:val="BodyText"/>
      </w:pPr>
      <w:hyperlink r:id="rId35">
        <w:r>
          <w:rPr>
            <w:rStyle w:val="Hyperlink"/>
          </w:rPr>
          <w:t xml:space="preserve">https://statutes.capitol.texas.gov/GetStatute.aspx?Code=GV&amp;Value=2001</w:t>
        </w:r>
      </w:hyperlink>
    </w:p>
    <w:p>
      <w:pPr>
        <w:pStyle w:val="BodyText"/>
      </w:pPr>
      <w:hyperlink r:id="rId36">
        <w:r>
          <w:rPr>
            <w:rStyle w:val="Hyperlink"/>
          </w:rPr>
          <w:t xml:space="preserve">[20]</w:t>
        </w:r>
      </w:hyperlink>
      <w:r>
        <w:t xml:space="preserve"> </w:t>
      </w:r>
      <w:r>
        <w:t xml:space="preserve">https://uscode.house.gov/view.xhtml?edition=prelim&amp;num=0&amp;req=granuleid%3AUSC-prelim-title9-section2</w:t>
      </w:r>
    </w:p>
    <w:p>
      <w:pPr>
        <w:pStyle w:val="BodyText"/>
      </w:pPr>
      <w:hyperlink r:id="rId36">
        <w:r>
          <w:rPr>
            <w:rStyle w:val="Hyperlink"/>
          </w:rPr>
          <w:t xml:space="preserve">https://uscode.house.gov/view.xhtml?edition=prelim&amp;num=0&amp;req=granuleid%3AUSC-prelim-title9-section2</w:t>
        </w:r>
      </w:hyperlink>
    </w:p>
    <w:p>
      <w:pPr>
        <w:pStyle w:val="BodyText"/>
      </w:pPr>
      <w:hyperlink r:id="rId39">
        <w:r>
          <w:rPr>
            <w:rStyle w:val="Hyperlink"/>
          </w:rPr>
          <w:t xml:space="preserve">[24]</w:t>
        </w:r>
      </w:hyperlink>
      <w:r>
        <w:t xml:space="preserve"> </w:t>
      </w:r>
      <w:r>
        <w:t xml:space="preserve">https://constitution.congress.gov/browse/essay/artI-1/ALDE_00000242/</w:t>
      </w:r>
    </w:p>
    <w:p>
      <w:pPr>
        <w:pStyle w:val="BodyText"/>
      </w:pPr>
      <w:hyperlink r:id="rId39">
        <w:r>
          <w:rPr>
            <w:rStyle w:val="Hyperlink"/>
          </w:rPr>
          <w:t xml:space="preserve">https://constitution.congress.gov/browse/essay/artI-1/ALDE_00000242/</w:t>
        </w:r>
      </w:hyperlink>
    </w:p>
    <w:p>
      <w:pPr>
        <w:pStyle w:val="BodyText"/>
      </w:pPr>
      <w:hyperlink r:id="rId40">
        <w:r>
          <w:rPr>
            <w:rStyle w:val="Hyperlink"/>
          </w:rPr>
          <w:t xml:space="preserve">[25]</w:t>
        </w:r>
      </w:hyperlink>
      <w:r>
        <w:t xml:space="preserve"> </w:t>
      </w:r>
      <w:r>
        <w:t xml:space="preserve">Conflicts-of-Law and Procedural Rules in Diversity Cases</w:t>
      </w:r>
    </w:p>
    <w:p>
      <w:pPr>
        <w:pStyle w:val="BodyText"/>
      </w:pPr>
      <w:hyperlink r:id="rId40">
        <w:r>
          <w:rPr>
            <w:rStyle w:val="Hyperlink"/>
          </w:rPr>
          <w:t xml:space="preserve">https://constitution.congress.gov/browse/essay/artIII-S2-C1-16-7/ALDE_00013247/?utm_source=chatgpt.com</w:t>
        </w:r>
      </w:hyperlink>
    </w:p>
    <w:p>
      <w:pPr>
        <w:pStyle w:val="BodyText"/>
      </w:pPr>
      <w:hyperlink r:id="rId41">
        <w:r>
          <w:rPr>
            <w:rStyle w:val="Hyperlink"/>
          </w:rPr>
          <w:t xml:space="preserve">[26]</w:t>
        </w:r>
      </w:hyperlink>
      <w:r>
        <w:t xml:space="preserve"> </w:t>
      </w:r>
      <w:r>
        <w:t xml:space="preserve">https://www.govinfo.gov/app/details/USREPORTS-454/USREPORTS-454-370</w:t>
      </w:r>
    </w:p>
    <w:p>
      <w:pPr>
        <w:pStyle w:val="BodyText"/>
      </w:pPr>
      <w:hyperlink r:id="rId41">
        <w:r>
          <w:rPr>
            <w:rStyle w:val="Hyperlink"/>
          </w:rPr>
          <w:t xml:space="preserve">https://www.govinfo.gov/app/details/USREPORTS-454/USREPORTS-454-370</w:t>
        </w:r>
      </w:hyperlink>
    </w:p>
    <w:p>
      <w:pPr>
        <w:pStyle w:val="BodyText"/>
      </w:pPr>
      <w:hyperlink r:id="rId42">
        <w:r>
          <w:rPr>
            <w:rStyle w:val="Hyperlink"/>
          </w:rPr>
          <w:t xml:space="preserve">[28]</w:t>
        </w:r>
      </w:hyperlink>
      <w:r>
        <w:t xml:space="preserve"> </w:t>
      </w:r>
      <w:hyperlink r:id="rId42">
        <w:r>
          <w:rPr>
            <w:rStyle w:val="Hyperlink"/>
          </w:rPr>
          <w:t xml:space="preserve">[64]</w:t>
        </w:r>
      </w:hyperlink>
      <w:r>
        <w:t xml:space="preserve"> </w:t>
      </w:r>
      <w:r>
        <w:t xml:space="preserve">https://www.supremecourt.gov/opinions/23pdf/22-451_7m58.pdf</w:t>
      </w:r>
    </w:p>
    <w:p>
      <w:pPr>
        <w:pStyle w:val="BodyText"/>
      </w:pPr>
      <w:hyperlink r:id="rId42">
        <w:r>
          <w:rPr>
            <w:rStyle w:val="Hyperlink"/>
          </w:rPr>
          <w:t xml:space="preserve">https://www.supremecourt.gov/opinions/23pdf/22-451_7m58.pdf</w:t>
        </w:r>
      </w:hyperlink>
    </w:p>
    <w:p>
      <w:pPr>
        <w:pStyle w:val="BodyText"/>
      </w:pPr>
      <w:hyperlink r:id="rId43">
        <w:r>
          <w:rPr>
            <w:rStyle w:val="Hyperlink"/>
          </w:rPr>
          <w:t xml:space="preserve">[29]</w:t>
        </w:r>
      </w:hyperlink>
      <w:r>
        <w:t xml:space="preserve"> </w:t>
      </w:r>
      <w:hyperlink r:id="rId43">
        <w:r>
          <w:rPr>
            <w:rStyle w:val="Hyperlink"/>
          </w:rPr>
          <w:t xml:space="preserve">[44]</w:t>
        </w:r>
      </w:hyperlink>
      <w:r>
        <w:t xml:space="preserve"> </w:t>
      </w:r>
      <w:r>
        <w:t xml:space="preserve">https://constitution.congress.gov/browse/essay/artII-S2-C2-1-7/ALDE_00012958/</w:t>
      </w:r>
    </w:p>
    <w:p>
      <w:pPr>
        <w:pStyle w:val="BodyText"/>
      </w:pPr>
      <w:hyperlink r:id="rId43">
        <w:r>
          <w:rPr>
            <w:rStyle w:val="Hyperlink"/>
          </w:rPr>
          <w:t xml:space="preserve">https://constitution.congress.gov/browse/essay/artII-S2-C2-1-7/ALDE_00012958/</w:t>
        </w:r>
      </w:hyperlink>
    </w:p>
    <w:p>
      <w:pPr>
        <w:pStyle w:val="BodyText"/>
      </w:pPr>
      <w:hyperlink r:id="rId45">
        <w:r>
          <w:rPr>
            <w:rStyle w:val="Hyperlink"/>
          </w:rPr>
          <w:t xml:space="preserve">[30]</w:t>
        </w:r>
      </w:hyperlink>
      <w:r>
        <w:t xml:space="preserve"> </w:t>
      </w:r>
      <w:hyperlink r:id="rId45">
        <w:r>
          <w:rPr>
            <w:rStyle w:val="Hyperlink"/>
          </w:rPr>
          <w:t xml:space="preserve">[34]</w:t>
        </w:r>
      </w:hyperlink>
      <w:r>
        <w:t xml:space="preserve"> </w:t>
      </w:r>
      <w:hyperlink r:id="rId45">
        <w:r>
          <w:rPr>
            <w:rStyle w:val="Hyperlink"/>
          </w:rPr>
          <w:t xml:space="preserve">[38]</w:t>
        </w:r>
      </w:hyperlink>
      <w:r>
        <w:t xml:space="preserve"> </w:t>
      </w:r>
      <w:r>
        <w:t xml:space="preserve">https://constitution.congress.gov/constitution/article-3/</w:t>
      </w:r>
    </w:p>
    <w:p>
      <w:pPr>
        <w:pStyle w:val="BodyText"/>
      </w:pPr>
      <w:hyperlink r:id="rId45">
        <w:r>
          <w:rPr>
            <w:rStyle w:val="Hyperlink"/>
          </w:rPr>
          <w:t xml:space="preserve">https://constitution.congress.gov/constitution/article-3/</w:t>
        </w:r>
      </w:hyperlink>
    </w:p>
    <w:p>
      <w:pPr>
        <w:pStyle w:val="BodyText"/>
      </w:pPr>
      <w:hyperlink r:id="rId46">
        <w:r>
          <w:rPr>
            <w:rStyle w:val="Hyperlink"/>
          </w:rPr>
          <w:t xml:space="preserve">[32]</w:t>
        </w:r>
      </w:hyperlink>
      <w:r>
        <w:t xml:space="preserve"> </w:t>
      </w:r>
      <w:hyperlink r:id="rId46">
        <w:r>
          <w:rPr>
            <w:rStyle w:val="Hyperlink"/>
          </w:rPr>
          <w:t xml:space="preserve">[36]</w:t>
        </w:r>
      </w:hyperlink>
      <w:r>
        <w:t xml:space="preserve"> </w:t>
      </w:r>
      <w:r>
        <w:t xml:space="preserve">https://constitution.congress.gov/constitution/article-2/</w:t>
      </w:r>
    </w:p>
    <w:p>
      <w:pPr>
        <w:pStyle w:val="BodyText"/>
      </w:pPr>
      <w:hyperlink r:id="rId46">
        <w:r>
          <w:rPr>
            <w:rStyle w:val="Hyperlink"/>
          </w:rPr>
          <w:t xml:space="preserve">https://constitution.congress.gov/constitution/article-2/</w:t>
        </w:r>
      </w:hyperlink>
    </w:p>
    <w:p>
      <w:pPr>
        <w:pStyle w:val="BodyText"/>
      </w:pPr>
      <w:hyperlink r:id="rId47">
        <w:r>
          <w:rPr>
            <w:rStyle w:val="Hyperlink"/>
          </w:rPr>
          <w:t xml:space="preserve">[33]</w:t>
        </w:r>
      </w:hyperlink>
      <w:r>
        <w:t xml:space="preserve"> </w:t>
      </w:r>
      <w:hyperlink r:id="rId47">
        <w:r>
          <w:rPr>
            <w:rStyle w:val="Hyperlink"/>
          </w:rPr>
          <w:t xml:space="preserve">[43]</w:t>
        </w:r>
      </w:hyperlink>
      <w:r>
        <w:t xml:space="preserve"> </w:t>
      </w:r>
      <w:hyperlink r:id="rId47">
        <w:r>
          <w:rPr>
            <w:rStyle w:val="Hyperlink"/>
          </w:rPr>
          <w:t xml:space="preserve">[45]</w:t>
        </w:r>
      </w:hyperlink>
      <w:r>
        <w:t xml:space="preserve"> </w:t>
      </w:r>
      <w:hyperlink r:id="rId47">
        <w:r>
          <w:rPr>
            <w:rStyle w:val="Hyperlink"/>
          </w:rPr>
          <w:t xml:space="preserve">[60]</w:t>
        </w:r>
      </w:hyperlink>
      <w:r>
        <w:t xml:space="preserve"> </w:t>
      </w:r>
      <w:r>
        <w:t xml:space="preserve">https://www.sos.ca.gov/archives/collections/constitutions</w:t>
      </w:r>
    </w:p>
    <w:p>
      <w:pPr>
        <w:pStyle w:val="BodyText"/>
      </w:pPr>
      <w:hyperlink r:id="rId47">
        <w:r>
          <w:rPr>
            <w:rStyle w:val="Hyperlink"/>
          </w:rPr>
          <w:t xml:space="preserve">https://www.sos.ca.gov/archives/collections/constitutions</w:t>
        </w:r>
      </w:hyperlink>
    </w:p>
    <w:p>
      <w:pPr>
        <w:pStyle w:val="BodyText"/>
      </w:pPr>
      <w:hyperlink r:id="rId49">
        <w:r>
          <w:rPr>
            <w:rStyle w:val="Hyperlink"/>
          </w:rPr>
          <w:t xml:space="preserve">[39]</w:t>
        </w:r>
      </w:hyperlink>
      <w:r>
        <w:t xml:space="preserve"> </w:t>
      </w:r>
      <w:hyperlink r:id="rId49">
        <w:r>
          <w:rPr>
            <w:rStyle w:val="Hyperlink"/>
          </w:rPr>
          <w:t xml:space="preserve">[57]</w:t>
        </w:r>
      </w:hyperlink>
      <w:r>
        <w:t xml:space="preserve"> </w:t>
      </w:r>
      <w:r>
        <w:t xml:space="preserve">https://uscode.house.gov/view.xhtml?edition=prelim&amp;num=0&amp;req=granuleid%3AUSC-prelim-title28-section2072</w:t>
      </w:r>
    </w:p>
    <w:p>
      <w:pPr>
        <w:pStyle w:val="BodyText"/>
      </w:pPr>
      <w:hyperlink r:id="rId49">
        <w:r>
          <w:rPr>
            <w:rStyle w:val="Hyperlink"/>
          </w:rPr>
          <w:t xml:space="preserve">https://uscode.house.gov/view.xhtml?edition=prelim&amp;num=0&amp;req=granuleid%3AUSC-prelim-title28-section2072</w:t>
        </w:r>
      </w:hyperlink>
    </w:p>
    <w:p>
      <w:pPr>
        <w:pStyle w:val="BodyText"/>
      </w:pPr>
      <w:hyperlink r:id="rId50">
        <w:r>
          <w:rPr>
            <w:rStyle w:val="Hyperlink"/>
          </w:rPr>
          <w:t xml:space="preserve">[41]</w:t>
        </w:r>
      </w:hyperlink>
      <w:r>
        <w:t xml:space="preserve"> </w:t>
      </w:r>
      <w:r>
        <w:t xml:space="preserve">https://uscode.house.gov/view.xhtml?edition=prelim&amp;path=%2Fprelim%40title5%2Fpart1%2Fchapter7</w:t>
      </w:r>
    </w:p>
    <w:p>
      <w:pPr>
        <w:pStyle w:val="BodyText"/>
      </w:pPr>
      <w:hyperlink r:id="rId50">
        <w:r>
          <w:rPr>
            <w:rStyle w:val="Hyperlink"/>
          </w:rPr>
          <w:t xml:space="preserve">https://uscode.house.gov/view.xhtml?edition=prelim&amp;path=%2Fprelim%40title5%2Fpart1%2Fchapter7</w:t>
        </w:r>
      </w:hyperlink>
    </w:p>
    <w:p>
      <w:pPr>
        <w:pStyle w:val="BodyText"/>
      </w:pPr>
      <w:hyperlink r:id="rId52">
        <w:r>
          <w:rPr>
            <w:rStyle w:val="Hyperlink"/>
          </w:rPr>
          <w:t xml:space="preserve">[48]</w:t>
        </w:r>
      </w:hyperlink>
      <w:r>
        <w:t xml:space="preserve"> </w:t>
      </w:r>
      <w:r>
        <w:t xml:space="preserve">https://www.archives.nysed.gov/research/constitutions-and-constitional-conventions</w:t>
      </w:r>
    </w:p>
    <w:p>
      <w:pPr>
        <w:pStyle w:val="BodyText"/>
      </w:pPr>
      <w:hyperlink r:id="rId52">
        <w:r>
          <w:rPr>
            <w:rStyle w:val="Hyperlink"/>
          </w:rPr>
          <w:t xml:space="preserve">https://www.archives.nysed.gov/research/constitutions-and-constitional-conventions</w:t>
        </w:r>
      </w:hyperlink>
    </w:p>
    <w:p>
      <w:pPr>
        <w:pStyle w:val="BodyText"/>
      </w:pPr>
      <w:hyperlink r:id="rId53">
        <w:r>
          <w:rPr>
            <w:rStyle w:val="Hyperlink"/>
          </w:rPr>
          <w:t xml:space="preserve">[51]</w:t>
        </w:r>
      </w:hyperlink>
      <w:r>
        <w:t xml:space="preserve"> </w:t>
      </w:r>
      <w:r>
        <w:t xml:space="preserve">https://hro.house.texas.gov/pdf/focus/amend88.pdf</w:t>
      </w:r>
    </w:p>
    <w:p>
      <w:pPr>
        <w:pStyle w:val="BodyText"/>
      </w:pPr>
      <w:hyperlink r:id="rId53">
        <w:r>
          <w:rPr>
            <w:rStyle w:val="Hyperlink"/>
          </w:rPr>
          <w:t xml:space="preserve">https://hro.house.texas.gov/pdf/focus/amend88.pdf</w:t>
        </w:r>
      </w:hyperlink>
    </w:p>
    <w:p>
      <w:pPr>
        <w:pStyle w:val="BodyText"/>
      </w:pPr>
      <w:hyperlink r:id="rId54">
        <w:r>
          <w:rPr>
            <w:rStyle w:val="Hyperlink"/>
          </w:rPr>
          <w:t xml:space="preserve">[54]</w:t>
        </w:r>
      </w:hyperlink>
      <w:r>
        <w:t xml:space="preserve"> </w:t>
      </w:r>
      <w:hyperlink r:id="rId54">
        <w:r>
          <w:rPr>
            <w:rStyle w:val="Hyperlink"/>
          </w:rPr>
          <w:t xml:space="preserve">[63]</w:t>
        </w:r>
      </w:hyperlink>
      <w:r>
        <w:t xml:space="preserve"> </w:t>
      </w:r>
      <w:r>
        <w:t xml:space="preserve">https://www.flsenate.gov/laws/constitution</w:t>
      </w:r>
    </w:p>
    <w:p>
      <w:pPr>
        <w:pStyle w:val="BodyText"/>
      </w:pPr>
      <w:hyperlink r:id="rId54">
        <w:r>
          <w:rPr>
            <w:rStyle w:val="Hyperlink"/>
          </w:rPr>
          <w:t xml:space="preserve">https://www.flsenate.gov/laws/constitution</w:t>
        </w:r>
      </w:hyperlink>
    </w:p>
    <w:p>
      <w:pPr>
        <w:pStyle w:val="BodyText"/>
      </w:pPr>
      <w:hyperlink r:id="rId56">
        <w:r>
          <w:rPr>
            <w:rStyle w:val="Hyperlink"/>
          </w:rPr>
          <w:t xml:space="preserve">[58]</w:t>
        </w:r>
      </w:hyperlink>
      <w:r>
        <w:t xml:space="preserve"> </w:t>
      </w:r>
      <w:r>
        <w:t xml:space="preserve">https://www.govinfo.gov/app/details/USREPORTS-318/USREPORTS-318-363</w:t>
      </w:r>
    </w:p>
    <w:p>
      <w:pPr>
        <w:pStyle w:val="BodyText"/>
      </w:pPr>
      <w:hyperlink r:id="rId56">
        <w:r>
          <w:rPr>
            <w:rStyle w:val="Hyperlink"/>
          </w:rPr>
          <w:t xml:space="preserve">https://www.govinfo.gov/app/details/USREPORTS-318/USREPORTS-318-363</w:t>
        </w:r>
      </w:hyperlink>
    </w:p>
    <w:p>
      <w:pPr>
        <w:pStyle w:val="BodyText"/>
      </w:pPr>
      <w:hyperlink r:id="rId57">
        <w:r>
          <w:rPr>
            <w:rStyle w:val="Hyperlink"/>
          </w:rPr>
          <w:t xml:space="preserve">[59]</w:t>
        </w:r>
      </w:hyperlink>
      <w:r>
        <w:t xml:space="preserve"> </w:t>
      </w:r>
      <w:r>
        <w:t xml:space="preserve">https://www.ecfr.gov/current/title-1/chapter-I/subchapter-E/part-21</w:t>
      </w:r>
    </w:p>
    <w:p>
      <w:pPr>
        <w:pStyle w:val="BodyText"/>
      </w:pPr>
      <w:hyperlink r:id="rId57">
        <w:r>
          <w:rPr>
            <w:rStyle w:val="Hyperlink"/>
          </w:rPr>
          <w:t xml:space="preserve">https://www.ecfr.gov/current/title-1/chapter-I/subchapter-E/part-21</w:t>
        </w:r>
      </w:hyperlink>
    </w:p>
    <w:p>
      <w:pPr>
        <w:pStyle w:val="BodyText"/>
      </w:pPr>
      <w:hyperlink r:id="rId58">
        <w:r>
          <w:rPr>
            <w:rStyle w:val="Hyperlink"/>
          </w:rPr>
          <w:t xml:space="preserve">[61]</w:t>
        </w:r>
      </w:hyperlink>
      <w:r>
        <w:t xml:space="preserve"> </w:t>
      </w:r>
      <w:r>
        <w:t xml:space="preserve">https://www.nysenate.gov/new-york-state-constitution</w:t>
      </w:r>
    </w:p>
    <w:p>
      <w:pPr>
        <w:pStyle w:val="BodyText"/>
      </w:pPr>
      <w:hyperlink r:id="rId58">
        <w:r>
          <w:rPr>
            <w:rStyle w:val="Hyperlink"/>
          </w:rPr>
          <w:t xml:space="preserve">https://www.nysenate.gov/new-york-state-constitution</w:t>
        </w:r>
      </w:hyperlink>
    </w:p>
    <w:p>
      <w:pPr>
        <w:pStyle w:val="BodyText"/>
      </w:pPr>
      <w:hyperlink r:id="rId59">
        <w:r>
          <w:rPr>
            <w:rStyle w:val="Hyperlink"/>
          </w:rPr>
          <w:t xml:space="preserve">[62]</w:t>
        </w:r>
      </w:hyperlink>
      <w:r>
        <w:t xml:space="preserve"> </w:t>
      </w:r>
      <w:r>
        <w:t xml:space="preserve">https://statutes.capitol.texas.gov/</w:t>
      </w:r>
    </w:p>
    <w:p>
      <w:pPr>
        <w:pStyle w:val="BodyText"/>
      </w:pPr>
      <w:hyperlink r:id="rId59">
        <w:r>
          <w:rPr>
            <w:rStyle w:val="Hyperlink"/>
          </w:rPr>
          <w:t xml:space="preserve">https://statutes.capitol.texas.gov/</w:t>
        </w:r>
      </w:hyperlink>
    </w:p>
    <w:p>
      <w:pPr>
        <w:pStyle w:val="BodyText"/>
      </w:pPr>
      <w:hyperlink r:id="rId61">
        <w:r>
          <w:rPr>
            <w:rStyle w:val="Hyperlink"/>
          </w:rPr>
          <w:t xml:space="preserve">[65]</w:t>
        </w:r>
      </w:hyperlink>
      <w:r>
        <w:t xml:space="preserve"> </w:t>
      </w:r>
      <w:r>
        <w:t xml:space="preserve">https://constitution.congress.gov/browse/essay/artI-S1-5-1/ALDE_00000014/</w:t>
      </w:r>
    </w:p>
    <w:p>
      <w:pPr>
        <w:pStyle w:val="BodyText"/>
      </w:pPr>
      <w:hyperlink r:id="rId61">
        <w:r>
          <w:rPr>
            <w:rStyle w:val="Hyperlink"/>
          </w:rPr>
          <w:t xml:space="preserve">https://constitution.congress.gov/browse/essay/artI-S1-5-1/ALDE_00000014/</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onstitution.congress.gov/browse/essay/artI-1/ALDE_00000242/" TargetMode="External" /><Relationship Type="http://schemas.openxmlformats.org/officeDocument/2006/relationships/hyperlink" Id="rId61" Target="https://constitution.congress.gov/browse/essay/artI-S1-5-1/ALDE_00000014/" TargetMode="External" /><Relationship Type="http://schemas.openxmlformats.org/officeDocument/2006/relationships/hyperlink" Id="rId22" Target="https://constitution.congress.gov/browse/essay/artII-S2-C2-1-4/ALDE_00012955/%5B%27Article%27%2C%20%272d%27%2C%20%27Section%27%2C%20%272d%27%2C%20%27Clause%27%2C%20%272%27%5D" TargetMode="External" /><Relationship Type="http://schemas.openxmlformats.org/officeDocument/2006/relationships/hyperlink" Id="rId43" Target="https://constitution.congress.gov/browse/essay/artII-S2-C2-1-7/ALDE_00012958/" TargetMode="External" /><Relationship Type="http://schemas.openxmlformats.org/officeDocument/2006/relationships/hyperlink" Id="rId40" Target="https://constitution.congress.gov/browse/essay/artIII-S2-C1-16-7/ALDE_00013247/?utm_source=chatgpt.com" TargetMode="External" /><Relationship Type="http://schemas.openxmlformats.org/officeDocument/2006/relationships/hyperlink" Id="rId23" Target="https://constitution.congress.gov/browse/essay/artVI-C2-1/ALDE_00013395/" TargetMode="External" /><Relationship Type="http://schemas.openxmlformats.org/officeDocument/2006/relationships/hyperlink" Id="rId21" Target="https://constitution.congress.gov/constitution/article-1/" TargetMode="External" /><Relationship Type="http://schemas.openxmlformats.org/officeDocument/2006/relationships/hyperlink" Id="rId46" Target="https://constitution.congress.gov/constitution/article-2/" TargetMode="External" /><Relationship Type="http://schemas.openxmlformats.org/officeDocument/2006/relationships/hyperlink" Id="rId45" Target="https://constitution.congress.gov/constitution/article-3/" TargetMode="External" /><Relationship Type="http://schemas.openxmlformats.org/officeDocument/2006/relationships/hyperlink" Id="rId33" Target="https://dos.ny.gov/rules-and-regulations" TargetMode="External" /><Relationship Type="http://schemas.openxmlformats.org/officeDocument/2006/relationships/hyperlink" Id="rId53" Target="https://hro.house.texas.gov/pdf/focus/amend88.pdf" TargetMode="External" /><Relationship Type="http://schemas.openxmlformats.org/officeDocument/2006/relationships/hyperlink" Id="rId31" Target="https://leginfo.legislature.ca.gov/faces/codes_displayText.xhtml?amp%3Barticle=I&amp;lawCode=CONS" TargetMode="External" /><Relationship Type="http://schemas.openxmlformats.org/officeDocument/2006/relationships/hyperlink" Id="rId59" Target="https://statutes.capitol.texas.gov/" TargetMode="External" /><Relationship Type="http://schemas.openxmlformats.org/officeDocument/2006/relationships/hyperlink" Id="rId35" Target="https://statutes.capitol.texas.gov/GetStatute.aspx?Code=GV&amp;Value=2001" TargetMode="External" /><Relationship Type="http://schemas.openxmlformats.org/officeDocument/2006/relationships/hyperlink" Id="rId49" Target="https://uscode.house.gov/view.xhtml?edition=prelim&amp;num=0&amp;req=granuleid%3AUSC-prelim-title28-section2072" TargetMode="External" /><Relationship Type="http://schemas.openxmlformats.org/officeDocument/2006/relationships/hyperlink" Id="rId25" Target="https://uscode.house.gov/view.xhtml?edition=prelim&amp;num=0&amp;req=granuleid%3AUSC-prelim-title44-section1505" TargetMode="External" /><Relationship Type="http://schemas.openxmlformats.org/officeDocument/2006/relationships/hyperlink" Id="rId26" Target="https://uscode.house.gov/view.xhtml?edition=prelim&amp;num=0&amp;req=granuleid%3AUSC-prelim-title5-section553" TargetMode="External" /><Relationship Type="http://schemas.openxmlformats.org/officeDocument/2006/relationships/hyperlink" Id="rId29" Target="https://uscode.house.gov/view.xhtml?edition=prelim&amp;num=0&amp;req=granuleid%3AUSC-prelim-title5-section554" TargetMode="External" /><Relationship Type="http://schemas.openxmlformats.org/officeDocument/2006/relationships/hyperlink" Id="rId36" Target="https://uscode.house.gov/view.xhtml?edition=prelim&amp;num=0&amp;req=granuleid%3AUSC-prelim-title9-section2" TargetMode="External" /><Relationship Type="http://schemas.openxmlformats.org/officeDocument/2006/relationships/hyperlink" Id="rId50" Target="https://uscode.house.gov/view.xhtml?edition=prelim&amp;path=%2Fprelim%40title5%2Fpart1%2Fchapter7" TargetMode="External" /><Relationship Type="http://schemas.openxmlformats.org/officeDocument/2006/relationships/hyperlink" Id="rId52" Target="https://www.archives.nysed.gov/research/constitutions-and-constitional-conventions" TargetMode="External" /><Relationship Type="http://schemas.openxmlformats.org/officeDocument/2006/relationships/hyperlink" Id="rId28" Target="https://www.ecfr.gov/current/title-1/chapter-I/subchapter-E/part-19" TargetMode="External" /><Relationship Type="http://schemas.openxmlformats.org/officeDocument/2006/relationships/hyperlink" Id="rId57" Target="https://www.ecfr.gov/current/title-1/chapter-I/subchapter-E/part-21" TargetMode="External" /><Relationship Type="http://schemas.openxmlformats.org/officeDocument/2006/relationships/hyperlink" Id="rId27" Target="https://www.fjc.gov/history/cases/cases-that-shaped-the-federal-courts/erie-railroad-co-v-tompkins" TargetMode="External" /><Relationship Type="http://schemas.openxmlformats.org/officeDocument/2006/relationships/hyperlink" Id="rId54" Target="https://www.flsenate.gov/laws/constitution" TargetMode="External" /><Relationship Type="http://schemas.openxmlformats.org/officeDocument/2006/relationships/hyperlink" Id="rId56" Target="https://www.govinfo.gov/app/details/USREPORTS-318/USREPORTS-318-363" TargetMode="External" /><Relationship Type="http://schemas.openxmlformats.org/officeDocument/2006/relationships/hyperlink" Id="rId41" Target="https://www.govinfo.gov/app/details/USREPORTS-454/USREPORTS-454-370" TargetMode="External" /><Relationship Type="http://schemas.openxmlformats.org/officeDocument/2006/relationships/hyperlink" Id="rId34" Target="https://www.nysenate.gov/legislation/laws/CNS/A9S2/" TargetMode="External" /><Relationship Type="http://schemas.openxmlformats.org/officeDocument/2006/relationships/hyperlink" Id="rId32" Target="https://www.nysenate.gov/legislation/laws/SAP" TargetMode="External" /><Relationship Type="http://schemas.openxmlformats.org/officeDocument/2006/relationships/hyperlink" Id="rId58" Target="https://www.nysenate.gov/new-york-state-constitution" TargetMode="External" /><Relationship Type="http://schemas.openxmlformats.org/officeDocument/2006/relationships/hyperlink" Id="rId47" Target="https://www.sos.ca.gov/archives/collections/constitutions" TargetMode="External" /><Relationship Type="http://schemas.openxmlformats.org/officeDocument/2006/relationships/hyperlink" Id="rId42" Target="https://www.supremecourt.gov/opinions/23pdf/22-451_7m58.pdf" TargetMode="External" /></Relationships>
</file>

<file path=word/_rels/footnotes.xml.rels><?xml version="1.0" encoding="UTF-8"?><Relationships xmlns="http://schemas.openxmlformats.org/package/2006/relationships"><Relationship Type="http://schemas.openxmlformats.org/officeDocument/2006/relationships/hyperlink" Id="rId39" Target="https://constitution.congress.gov/browse/essay/artI-1/ALDE_00000242/" TargetMode="External" /><Relationship Type="http://schemas.openxmlformats.org/officeDocument/2006/relationships/hyperlink" Id="rId61" Target="https://constitution.congress.gov/browse/essay/artI-S1-5-1/ALDE_00000014/" TargetMode="External" /><Relationship Type="http://schemas.openxmlformats.org/officeDocument/2006/relationships/hyperlink" Id="rId22" Target="https://constitution.congress.gov/browse/essay/artII-S2-C2-1-4/ALDE_00012955/%5B%27Article%27%2C%20%272d%27%2C%20%27Section%27%2C%20%272d%27%2C%20%27Clause%27%2C%20%272%27%5D" TargetMode="External" /><Relationship Type="http://schemas.openxmlformats.org/officeDocument/2006/relationships/hyperlink" Id="rId43" Target="https://constitution.congress.gov/browse/essay/artII-S2-C2-1-7/ALDE_00012958/" TargetMode="External" /><Relationship Type="http://schemas.openxmlformats.org/officeDocument/2006/relationships/hyperlink" Id="rId40" Target="https://constitution.congress.gov/browse/essay/artIII-S2-C1-16-7/ALDE_00013247/?utm_source=chatgpt.com" TargetMode="External" /><Relationship Type="http://schemas.openxmlformats.org/officeDocument/2006/relationships/hyperlink" Id="rId23" Target="https://constitution.congress.gov/browse/essay/artVI-C2-1/ALDE_00013395/" TargetMode="External" /><Relationship Type="http://schemas.openxmlformats.org/officeDocument/2006/relationships/hyperlink" Id="rId21" Target="https://constitution.congress.gov/constitution/article-1/" TargetMode="External" /><Relationship Type="http://schemas.openxmlformats.org/officeDocument/2006/relationships/hyperlink" Id="rId46" Target="https://constitution.congress.gov/constitution/article-2/" TargetMode="External" /><Relationship Type="http://schemas.openxmlformats.org/officeDocument/2006/relationships/hyperlink" Id="rId45" Target="https://constitution.congress.gov/constitution/article-3/" TargetMode="External" /><Relationship Type="http://schemas.openxmlformats.org/officeDocument/2006/relationships/hyperlink" Id="rId33" Target="https://dos.ny.gov/rules-and-regulations" TargetMode="External" /><Relationship Type="http://schemas.openxmlformats.org/officeDocument/2006/relationships/hyperlink" Id="rId53" Target="https://hro.house.texas.gov/pdf/focus/amend88.pdf" TargetMode="External" /><Relationship Type="http://schemas.openxmlformats.org/officeDocument/2006/relationships/hyperlink" Id="rId31" Target="https://leginfo.legislature.ca.gov/faces/codes_displayText.xhtml?amp%3Barticle=I&amp;lawCode=CONS" TargetMode="External" /><Relationship Type="http://schemas.openxmlformats.org/officeDocument/2006/relationships/hyperlink" Id="rId59" Target="https://statutes.capitol.texas.gov/" TargetMode="External" /><Relationship Type="http://schemas.openxmlformats.org/officeDocument/2006/relationships/hyperlink" Id="rId35" Target="https://statutes.capitol.texas.gov/GetStatute.aspx?Code=GV&amp;Value=2001" TargetMode="External" /><Relationship Type="http://schemas.openxmlformats.org/officeDocument/2006/relationships/hyperlink" Id="rId49" Target="https://uscode.house.gov/view.xhtml?edition=prelim&amp;num=0&amp;req=granuleid%3AUSC-prelim-title28-section2072" TargetMode="External" /><Relationship Type="http://schemas.openxmlformats.org/officeDocument/2006/relationships/hyperlink" Id="rId25" Target="https://uscode.house.gov/view.xhtml?edition=prelim&amp;num=0&amp;req=granuleid%3AUSC-prelim-title44-section1505" TargetMode="External" /><Relationship Type="http://schemas.openxmlformats.org/officeDocument/2006/relationships/hyperlink" Id="rId26" Target="https://uscode.house.gov/view.xhtml?edition=prelim&amp;num=0&amp;req=granuleid%3AUSC-prelim-title5-section553" TargetMode="External" /><Relationship Type="http://schemas.openxmlformats.org/officeDocument/2006/relationships/hyperlink" Id="rId29" Target="https://uscode.house.gov/view.xhtml?edition=prelim&amp;num=0&amp;req=granuleid%3AUSC-prelim-title5-section554" TargetMode="External" /><Relationship Type="http://schemas.openxmlformats.org/officeDocument/2006/relationships/hyperlink" Id="rId36" Target="https://uscode.house.gov/view.xhtml?edition=prelim&amp;num=0&amp;req=granuleid%3AUSC-prelim-title9-section2" TargetMode="External" /><Relationship Type="http://schemas.openxmlformats.org/officeDocument/2006/relationships/hyperlink" Id="rId50" Target="https://uscode.house.gov/view.xhtml?edition=prelim&amp;path=%2Fprelim%40title5%2Fpart1%2Fchapter7" TargetMode="External" /><Relationship Type="http://schemas.openxmlformats.org/officeDocument/2006/relationships/hyperlink" Id="rId52" Target="https://www.archives.nysed.gov/research/constitutions-and-constitional-conventions" TargetMode="External" /><Relationship Type="http://schemas.openxmlformats.org/officeDocument/2006/relationships/hyperlink" Id="rId28" Target="https://www.ecfr.gov/current/title-1/chapter-I/subchapter-E/part-19" TargetMode="External" /><Relationship Type="http://schemas.openxmlformats.org/officeDocument/2006/relationships/hyperlink" Id="rId57" Target="https://www.ecfr.gov/current/title-1/chapter-I/subchapter-E/part-21" TargetMode="External" /><Relationship Type="http://schemas.openxmlformats.org/officeDocument/2006/relationships/hyperlink" Id="rId27" Target="https://www.fjc.gov/history/cases/cases-that-shaped-the-federal-courts/erie-railroad-co-v-tompkins" TargetMode="External" /><Relationship Type="http://schemas.openxmlformats.org/officeDocument/2006/relationships/hyperlink" Id="rId54" Target="https://www.flsenate.gov/laws/constitution" TargetMode="External" /><Relationship Type="http://schemas.openxmlformats.org/officeDocument/2006/relationships/hyperlink" Id="rId56" Target="https://www.govinfo.gov/app/details/USREPORTS-318/USREPORTS-318-363" TargetMode="External" /><Relationship Type="http://schemas.openxmlformats.org/officeDocument/2006/relationships/hyperlink" Id="rId41" Target="https://www.govinfo.gov/app/details/USREPORTS-454/USREPORTS-454-370" TargetMode="External" /><Relationship Type="http://schemas.openxmlformats.org/officeDocument/2006/relationships/hyperlink" Id="rId34" Target="https://www.nysenate.gov/legislation/laws/CNS/A9S2/" TargetMode="External" /><Relationship Type="http://schemas.openxmlformats.org/officeDocument/2006/relationships/hyperlink" Id="rId32" Target="https://www.nysenate.gov/legislation/laws/SAP" TargetMode="External" /><Relationship Type="http://schemas.openxmlformats.org/officeDocument/2006/relationships/hyperlink" Id="rId58" Target="https://www.nysenate.gov/new-york-state-constitution" TargetMode="External" /><Relationship Type="http://schemas.openxmlformats.org/officeDocument/2006/relationships/hyperlink" Id="rId47" Target="https://www.sos.ca.gov/archives/collections/constitutions" TargetMode="External" /><Relationship Type="http://schemas.openxmlformats.org/officeDocument/2006/relationships/hyperlink" Id="rId42" Target="https://www.supremecourt.gov/opinions/23pdf/22-451_7m5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2026-04-27T22:25:00Z</dcterms:created>
  <dcterms:modified xsi:type="dcterms:W3CDTF">2026-04-27T22:25:00Z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