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f5a49ecb1c9178d877ba3e1424794735324f1f7"/>
    <w:p>
      <w:pPr>
        <w:pStyle w:val="Heading1"/>
      </w:pPr>
      <w:r>
        <w:t xml:space="preserve">Judges in the Judicial Process of the United States</w:t>
      </w:r>
      <w:hyperlink r:id="rId21">
        <w:r>
          <w:rPr>
            <w:rStyle w:val="Hyperlink"/>
          </w:rPr>
          <w:t xml:space="preserve">[1]</w:t>
        </w:r>
      </w:hyperlink>
    </w:p>
    <w:bookmarkStart w:id="27" w:name="executive-summary"/>
    <w:p>
      <w:pPr>
        <w:pStyle w:val="Heading2"/>
      </w:pPr>
      <w:r>
        <w:t xml:space="preserve">Executive Summary</w:t>
      </w:r>
    </w:p>
    <w:p>
      <w:pPr>
        <w:pStyle w:val="FirstParagraph"/>
      </w:pPr>
      <w:r>
        <w:t xml:space="preserve">In the American system, “judge” is not a single office. At the federal level, the Constitution vests the judicial power in one Supreme Court and whatever lower federal courts Congress creates, while Congress and the judiciary have also created or authorized additional judicial officers such as bankruptcy judges and magistrate judges. States, by contrast, build their own court systems under state constitutions and statutes, so the structure, titles, and powers of judges differ materially from one jurisdiction to another.</w:t>
      </w:r>
      <w:r>
        <w:t xml:space="preserve"> </w:t>
      </w:r>
      <w:hyperlink r:id="rId22">
        <w:r>
          <w:rPr>
            <w:rStyle w:val="Hyperlink"/>
          </w:rPr>
          <w:t xml:space="preserve">[2]</w:t>
        </w:r>
      </w:hyperlink>
    </w:p>
    <w:p>
      <w:pPr>
        <w:pStyle w:val="BodyText"/>
      </w:pPr>
      <w:r>
        <w:t xml:space="preserve">The single clearest divide is between federal Article III judges and everyone else. Justices of the Supreme Court and federal circuit and district judges receive life tenure during “good Behaviour” and salary protection against diminution while in office. Bankruptcy judges, magistrate judges, and administrative law judges do not. Bankruptcy judges serve renewable 14-year terms, magistrate judges serve renewable 8-year full-time terms (4-year part-time terms), and federal administrative law judges are executive-branch adjudicators appointed under statute, protected from removal except for good cause found after prescribed procedures.</w:t>
      </w:r>
      <w:r>
        <w:t xml:space="preserve"> </w:t>
      </w:r>
      <w:hyperlink r:id="rId23">
        <w:r>
          <w:rPr>
            <w:rStyle w:val="Hyperlink"/>
          </w:rPr>
          <w:t xml:space="preserve">[3]</w:t>
        </w:r>
      </w:hyperlink>
    </w:p>
    <w:p>
      <w:pPr>
        <w:pStyle w:val="BodyText"/>
      </w:pPr>
      <w:r>
        <w:t xml:space="preserve">How judges obtain office is likewise bifurcated. Federal Article III judges are nominated by the President and confirmed by the Senate; the Senate Judiciary Committee is the gatekeeping committee for Article III nominations. State systems are radically more varied. Some states use partisan or nonpartisan elections, some use commission-based merit selection followed by retention elections, some use gubernatorial appointment with little or no public vote, and a few use legislative election. Because the user did not specify a state, the state discussion below is expressly representative rather than exhaustive for every court in every state.</w:t>
      </w:r>
      <w:r>
        <w:t xml:space="preserve"> </w:t>
      </w:r>
      <w:hyperlink r:id="rId24">
        <w:r>
          <w:rPr>
            <w:rStyle w:val="Hyperlink"/>
          </w:rPr>
          <w:t xml:space="preserve">[4]</w:t>
        </w:r>
      </w:hyperlink>
    </w:p>
    <w:p>
      <w:pPr>
        <w:pStyle w:val="BodyText"/>
      </w:pPr>
      <w:r>
        <w:t xml:space="preserve">Judicial power is broad but not unlimited. Judges decide cases within jurisdiction, interpret constitutions and statutes, sentence criminal defendants, manage proceedings, issue remedies, punish contempt, and participate in rulemaking and court administration. But every one of those powers is constrained by jurisdictional limits, appellate review, statutory design, ethics rules, recusal requirements, budgetary and structural controls by the political branches, and—especially in the states—selection systems that can expose judges to electoral or partisan pressure. Landmark cases such as</w:t>
      </w:r>
      <w:r>
        <w:t xml:space="preserve"> </w:t>
      </w:r>
      <w:r>
        <w:rPr>
          <w:i/>
          <w:iCs/>
        </w:rPr>
        <w:t xml:space="preserve">Marbury v. Madison</w:t>
      </w:r>
      <w:r>
        <w:t xml:space="preserve">,</w:t>
      </w:r>
      <w:r>
        <w:t xml:space="preserve"> </w:t>
      </w:r>
      <w:r>
        <w:rPr>
          <w:i/>
          <w:iCs/>
        </w:rPr>
        <w:t xml:space="preserve">Martin v. Hunter’s Lessee</w:t>
      </w:r>
      <w:r>
        <w:t xml:space="preserve">,</w:t>
      </w:r>
      <w:r>
        <w:t xml:space="preserve"> </w:t>
      </w:r>
      <w:r>
        <w:rPr>
          <w:i/>
          <w:iCs/>
        </w:rPr>
        <w:t xml:space="preserve">Cooper v. Aaron</w:t>
      </w:r>
      <w:r>
        <w:t xml:space="preserve">,</w:t>
      </w:r>
      <w:r>
        <w:t xml:space="preserve"> </w:t>
      </w:r>
      <w:r>
        <w:rPr>
          <w:i/>
          <w:iCs/>
        </w:rPr>
        <w:t xml:space="preserve">Mistretta v. United States</w:t>
      </w:r>
      <w:r>
        <w:t xml:space="preserve">,</w:t>
      </w:r>
      <w:r>
        <w:t xml:space="preserve"> </w:t>
      </w:r>
      <w:r>
        <w:rPr>
          <w:i/>
          <w:iCs/>
        </w:rPr>
        <w:t xml:space="preserve">United States v. Booker</w:t>
      </w:r>
      <w:r>
        <w:t xml:space="preserve">, and</w:t>
      </w:r>
      <w:r>
        <w:t xml:space="preserve"> </w:t>
      </w:r>
      <w:r>
        <w:rPr>
          <w:i/>
          <w:iCs/>
        </w:rPr>
        <w:t xml:space="preserve">Lucia v. SEC</w:t>
      </w:r>
      <w:r>
        <w:t xml:space="preserve"> </w:t>
      </w:r>
      <w:r>
        <w:t xml:space="preserve">illustrate the boundaries and reach of judicial authority.</w:t>
      </w:r>
      <w:r>
        <w:t xml:space="preserve"> </w:t>
      </w:r>
      <w:hyperlink r:id="rId25">
        <w:r>
          <w:rPr>
            <w:rStyle w:val="Hyperlink"/>
          </w:rPr>
          <w:t xml:space="preserve">[5]</w:t>
        </w:r>
      </w:hyperlink>
    </w:p>
    <w:p>
      <w:pPr>
        <w:pStyle w:val="BodyText"/>
      </w:pPr>
      <w:r>
        <w:t xml:space="preserve">Current federal judicial pay is comparatively easy to state because the Administrative Office of the U.S. Courts publishes a single national salary table: in 2026, district judges earn $249,900, circuit judges $264,900, Associate Justices $306,600, and the Chief Justice $320,700. Current 2026 public notices list both bankruptcy judges and full-time magistrate judges at $229,908. State pay, by contrast, varies widely by court level, state budget cycle, supplements, locality, and years of service. Representative recent figures reviewed for this report range from a Texas district-judge base salary of $175,000 to Arizona superior-court judges at $200,000 and Virginia circuit judges at $220,254; Florida’s reviewed itemized figures were for FY 2024–25, with a later 2 percent increase announced for July 1, 2025, but not itemized in the source reviewed.</w:t>
      </w:r>
      <w:r>
        <w:t xml:space="preserve"> </w:t>
      </w:r>
      <w:hyperlink r:id="rId26">
        <w:r>
          <w:rPr>
            <w:rStyle w:val="Hyperlink"/>
          </w:rPr>
          <w:t xml:space="preserve">[6]</w:t>
        </w:r>
      </w:hyperlink>
    </w:p>
    <w:bookmarkEnd w:id="27"/>
    <w:bookmarkStart w:id="33" w:name="institutional-structure-and-roles"/>
    <w:p>
      <w:pPr>
        <w:pStyle w:val="Heading2"/>
      </w:pPr>
      <w:r>
        <w:t xml:space="preserve">Institutional Structure and Roles</w:t>
      </w:r>
    </w:p>
    <w:p>
      <w:pPr>
        <w:pStyle w:val="FirstParagraph"/>
      </w:pPr>
      <w:r>
        <w:t xml:space="preserve">At the federal level, Article III creates the Supreme Court and authorizes Congress to establish lower courts. The modern federal judiciary consists of the Supreme Court of the United States</w:t>
      </w:r>
      <w:hyperlink r:id="rId28">
        <w:r>
          <w:rPr>
            <w:rStyle w:val="Hyperlink"/>
          </w:rPr>
          <w:t xml:space="preserve">[7]</w:t>
        </w:r>
      </w:hyperlink>
      <w:r>
        <w:t xml:space="preserve">, 13 courts of appeals, 94 district courts, and 90 bankruptcy courts. In functional terms, district judges are the core federal trial judges; circuit judges review district-court and many agency decisions; and Supreme Court justices exercise limited original jurisdiction and broader appellate jurisdiction. Congress also creates judgeships by statute, which means the number of federal judges is itself a product of legislative choice rather than constitutional self-definition.</w:t>
      </w:r>
      <w:r>
        <w:t xml:space="preserve"> </w:t>
      </w:r>
      <w:hyperlink r:id="rId22">
        <w:r>
          <w:rPr>
            <w:rStyle w:val="Hyperlink"/>
          </w:rPr>
          <w:t xml:space="preserve">[8]</w:t>
        </w:r>
      </w:hyperlink>
    </w:p>
    <w:p>
      <w:pPr>
        <w:pStyle w:val="BodyText"/>
      </w:pPr>
      <w:r>
        <w:t xml:space="preserve">State systems are structurally different. State constitutions and statutes create state courts; in many states the basic architecture is a general-jurisdiction trial court, an intermediate court of appeals, and a court of last resort, but that architecture is not universal and specialized courts are common. Official state court descriptions from Virginia, California, Florida, Arizona, and Texas all show different mixes of statewide courts, local trial courts, appellate layers, and specialized judicial officers. That variety is why “how state judges work” is not a single national answer.</w:t>
      </w:r>
      <w:r>
        <w:t xml:space="preserve"> </w:t>
      </w:r>
      <w:hyperlink r:id="rId29">
        <w:r>
          <w:rPr>
            <w:rStyle w:val="Hyperlink"/>
          </w:rPr>
          <w:t xml:space="preserve">[9]</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Federal baseline</w:t>
            </w:r>
          </w:p>
        </w:tc>
        <w:tc>
          <w:tcPr/>
          <w:p>
            <w:pPr>
              <w:pStyle w:val="Compact"/>
            </w:pPr>
            <w:r>
              <w:t xml:space="preserve">State baseline</w:t>
            </w:r>
          </w:p>
        </w:tc>
        <w:tc>
          <w:tcPr/>
          <w:p>
            <w:pPr>
              <w:pStyle w:val="Compact"/>
            </w:pPr>
            <w:r>
              <w:t xml:space="preserve">Authorities</w:t>
            </w:r>
          </w:p>
        </w:tc>
      </w:tr>
      <w:tr>
        <w:tc>
          <w:tcPr/>
          <w:p>
            <w:pPr>
              <w:pStyle w:val="Compact"/>
            </w:pPr>
            <w:r>
              <w:t xml:space="preserve">Source of authority</w:t>
            </w:r>
          </w:p>
        </w:tc>
        <w:tc>
          <w:tcPr/>
          <w:p>
            <w:pPr>
              <w:pStyle w:val="Compact"/>
            </w:pPr>
            <w:r>
              <w:t xml:space="preserve">Article III vests judicial power and authorizes Congress to create lower courts.</w:t>
            </w:r>
          </w:p>
        </w:tc>
        <w:tc>
          <w:tcPr/>
          <w:p>
            <w:pPr>
              <w:pStyle w:val="Compact"/>
            </w:pPr>
            <w:r>
              <w:t xml:space="preserve">State constitutions and statutes create and organize state courts.</w:t>
            </w:r>
          </w:p>
        </w:tc>
        <w:tc>
          <w:tcPr/>
          <w:p>
            <w:pPr>
              <w:pStyle w:val="Compact"/>
            </w:pPr>
            <w:hyperlink r:id="rId22">
              <w:r>
                <w:rPr>
                  <w:rStyle w:val="Hyperlink"/>
                </w:rPr>
                <w:t xml:space="preserve">[10]</w:t>
              </w:r>
            </w:hyperlink>
          </w:p>
        </w:tc>
      </w:tr>
      <w:tr>
        <w:tc>
          <w:tcPr/>
          <w:p>
            <w:pPr>
              <w:pStyle w:val="Compact"/>
            </w:pPr>
            <w:r>
              <w:t xml:space="preserve">Core adjudicators</w:t>
            </w:r>
          </w:p>
        </w:tc>
        <w:tc>
          <w:tcPr/>
          <w:p>
            <w:pPr>
              <w:pStyle w:val="Compact"/>
            </w:pPr>
            <w:r>
              <w:t xml:space="preserve">Supreme Court justices, circuit judges, district judges; plus bankruptcy and magistrate judges as non-Article III judicial officers.</w:t>
            </w:r>
          </w:p>
        </w:tc>
        <w:tc>
          <w:tcPr/>
          <w:p>
            <w:pPr>
              <w:pStyle w:val="Compact"/>
            </w:pPr>
            <w:r>
              <w:t xml:space="preserve">Trial judges, intermediate appellate judges, court-of-last-resort justices, plus state-specific local and specialized judges.</w:t>
            </w:r>
          </w:p>
        </w:tc>
        <w:tc>
          <w:tcPr/>
          <w:p>
            <w:pPr>
              <w:pStyle w:val="Compact"/>
            </w:pPr>
            <w:hyperlink r:id="rId30">
              <w:r>
                <w:rPr>
                  <w:rStyle w:val="Hyperlink"/>
                </w:rPr>
                <w:t xml:space="preserve">[11]</w:t>
              </w:r>
            </w:hyperlink>
          </w:p>
        </w:tc>
      </w:tr>
      <w:tr>
        <w:tc>
          <w:tcPr/>
          <w:p>
            <w:pPr>
              <w:pStyle w:val="Compact"/>
            </w:pPr>
            <w:r>
              <w:t xml:space="preserve">Geographic uniformity</w:t>
            </w:r>
          </w:p>
        </w:tc>
        <w:tc>
          <w:tcPr/>
          <w:p>
            <w:pPr>
              <w:pStyle w:val="Compact"/>
            </w:pPr>
            <w:r>
              <w:t xml:space="preserve">Highly standardized nationally.</w:t>
            </w:r>
          </w:p>
        </w:tc>
        <w:tc>
          <w:tcPr/>
          <w:p>
            <w:pPr>
              <w:pStyle w:val="Compact"/>
            </w:pPr>
            <w:r>
              <w:t xml:space="preserve">Strongly variable by state and often by court level within a state.</w:t>
            </w:r>
          </w:p>
        </w:tc>
        <w:tc>
          <w:tcPr/>
          <w:p>
            <w:pPr>
              <w:pStyle w:val="Compact"/>
            </w:pPr>
            <w:hyperlink r:id="rId31">
              <w:r>
                <w:rPr>
                  <w:rStyle w:val="Hyperlink"/>
                </w:rPr>
                <w:t xml:space="preserve">[12]</w:t>
              </w:r>
            </w:hyperlink>
          </w:p>
        </w:tc>
      </w:tr>
      <w:tr>
        <w:tc>
          <w:tcPr/>
          <w:p>
            <w:pPr>
              <w:pStyle w:val="Compact"/>
            </w:pPr>
            <w:r>
              <w:t xml:space="preserve">Administrative governance</w:t>
            </w:r>
          </w:p>
        </w:tc>
        <w:tc>
          <w:tcPr/>
          <w:p>
            <w:pPr>
              <w:pStyle w:val="Compact"/>
            </w:pPr>
            <w:r>
              <w:t xml:space="preserve">National policy is set by the Judicial Conference of the United States</w:t>
            </w:r>
            <w:hyperlink r:id="rId32">
              <w:r>
                <w:rPr>
                  <w:rStyle w:val="Hyperlink"/>
                </w:rPr>
                <w:t xml:space="preserve">[13]</w:t>
              </w:r>
            </w:hyperlink>
            <w:r>
              <w:t xml:space="preserve">, chaired by the Chief Justice.</w:t>
            </w:r>
          </w:p>
        </w:tc>
        <w:tc>
          <w:tcPr/>
          <w:p>
            <w:pPr>
              <w:pStyle w:val="Compact"/>
            </w:pPr>
            <w:r>
              <w:t xml:space="preserve">State supreme courts, judicial councils, and court administrators usually supervise state administration, but models differ.</w:t>
            </w:r>
          </w:p>
        </w:tc>
        <w:tc>
          <w:tcPr/>
          <w:p>
            <w:pPr>
              <w:pStyle w:val="Compact"/>
            </w:pPr>
            <w:hyperlink r:id="rId32">
              <w:r>
                <w:rPr>
                  <w:rStyle w:val="Hyperlink"/>
                </w:rPr>
                <w:t xml:space="preserve">[14]</w:t>
              </w:r>
            </w:hyperlink>
          </w:p>
        </w:tc>
      </w:tr>
      <w:tr>
        <w:tc>
          <w:tcPr/>
          <w:p>
            <w:pPr>
              <w:pStyle w:val="Compact"/>
            </w:pPr>
            <w:r>
              <w:t xml:space="preserve">Removal and discipline</w:t>
            </w:r>
          </w:p>
        </w:tc>
        <w:tc>
          <w:tcPr/>
          <w:p>
            <w:pPr>
              <w:pStyle w:val="Compact"/>
            </w:pPr>
            <w:r>
              <w:t xml:space="preserve">Article III judges: impeachment only for removal; misconduct complaints also exist. Bankruptcy and magistrate judges are removable under statute.</w:t>
            </w:r>
          </w:p>
        </w:tc>
        <w:tc>
          <w:tcPr/>
          <w:p>
            <w:pPr>
              <w:pStyle w:val="Compact"/>
            </w:pPr>
            <w:r>
              <w:t xml:space="preserve">States generally combine impeachment with judicial discipline commissions; some also allow recall or legislative non-reappointment.</w:t>
            </w:r>
          </w:p>
        </w:tc>
        <w:tc>
          <w:tcPr/>
          <w:p>
            <w:pPr>
              <w:pStyle w:val="Compact"/>
            </w:pPr>
            <w:hyperlink r:id="rId32">
              <w:r>
                <w:rPr>
                  <w:rStyle w:val="Hyperlink"/>
                </w:rPr>
                <w:t xml:space="preserve">[15]</w:t>
              </w:r>
            </w:hyperlink>
          </w:p>
        </w:tc>
      </w:tr>
    </w:tbl>
    <w:bookmarkEnd w:id="33"/>
    <w:bookmarkStart w:id="35" w:name="types-of-judges-and-state-equivalents"/>
    <w:p>
      <w:pPr>
        <w:pStyle w:val="Heading2"/>
      </w:pPr>
      <w:r>
        <w:t xml:space="preserve">Types of Judges and State Equivalents</w:t>
      </w:r>
    </w:p>
    <w:p>
      <w:pPr>
        <w:pStyle w:val="FirstParagraph"/>
      </w:pPr>
      <w:r>
        <w:t xml:space="preserve">The main federal judicial types are easier to define than their state counterparts because federal law uses fixed categories. District judges are trial judges who supervise pretrial proceedings, preside over civil and criminal trials, rule on evidence, accept pleas, enter judgments, and sentence convicted defendants. Circuit judges sit chiefly in three-judge panels and determine whether law was correctly applied below. Supreme Court justices sit on the nation’s highest court, with original jurisdiction in a small set of cases and appellate jurisdiction more broadly as conferred by statute.</w:t>
      </w:r>
      <w:r>
        <w:t xml:space="preserve"> </w:t>
      </w:r>
      <w:hyperlink r:id="rId30">
        <w:r>
          <w:rPr>
            <w:rStyle w:val="Hyperlink"/>
          </w:rPr>
          <w:t xml:space="preserve">[16]</w:t>
        </w:r>
      </w:hyperlink>
    </w:p>
    <w:p>
      <w:pPr>
        <w:pStyle w:val="BodyText"/>
      </w:pPr>
      <w:r>
        <w:t xml:space="preserve">Magistrate judges are federal district-court judicial officers, not Article III judges. They issue warrants, handle initial appearances and arraignments, conduct many pretrial proceedings, try petty offenses on federal lands, and may try some misdemeanors and civil cases with the parties’ consent. Bankruptcy judges are also non-Article III judicial officers of the district court, appointed by the courts of appeals to preside exclusively over bankruptcy cases. Administrative law judges are still further removed from Article III status: they sit in the executive branch, are appointed under 5 U.S.C. § 3105, and are protected by distinct removal procedures under 5 U.S.C. § 7521. For at least some agency ALJs, the Supreme Court has held that they are “Officers of the United States” for Appointments Clause purposes.</w:t>
      </w:r>
      <w:r>
        <w:t xml:space="preserve"> </w:t>
      </w:r>
      <w:hyperlink r:id="rId30">
        <w:r>
          <w:rPr>
            <w:rStyle w:val="Hyperlink"/>
          </w:rPr>
          <w:t xml:space="preserve">[17]</w:t>
        </w:r>
      </w:hyperlink>
    </w:p>
    <w:p>
      <w:pPr>
        <w:pStyle w:val="BodyText"/>
      </w:pPr>
      <w:r>
        <w:t xml:space="preserve">State equivalents exist, but often only approximately. The closest state equivalents to federal district judges are general-jurisdiction trial judges; the closest equivalents to federal circuit judges are judges on intermediate appellate courts; and the closest equivalents to Supreme Court justices are state high-court justices. State “magistrates,” “justices of the peace,” “commissioners,” “referees,” and similar officers may resemble federal magistrate judges in handling warrants, bail, misdemeanors, or preliminary matters, but the nomenclature and exact powers vary sharply. Bankruptcy has no true state equivalent because bankruptcy adjudication is federal; state systems instead have related specialists in probate, commercial, debtor-creditor, or receivership matters. State administrative adjudication likewise often uses executive-branch ALJs or hearing officers rather than constitutional judges.</w:t>
      </w:r>
      <w:r>
        <w:t xml:space="preserve"> </w:t>
      </w:r>
      <w:hyperlink r:id="rId29">
        <w:r>
          <w:rPr>
            <w:rStyle w:val="Hyperlink"/>
          </w:rPr>
          <w:t xml:space="preserve">[18]</w:t>
        </w:r>
      </w:hyperlink>
    </w:p>
    <w:p>
      <w:pPr>
        <w:pStyle w:val="BodyText"/>
      </w:pPr>
      <w:r>
        <w:t xml:space="preserve">Federal administrative law judges are also paid differently from Article III judges and federal judicial officers. Under the 2026 OPM ALJ pay schedule, basic pay runs from $131,700 to $197,200, with locality-adjusted rates capped at $209,600. That salary structure itself underscores the point that ALJs are not part of the Article III salary system.</w:t>
      </w:r>
      <w:r>
        <w:t xml:space="preserve"> </w:t>
      </w:r>
      <w:hyperlink r:id="rId34">
        <w:r>
          <w:rPr>
            <w:rStyle w:val="Hyperlink"/>
          </w:rPr>
          <w:t xml:space="preserve">[19]</w:t>
        </w:r>
      </w:hyperlink>
    </w:p>
    <w:bookmarkEnd w:id="35"/>
    <w:bookmarkStart w:id="47" w:name="pathways-to-the-bench"/>
    <w:p>
      <w:pPr>
        <w:pStyle w:val="Heading2"/>
      </w:pPr>
      <w:r>
        <w:t xml:space="preserve">Pathways to the Bench</w:t>
      </w:r>
    </w:p>
    <w:p>
      <w:pPr>
        <w:pStyle w:val="FirstParagraph"/>
      </w:pPr>
      <w:r>
        <w:t xml:space="preserve">For federal Article III judgeships, the constitutional rule is simple: the President nominates and, with the Senate’s advice and consent, appoints. In practice, the steps are more layered. First, a vacancy exists in a judgeship Congress has created. Second, the President selects a nominee and formally sends the nomination to the Senate. Third, the nomination is referred to the United States Senate Committee on the Judiciary</w:t>
      </w:r>
      <w:hyperlink r:id="rId26">
        <w:r>
          <w:rPr>
            <w:rStyle w:val="Hyperlink"/>
          </w:rPr>
          <w:t xml:space="preserve">[20]</w:t>
        </w:r>
      </w:hyperlink>
      <w:r>
        <w:t xml:space="preserve">, the committee charged with Article III nominations. Fourth, the committee gathers written materials, typically including a detailed public questionnaire, and may hold a public hearing. Fifth, the committee may vote in executive business meeting to report or not report the nomination. Sixth, the nomination proceeds to the floor of the United States Senate</w:t>
      </w:r>
      <w:hyperlink r:id="rId36">
        <w:r>
          <w:rPr>
            <w:rStyle w:val="Hyperlink"/>
          </w:rPr>
          <w:t xml:space="preserve">[21]</w:t>
        </w:r>
      </w:hyperlink>
      <w:r>
        <w:t xml:space="preserve"> </w:t>
      </w:r>
      <w:r>
        <w:t xml:space="preserve">for debate and a confirmation vote. Under current Senate precedents, debate on nominations can be ended by a simple majority, and in most cases a simple majority confirms. Seventh, after confirmation, the appointment is completed through the constitutional appointment process and the judge assumes office after the required formalities.</w:t>
      </w:r>
      <w:r>
        <w:t xml:space="preserve"> </w:t>
      </w:r>
      <w:hyperlink r:id="rId24">
        <w:r>
          <w:rPr>
            <w:rStyle w:val="Hyperlink"/>
          </w:rPr>
          <w:t xml:space="preserve">[22]</w:t>
        </w:r>
      </w:hyperlink>
    </w:p>
    <w:p>
      <w:pPr>
        <w:pStyle w:val="SourceCode"/>
      </w:pPr>
      <w:r>
        <w:rPr>
          <w:rStyle w:val="VerbatimChar"/>
        </w:rPr>
        <w:t xml:space="preserve">flowchart LR</w:t>
      </w:r>
      <w:r>
        <w:br/>
      </w:r>
      <w:r>
        <w:rPr>
          <w:rStyle w:val="VerbatimChar"/>
        </w:rPr>
        <w:t xml:space="preserve">    A[Vacancy in an authorized judgeship] --&gt; B[President selects nominee]</w:t>
      </w:r>
      <w:r>
        <w:br/>
      </w:r>
      <w:r>
        <w:rPr>
          <w:rStyle w:val="VerbatimChar"/>
        </w:rPr>
        <w:t xml:space="preserve">    B --&gt; C[Nomination sent to Senate]</w:t>
      </w:r>
      <w:r>
        <w:br/>
      </w:r>
      <w:r>
        <w:rPr>
          <w:rStyle w:val="VerbatimChar"/>
        </w:rPr>
        <w:t xml:space="preserve">    C --&gt; D[Referral to Senate Judiciary Committee]</w:t>
      </w:r>
      <w:r>
        <w:br/>
      </w:r>
      <w:r>
        <w:rPr>
          <w:rStyle w:val="VerbatimChar"/>
        </w:rPr>
        <w:t xml:space="preserve">    D --&gt; E[Questionnaire, background review, and possible hearing]</w:t>
      </w:r>
      <w:r>
        <w:br/>
      </w:r>
      <w:r>
        <w:rPr>
          <w:rStyle w:val="VerbatimChar"/>
        </w:rPr>
        <w:t xml:space="preserve">    E --&gt; F[Committee executive business meeting and vote]</w:t>
      </w:r>
      <w:r>
        <w:br/>
      </w:r>
      <w:r>
        <w:rPr>
          <w:rStyle w:val="VerbatimChar"/>
        </w:rPr>
        <w:t xml:space="preserve">    F --&gt; G[Placed on Senate Executive Calendar]</w:t>
      </w:r>
      <w:r>
        <w:br/>
      </w:r>
      <w:r>
        <w:rPr>
          <w:rStyle w:val="VerbatimChar"/>
        </w:rPr>
        <w:t xml:space="preserve">    G --&gt; H[Floor debate and, if needed, cloture by simple majority]</w:t>
      </w:r>
      <w:r>
        <w:br/>
      </w:r>
      <w:r>
        <w:rPr>
          <w:rStyle w:val="VerbatimChar"/>
        </w:rPr>
        <w:t xml:space="preserve">    H --&gt; I[Senate confirmation by simple majority]</w:t>
      </w:r>
      <w:r>
        <w:br/>
      </w:r>
      <w:r>
        <w:rPr>
          <w:rStyle w:val="VerbatimChar"/>
        </w:rPr>
        <w:t xml:space="preserve">    I --&gt; J[Appointment completed and oath taken]</w:t>
      </w:r>
    </w:p>
    <w:p>
      <w:pPr>
        <w:pStyle w:val="FirstParagraph"/>
      </w:pPr>
      <w:r>
        <w:t xml:space="preserve">The modern floor phase is politically consequential. CRS identifies party control, the number of vacancies, the Senate calendar, support from home-state senators, and the committee’s blue-slip practice as factors that materially affect whether nominees advance. That means the constitutional process is stable, but the speed and ease of confirmation are not.</w:t>
      </w:r>
      <w:r>
        <w:t xml:space="preserve"> </w:t>
      </w:r>
      <w:hyperlink r:id="rId37">
        <w:r>
          <w:rPr>
            <w:rStyle w:val="Hyperlink"/>
          </w:rPr>
          <w:t xml:space="preserve">[23]</w:t>
        </w:r>
      </w:hyperlink>
    </w:p>
    <w:p>
      <w:pPr>
        <w:pStyle w:val="BodyText"/>
      </w:pPr>
      <w:r>
        <w:t xml:space="preserve">State processes are not uniform. Because no specific state was identified, the table below gives representative state models rather than pretending there is one “state process.”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Representative jurisdiction</w:t>
            </w:r>
          </w:p>
        </w:tc>
        <w:tc>
          <w:tcPr/>
          <w:p>
            <w:pPr>
              <w:pStyle w:val="Compact"/>
            </w:pPr>
            <w:r>
              <w:t xml:space="preserve">Core procedure</w:t>
            </w:r>
          </w:p>
        </w:tc>
        <w:tc>
          <w:tcPr/>
          <w:p>
            <w:pPr>
              <w:pStyle w:val="Compact"/>
            </w:pPr>
            <w:r>
              <w:t xml:space="preserve">Typical reselection / term pattern</w:t>
            </w:r>
          </w:p>
        </w:tc>
        <w:tc>
          <w:tcPr/>
          <w:p>
            <w:pPr>
              <w:pStyle w:val="Compact"/>
            </w:pPr>
            <w:r>
              <w:t xml:space="preserve">Sources</w:t>
            </w:r>
          </w:p>
        </w:tc>
      </w:tr>
      <w:tr>
        <w:tc>
          <w:tcPr/>
          <w:p>
            <w:pPr>
              <w:pStyle w:val="Compact"/>
            </w:pPr>
            <w:r>
              <w:t xml:space="preserve">Contested partisan election</w:t>
            </w:r>
          </w:p>
        </w:tc>
        <w:tc>
          <w:tcPr/>
          <w:p>
            <w:pPr>
              <w:pStyle w:val="Compact"/>
            </w:pPr>
            <w:r>
              <w:t xml:space="preserve">Texas</w:t>
            </w:r>
            <w:hyperlink r:id="rId32">
              <w:r>
                <w:rPr>
                  <w:rStyle w:val="Hyperlink"/>
                </w:rPr>
                <w:t xml:space="preserve">[24]</w:t>
              </w:r>
            </w:hyperlink>
          </w:p>
        </w:tc>
        <w:tc>
          <w:tcPr/>
          <w:p>
            <w:pPr>
              <w:pStyle w:val="Compact"/>
            </w:pPr>
            <w:r>
              <w:t xml:space="preserve">Candidates run in partisan elections; vacancies between elections are filled by gubernatorial appointment until the next general election.</w:t>
            </w:r>
          </w:p>
        </w:tc>
        <w:tc>
          <w:tcPr/>
          <w:p>
            <w:pPr>
              <w:pStyle w:val="Compact"/>
            </w:pPr>
            <w:r>
              <w:t xml:space="preserve">Texas Supreme Court justices serve six-year terms.</w:t>
            </w:r>
          </w:p>
        </w:tc>
        <w:tc>
          <w:tcPr/>
          <w:p>
            <w:pPr>
              <w:pStyle w:val="Compact"/>
            </w:pPr>
            <w:hyperlink r:id="rId38">
              <w:r>
                <w:rPr>
                  <w:rStyle w:val="Hyperlink"/>
                </w:rPr>
                <w:t xml:space="preserve">[25]</w:t>
              </w:r>
            </w:hyperlink>
          </w:p>
        </w:tc>
      </w:tr>
      <w:tr>
        <w:tc>
          <w:tcPr/>
          <w:p>
            <w:pPr>
              <w:pStyle w:val="Compact"/>
            </w:pPr>
            <w:r>
              <w:t xml:space="preserve">Elected judiciary</w:t>
            </w:r>
          </w:p>
        </w:tc>
        <w:tc>
          <w:tcPr/>
          <w:p>
            <w:pPr>
              <w:pStyle w:val="Compact"/>
            </w:pPr>
            <w:r>
              <w:t xml:space="preserve">Michigan</w:t>
            </w:r>
            <w:hyperlink r:id="rId39">
              <w:r>
                <w:rPr>
                  <w:rStyle w:val="Hyperlink"/>
                </w:rPr>
                <w:t xml:space="preserve">[26]</w:t>
              </w:r>
            </w:hyperlink>
          </w:p>
        </w:tc>
        <w:tc>
          <w:tcPr/>
          <w:p>
            <w:pPr>
              <w:pStyle w:val="Compact"/>
            </w:pPr>
            <w:r>
              <w:t xml:space="preserve">Official educational materials describe state judges as elected officials; vacancy appointments can fill interim service.</w:t>
            </w:r>
          </w:p>
        </w:tc>
        <w:tc>
          <w:tcPr/>
          <w:p>
            <w:pPr>
              <w:pStyle w:val="Compact"/>
            </w:pPr>
            <w:r>
              <w:t xml:space="preserve">Michigan Supreme Court justices serve eight-year full terms.</w:t>
            </w:r>
          </w:p>
        </w:tc>
        <w:tc>
          <w:tcPr/>
          <w:p>
            <w:pPr>
              <w:pStyle w:val="Compact"/>
            </w:pPr>
            <w:hyperlink r:id="rId40">
              <w:r>
                <w:rPr>
                  <w:rStyle w:val="Hyperlink"/>
                </w:rPr>
                <w:t xml:space="preserve">[27]</w:t>
              </w:r>
            </w:hyperlink>
          </w:p>
        </w:tc>
      </w:tr>
      <w:tr>
        <w:tc>
          <w:tcPr/>
          <w:p>
            <w:pPr>
              <w:pStyle w:val="Compact"/>
            </w:pPr>
            <w:r>
              <w:t xml:space="preserve">Merit selection plus retention election</w:t>
            </w:r>
          </w:p>
        </w:tc>
        <w:tc>
          <w:tcPr/>
          <w:p>
            <w:pPr>
              <w:pStyle w:val="Compact"/>
            </w:pPr>
            <w:r>
              <w:t xml:space="preserve">Florida</w:t>
            </w:r>
            <w:hyperlink r:id="rId22">
              <w:r>
                <w:rPr>
                  <w:rStyle w:val="Hyperlink"/>
                </w:rPr>
                <w:t xml:space="preserve">[28]</w:t>
              </w:r>
            </w:hyperlink>
          </w:p>
        </w:tc>
        <w:tc>
          <w:tcPr/>
          <w:p>
            <w:pPr>
              <w:pStyle w:val="Compact"/>
            </w:pPr>
            <w:r>
              <w:t xml:space="preserve">Judicial nominating commission submits three to six names; governor appoints from the list; justice later stands in retention election.</w:t>
            </w:r>
          </w:p>
        </w:tc>
        <w:tc>
          <w:tcPr/>
          <w:p>
            <w:pPr>
              <w:pStyle w:val="Compact"/>
            </w:pPr>
            <w:r>
              <w:t xml:space="preserve">Florida Supreme Court justices serve six-year terms if retained.</w:t>
            </w:r>
          </w:p>
        </w:tc>
        <w:tc>
          <w:tcPr/>
          <w:p>
            <w:pPr>
              <w:pStyle w:val="Compact"/>
            </w:pPr>
            <w:hyperlink r:id="rId36">
              <w:r>
                <w:rPr>
                  <w:rStyle w:val="Hyperlink"/>
                </w:rPr>
                <w:t xml:space="preserve">[29]</w:t>
              </w:r>
            </w:hyperlink>
          </w:p>
        </w:tc>
      </w:tr>
      <w:tr>
        <w:tc>
          <w:tcPr/>
          <w:p>
            <w:pPr>
              <w:pStyle w:val="Compact"/>
            </w:pPr>
            <w:r>
              <w:t xml:space="preserve">Merit selection plus retention election</w:t>
            </w:r>
          </w:p>
        </w:tc>
        <w:tc>
          <w:tcPr/>
          <w:p>
            <w:pPr>
              <w:pStyle w:val="Compact"/>
            </w:pPr>
            <w:r>
              <w:t xml:space="preserve">Arizona</w:t>
            </w:r>
            <w:hyperlink r:id="rId30">
              <w:r>
                <w:rPr>
                  <w:rStyle w:val="Hyperlink"/>
                </w:rPr>
                <w:t xml:space="preserve">[30]</w:t>
              </w:r>
            </w:hyperlink>
          </w:p>
        </w:tc>
        <w:tc>
          <w:tcPr/>
          <w:p>
            <w:pPr>
              <w:pStyle w:val="Compact"/>
            </w:pPr>
            <w:r>
              <w:t xml:space="preserve">Judicial nominating commission screens applicants; governor appoints; voters later decide retention.</w:t>
            </w:r>
          </w:p>
        </w:tc>
        <w:tc>
          <w:tcPr/>
          <w:p>
            <w:pPr>
              <w:pStyle w:val="Compact"/>
            </w:pPr>
            <w:r>
              <w:t xml:space="preserve">Arizona appellate judges serve six-year terms; superior-court judges in merit-selection counties serve four-year terms.</w:t>
            </w:r>
          </w:p>
        </w:tc>
        <w:tc>
          <w:tcPr/>
          <w:p>
            <w:pPr>
              <w:pStyle w:val="Compact"/>
            </w:pPr>
            <w:hyperlink r:id="rId41">
              <w:r>
                <w:rPr>
                  <w:rStyle w:val="Hyperlink"/>
                </w:rPr>
                <w:t xml:space="preserve">[31]</w:t>
              </w:r>
            </w:hyperlink>
          </w:p>
        </w:tc>
      </w:tr>
      <w:tr>
        <w:tc>
          <w:tcPr/>
          <w:p>
            <w:pPr>
              <w:pStyle w:val="Compact"/>
            </w:pPr>
            <w:r>
              <w:t xml:space="preserve">Gubernatorial appointment with commission confirmation and public confirmation</w:t>
            </w:r>
          </w:p>
        </w:tc>
        <w:tc>
          <w:tcPr/>
          <w:p>
            <w:pPr>
              <w:pStyle w:val="Compact"/>
            </w:pPr>
            <w:r>
              <w:t xml:space="preserve">California</w:t>
            </w:r>
            <w:hyperlink r:id="rId28">
              <w:r>
                <w:rPr>
                  <w:rStyle w:val="Hyperlink"/>
                </w:rPr>
                <w:t xml:space="preserve">[32]</w:t>
              </w:r>
            </w:hyperlink>
          </w:p>
        </w:tc>
        <w:tc>
          <w:tcPr/>
          <w:p>
            <w:pPr>
              <w:pStyle w:val="Compact"/>
            </w:pPr>
            <w:r>
              <w:t xml:space="preserve">Governor appoints appellate justice; Commission on Judicial Appointments holds a public hearing and must confirm; voters then confirm at the next general election.</w:t>
            </w:r>
          </w:p>
        </w:tc>
        <w:tc>
          <w:tcPr/>
          <w:p>
            <w:pPr>
              <w:pStyle w:val="Compact"/>
            </w:pPr>
            <w:r>
              <w:t xml:space="preserve">California Supreme Court and Court of Appeal justices have 12-year terms.</w:t>
            </w:r>
          </w:p>
        </w:tc>
        <w:tc>
          <w:tcPr/>
          <w:p>
            <w:pPr>
              <w:pStyle w:val="Compact"/>
            </w:pPr>
            <w:hyperlink r:id="rId42">
              <w:r>
                <w:rPr>
                  <w:rStyle w:val="Hyperlink"/>
                </w:rPr>
                <w:t xml:space="preserve">[33]</w:t>
              </w:r>
            </w:hyperlink>
          </w:p>
        </w:tc>
      </w:tr>
      <w:tr>
        <w:tc>
          <w:tcPr/>
          <w:p>
            <w:pPr>
              <w:pStyle w:val="Compact"/>
            </w:pPr>
            <w:r>
              <w:t xml:space="preserve">Legislative election</w:t>
            </w:r>
          </w:p>
        </w:tc>
        <w:tc>
          <w:tcPr/>
          <w:p>
            <w:pPr>
              <w:pStyle w:val="Compact"/>
            </w:pPr>
            <w:r>
              <w:t xml:space="preserve">Virginia</w:t>
            </w:r>
            <w:hyperlink r:id="rId43">
              <w:r>
                <w:rPr>
                  <w:rStyle w:val="Hyperlink"/>
                </w:rPr>
                <w:t xml:space="preserve">[34]</w:t>
              </w:r>
            </w:hyperlink>
          </w:p>
        </w:tc>
        <w:tc>
          <w:tcPr/>
          <w:p>
            <w:pPr>
              <w:pStyle w:val="Compact"/>
            </w:pPr>
            <w:r>
              <w:t xml:space="preserve">Candidate is elected by majority vote of both houses of the General Assembly; governor may make interim appointments when the legislature is out of session.</w:t>
            </w:r>
          </w:p>
        </w:tc>
        <w:tc>
          <w:tcPr/>
          <w:p>
            <w:pPr>
              <w:pStyle w:val="Compact"/>
            </w:pPr>
            <w:r>
              <w:t xml:space="preserve">Virginia Supreme Court justices serve 12 years; circuit judges 8 years; district judges 6 years.</w:t>
            </w:r>
          </w:p>
        </w:tc>
        <w:tc>
          <w:tcPr/>
          <w:p>
            <w:pPr>
              <w:pStyle w:val="Compact"/>
            </w:pPr>
            <w:hyperlink r:id="rId44">
              <w:r>
                <w:rPr>
                  <w:rStyle w:val="Hyperlink"/>
                </w:rPr>
                <w:t xml:space="preserve">[35]</w:t>
              </w:r>
            </w:hyperlink>
          </w:p>
        </w:tc>
      </w:tr>
    </w:tbl>
    <w:p>
      <w:pPr>
        <w:pStyle w:val="BodyText"/>
      </w:pPr>
      <w:r>
        <w:t xml:space="preserve">One useful way to visualize state variation is to look at courts of last resort rather than all courts, because selection methods often vary by court level. The chart below is a harmonized, illustrative coding of high-court initial-selection models across the 50 states plus the District of Columbia; it treats New Mexico</w:t>
      </w:r>
      <w:hyperlink r:id="rId45">
        <w:r>
          <w:rPr>
            <w:rStyle w:val="Hyperlink"/>
          </w:rPr>
          <w:t xml:space="preserve">[36]</w:t>
        </w:r>
      </w:hyperlink>
      <w:r>
        <w:t xml:space="preserve"> </w:t>
      </w:r>
      <w:r>
        <w:t xml:space="preserve">as a hybrid because its system combines gubernatorial appointment and partisan election, treats Hawaii</w:t>
      </w:r>
      <w:hyperlink r:id="rId23">
        <w:r>
          <w:rPr>
            <w:rStyle w:val="Hyperlink"/>
          </w:rPr>
          <w:t xml:space="preserve">[37]</w:t>
        </w:r>
      </w:hyperlink>
      <w:r>
        <w:t xml:space="preserve"> </w:t>
      </w:r>
      <w:r>
        <w:t xml:space="preserve">separately because it uses commission-based reselection rather than elections or normal legislative reappointment, and treats the District of Columbia</w:t>
      </w:r>
      <w:hyperlink r:id="rId46">
        <w:r>
          <w:rPr>
            <w:rStyle w:val="Hyperlink"/>
          </w:rPr>
          <w:t xml:space="preserve">[38]</w:t>
        </w:r>
      </w:hyperlink>
      <w:r>
        <w:t xml:space="preserve"> </w:t>
      </w:r>
      <w:r>
        <w:t xml:space="preserve">separately because its local court judges are federally appointed. That harmonization is necessary because the leading national tallies otherwise overlap on hybrid systems.</w:t>
      </w:r>
      <w:r>
        <w:t xml:space="preserve"> </w:t>
      </w:r>
      <w:hyperlink r:id="rId28">
        <w:r>
          <w:rPr>
            <w:rStyle w:val="Hyperlink"/>
          </w:rPr>
          <w:t xml:space="preserve">[39]</w:t>
        </w:r>
      </w:hyperlink>
    </w:p>
    <w:p>
      <w:pPr>
        <w:pStyle w:val="SourceCode"/>
      </w:pPr>
      <w:r>
        <w:rPr>
          <w:rStyle w:val="VerbatimChar"/>
        </w:rPr>
        <w:t xml:space="preserve">pie showData</w:t>
      </w:r>
      <w:r>
        <w:br/>
      </w:r>
      <w:r>
        <w:rPr>
          <w:rStyle w:val="VerbatimChar"/>
        </w:rPr>
        <w:t xml:space="preserve">    title Illustrative coding of highest-court selection models</w:t>
      </w:r>
      <w:r>
        <w:br/>
      </w:r>
      <w:r>
        <w:rPr>
          <w:rStyle w:val="VerbatimChar"/>
        </w:rPr>
        <w:t xml:space="preserve">    "Merit selection + retention" : 16</w:t>
      </w:r>
      <w:r>
        <w:br/>
      </w:r>
      <w:r>
        <w:rPr>
          <w:rStyle w:val="VerbatimChar"/>
        </w:rPr>
        <w:t xml:space="preserve">    "Contested nonpartisan election" : 14</w:t>
      </w:r>
      <w:r>
        <w:br/>
      </w:r>
      <w:r>
        <w:rPr>
          <w:rStyle w:val="VerbatimChar"/>
        </w:rPr>
        <w:t xml:space="preserve">    "Contested partisan election" : 7</w:t>
      </w:r>
      <w:r>
        <w:br/>
      </w:r>
      <w:r>
        <w:rPr>
          <w:rStyle w:val="VerbatimChar"/>
        </w:rPr>
        <w:t xml:space="preserve">    "Hybrid appointment + partisan election" : 1</w:t>
      </w:r>
      <w:r>
        <w:br/>
      </w:r>
      <w:r>
        <w:rPr>
          <w:rStyle w:val="VerbatimChar"/>
        </w:rPr>
        <w:t xml:space="preserve">    "Gubernatorial appointment, no retention election" : 9</w:t>
      </w:r>
      <w:r>
        <w:br/>
      </w:r>
      <w:r>
        <w:rPr>
          <w:rStyle w:val="VerbatimChar"/>
        </w:rPr>
        <w:t xml:space="preserve">    "Legislative election" : 2</w:t>
      </w:r>
      <w:r>
        <w:br/>
      </w:r>
      <w:r>
        <w:rPr>
          <w:rStyle w:val="VerbatimChar"/>
        </w:rPr>
        <w:t xml:space="preserve">    "Commission reappointment" : 1</w:t>
      </w:r>
      <w:r>
        <w:br/>
      </w:r>
      <w:r>
        <w:rPr>
          <w:rStyle w:val="VerbatimChar"/>
        </w:rPr>
        <w:t xml:space="preserve">    "Federal appointment in D.C." : 1</w:t>
      </w:r>
    </w:p>
    <w:bookmarkEnd w:id="47"/>
    <w:bookmarkStart w:id="56" w:name="X71b6be9d5c6fe4ea4f896c0f9a532a84fd5ece2"/>
    <w:p>
      <w:pPr>
        <w:pStyle w:val="Heading2"/>
      </w:pPr>
      <w:r>
        <w:t xml:space="preserve">Tenure, Removal, Compensation, and Career Paths</w:t>
      </w:r>
    </w:p>
    <w:p>
      <w:pPr>
        <w:pStyle w:val="FirstParagraph"/>
      </w:pPr>
      <w:r>
        <w:t xml:space="preserve">For federal Article III judges, tenure is the strongest independence device in American public law. Article III says federal judges hold office during good behavior, which has long been understood as life tenure absent resignation, retirement, death, or removal by impeachment and conviction. The Constitution also prohibits diminution of judicial compensation during continuance in office, and the Supreme Court has enforced that protection in</w:t>
      </w:r>
      <w:r>
        <w:t xml:space="preserve"> </w:t>
      </w:r>
      <w:r>
        <w:rPr>
          <w:i/>
          <w:iCs/>
        </w:rPr>
        <w:t xml:space="preserve">United States v. Will</w:t>
      </w:r>
      <w:r>
        <w:t xml:space="preserve"> </w:t>
      </w:r>
      <w:r>
        <w:t xml:space="preserve">and related compensation cases. Federal law then layers in the “Rule of 80,” under which eligible judges may retire at current salary or take senior status once age and service combine to 80, beginning at age 65 with 15 years of service. There is no mandatory retirement age for Article III judges.</w:t>
      </w:r>
      <w:r>
        <w:t xml:space="preserve"> </w:t>
      </w:r>
      <w:hyperlink r:id="rId23">
        <w:r>
          <w:rPr>
            <w:rStyle w:val="Hyperlink"/>
          </w:rPr>
          <w:t xml:space="preserve">[40]</w:t>
        </w:r>
      </w:hyperlink>
    </w:p>
    <w:p>
      <w:pPr>
        <w:pStyle w:val="BodyText"/>
      </w:pPr>
      <w:r>
        <w:t xml:space="preserve">Non-Article III federal judges have more bounded tenure. Bankruptcy judges serve renewable 14-year terms and may be removed during those terms for incompetence, misconduct, neglect of duty, or physical or mental disability. Full-time magistrate judges serve renewable 8-year terms, part-time magistrate judges 4-year terms, and they are removable on similar statutory grounds after notice and an opportunity to be heard. Federal ALJs normally hold career positions rather than fixed terms, but agencies may take action against them only for good cause established under 5 U.S.C. § 7521 procedures.</w:t>
      </w:r>
      <w:r>
        <w:t xml:space="preserve"> </w:t>
      </w:r>
      <w:hyperlink r:id="rId30">
        <w:r>
          <w:rPr>
            <w:rStyle w:val="Hyperlink"/>
          </w:rPr>
          <w:t xml:space="preserve">[41]</w:t>
        </w:r>
      </w:hyperlink>
    </w:p>
    <w:p>
      <w:pPr>
        <w:pStyle w:val="BodyText"/>
      </w:pPr>
      <w:r>
        <w:t xml:space="preserve">In the states, tenure more often means fixed terms rather than life tenure. Representative examples reviewed here range from California’s 12-year appellate terms, to Florida’s and Arizona’s 6-year appellate retention terms, to Virginia’s 12-year supreme-court, 8-year circuit-court, and 6-year district-court terms, to Texas’s 6-year statewide appellate terms. States also tend to combine multiple accountability devices: impeachment, judicial discipline commissions, retention or reelection, and in some jurisdictions recall. IAALS has reported that every state has a judicial discipline commission, and it identified judicial recall as available in a minority of states, including Arizona, California, Minnesota, Montana, Nevada, North Dakota, Oregon, and Wisconsin.</w:t>
      </w:r>
      <w:r>
        <w:t xml:space="preserve"> </w:t>
      </w:r>
      <w:hyperlink r:id="rId48">
        <w:r>
          <w:rPr>
            <w:rStyle w:val="Hyperlink"/>
          </w:rPr>
          <w:t xml:space="preserve">[42]</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Position</w:t>
            </w:r>
          </w:p>
        </w:tc>
        <w:tc>
          <w:tcPr/>
          <w:p>
            <w:pPr>
              <w:pStyle w:val="Compact"/>
              <w:jc w:val="right"/>
            </w:pPr>
            <w:r>
              <w:t xml:space="preserve">Current salary reviewed</w:t>
            </w:r>
          </w:p>
        </w:tc>
        <w:tc>
          <w:tcPr/>
          <w:p>
            <w:pPr>
              <w:pStyle w:val="Compact"/>
            </w:pPr>
            <w:r>
              <w:t xml:space="preserve">Source year / note</w:t>
            </w:r>
          </w:p>
        </w:tc>
      </w:tr>
      <w:tr>
        <w:tc>
          <w:tcPr/>
          <w:p>
            <w:pPr>
              <w:pStyle w:val="Compact"/>
            </w:pPr>
            <w:r>
              <w:t xml:space="preserve">Federal district judge</w:t>
            </w:r>
          </w:p>
        </w:tc>
        <w:tc>
          <w:tcPr/>
          <w:p>
            <w:pPr>
              <w:pStyle w:val="Compact"/>
              <w:jc w:val="right"/>
            </w:pPr>
            <w:r>
              <w:t xml:space="preserve">$249,900</w:t>
            </w:r>
          </w:p>
        </w:tc>
        <w:tc>
          <w:tcPr/>
          <w:p>
            <w:pPr>
              <w:pStyle w:val="Compact"/>
            </w:pPr>
            <w:r>
              <w:t xml:space="preserve">Administrative Office of the U.S. Courts salary table, 2026</w:t>
            </w:r>
            <w:r>
              <w:t xml:space="preserve"> </w:t>
            </w:r>
            <w:hyperlink r:id="rId26">
              <w:r>
                <w:rPr>
                  <w:rStyle w:val="Hyperlink"/>
                </w:rPr>
                <w:t xml:space="preserve">[43]</w:t>
              </w:r>
            </w:hyperlink>
          </w:p>
        </w:tc>
      </w:tr>
      <w:tr>
        <w:tc>
          <w:tcPr/>
          <w:p>
            <w:pPr>
              <w:pStyle w:val="Compact"/>
            </w:pPr>
            <w:r>
              <w:t xml:space="preserve">Federal circuit judge</w:t>
            </w:r>
          </w:p>
        </w:tc>
        <w:tc>
          <w:tcPr/>
          <w:p>
            <w:pPr>
              <w:pStyle w:val="Compact"/>
              <w:jc w:val="right"/>
            </w:pPr>
            <w:r>
              <w:t xml:space="preserve">$264,900</w:t>
            </w:r>
          </w:p>
        </w:tc>
        <w:tc>
          <w:tcPr/>
          <w:p>
            <w:pPr>
              <w:pStyle w:val="Compact"/>
            </w:pPr>
            <w:r>
              <w:t xml:space="preserve">Administrative Office of the U.S. Courts salary table, 2026</w:t>
            </w:r>
            <w:r>
              <w:t xml:space="preserve"> </w:t>
            </w:r>
            <w:hyperlink r:id="rId26">
              <w:r>
                <w:rPr>
                  <w:rStyle w:val="Hyperlink"/>
                </w:rPr>
                <w:t xml:space="preserve">[43]</w:t>
              </w:r>
            </w:hyperlink>
          </w:p>
        </w:tc>
      </w:tr>
      <w:tr>
        <w:tc>
          <w:tcPr/>
          <w:p>
            <w:pPr>
              <w:pStyle w:val="Compact"/>
            </w:pPr>
            <w:r>
              <w:t xml:space="preserve">Associate Justice</w:t>
            </w:r>
          </w:p>
        </w:tc>
        <w:tc>
          <w:tcPr/>
          <w:p>
            <w:pPr>
              <w:pStyle w:val="Compact"/>
              <w:jc w:val="right"/>
            </w:pPr>
            <w:r>
              <w:t xml:space="preserve">$306,600</w:t>
            </w:r>
          </w:p>
        </w:tc>
        <w:tc>
          <w:tcPr/>
          <w:p>
            <w:pPr>
              <w:pStyle w:val="Compact"/>
            </w:pPr>
            <w:r>
              <w:t xml:space="preserve">Administrative Office of the U.S. Courts salary table, 2026</w:t>
            </w:r>
            <w:r>
              <w:t xml:space="preserve"> </w:t>
            </w:r>
            <w:hyperlink r:id="rId26">
              <w:r>
                <w:rPr>
                  <w:rStyle w:val="Hyperlink"/>
                </w:rPr>
                <w:t xml:space="preserve">[43]</w:t>
              </w:r>
            </w:hyperlink>
          </w:p>
        </w:tc>
      </w:tr>
      <w:tr>
        <w:tc>
          <w:tcPr/>
          <w:p>
            <w:pPr>
              <w:pStyle w:val="Compact"/>
            </w:pPr>
            <w:r>
              <w:t xml:space="preserve">Chief Justice</w:t>
            </w:r>
          </w:p>
        </w:tc>
        <w:tc>
          <w:tcPr/>
          <w:p>
            <w:pPr>
              <w:pStyle w:val="Compact"/>
              <w:jc w:val="right"/>
            </w:pPr>
            <w:r>
              <w:t xml:space="preserve">$320,700</w:t>
            </w:r>
          </w:p>
        </w:tc>
        <w:tc>
          <w:tcPr/>
          <w:p>
            <w:pPr>
              <w:pStyle w:val="Compact"/>
            </w:pPr>
            <w:r>
              <w:t xml:space="preserve">Administrative Office of the U.S. Courts salary table, 2026</w:t>
            </w:r>
            <w:r>
              <w:t xml:space="preserve"> </w:t>
            </w:r>
            <w:hyperlink r:id="rId26">
              <w:r>
                <w:rPr>
                  <w:rStyle w:val="Hyperlink"/>
                </w:rPr>
                <w:t xml:space="preserve">[43]</w:t>
              </w:r>
            </w:hyperlink>
          </w:p>
        </w:tc>
      </w:tr>
      <w:tr>
        <w:tc>
          <w:tcPr/>
          <w:p>
            <w:pPr>
              <w:pStyle w:val="Compact"/>
            </w:pPr>
            <w:r>
              <w:t xml:space="preserve">Federal magistrate judge</w:t>
            </w:r>
          </w:p>
        </w:tc>
        <w:tc>
          <w:tcPr/>
          <w:p>
            <w:pPr>
              <w:pStyle w:val="Compact"/>
              <w:jc w:val="right"/>
            </w:pPr>
            <w:r>
              <w:t xml:space="preserve">$229,908</w:t>
            </w:r>
          </w:p>
        </w:tc>
        <w:tc>
          <w:tcPr/>
          <w:p>
            <w:pPr>
              <w:pStyle w:val="Compact"/>
            </w:pPr>
            <w:r>
              <w:t xml:space="preserve">Current 2026 vacancy notices reviewed from federal district courts</w:t>
            </w:r>
            <w:r>
              <w:t xml:space="preserve"> </w:t>
            </w:r>
            <w:hyperlink r:id="rId49">
              <w:r>
                <w:rPr>
                  <w:rStyle w:val="Hyperlink"/>
                </w:rPr>
                <w:t xml:space="preserve">[44]</w:t>
              </w:r>
            </w:hyperlink>
          </w:p>
        </w:tc>
      </w:tr>
      <w:tr>
        <w:tc>
          <w:tcPr/>
          <w:p>
            <w:pPr>
              <w:pStyle w:val="Compact"/>
            </w:pPr>
            <w:r>
              <w:t xml:space="preserve">Federal bankruptcy judge</w:t>
            </w:r>
          </w:p>
        </w:tc>
        <w:tc>
          <w:tcPr/>
          <w:p>
            <w:pPr>
              <w:pStyle w:val="Compact"/>
              <w:jc w:val="right"/>
            </w:pPr>
            <w:r>
              <w:t xml:space="preserve">$229,908</w:t>
            </w:r>
          </w:p>
        </w:tc>
        <w:tc>
          <w:tcPr/>
          <w:p>
            <w:pPr>
              <w:pStyle w:val="Compact"/>
            </w:pPr>
            <w:r>
              <w:t xml:space="preserve">Current 2026 bankruptcy-judgeship notices reviewed</w:t>
            </w:r>
            <w:r>
              <w:t xml:space="preserve"> </w:t>
            </w:r>
            <w:hyperlink r:id="rId50">
              <w:r>
                <w:rPr>
                  <w:rStyle w:val="Hyperlink"/>
                </w:rPr>
                <w:t xml:space="preserve">[45]</w:t>
              </w:r>
            </w:hyperlink>
          </w:p>
        </w:tc>
      </w:tr>
      <w:tr>
        <w:tc>
          <w:tcPr/>
          <w:p>
            <w:pPr>
              <w:pStyle w:val="Compact"/>
            </w:pPr>
            <w:r>
              <w:t xml:space="preserve">Arizona Supreme Court justice</w:t>
            </w:r>
          </w:p>
        </w:tc>
        <w:tc>
          <w:tcPr/>
          <w:p>
            <w:pPr>
              <w:pStyle w:val="Compact"/>
              <w:jc w:val="right"/>
            </w:pPr>
            <w:r>
              <w:t xml:space="preserve">$225,000; Chief Justice $232,000</w:t>
            </w:r>
          </w:p>
        </w:tc>
        <w:tc>
          <w:tcPr/>
          <w:p>
            <w:pPr>
              <w:pStyle w:val="Compact"/>
            </w:pPr>
            <w:r>
              <w:t xml:space="preserve">Arizona legislation effective Jan. 1, 2026</w:t>
            </w:r>
            <w:r>
              <w:t xml:space="preserve"> </w:t>
            </w:r>
            <w:hyperlink r:id="rId51">
              <w:r>
                <w:rPr>
                  <w:rStyle w:val="Hyperlink"/>
                </w:rPr>
                <w:t xml:space="preserve">[46]</w:t>
              </w:r>
            </w:hyperlink>
          </w:p>
        </w:tc>
      </w:tr>
      <w:tr>
        <w:tc>
          <w:tcPr/>
          <w:p>
            <w:pPr>
              <w:pStyle w:val="Compact"/>
            </w:pPr>
            <w:r>
              <w:t xml:space="preserve">Arizona court of appeals judge</w:t>
            </w:r>
          </w:p>
        </w:tc>
        <w:tc>
          <w:tcPr/>
          <w:p>
            <w:pPr>
              <w:pStyle w:val="Compact"/>
              <w:jc w:val="right"/>
            </w:pPr>
            <w:r>
              <w:t xml:space="preserve">$210,000</w:t>
            </w:r>
          </w:p>
        </w:tc>
        <w:tc>
          <w:tcPr/>
          <w:p>
            <w:pPr>
              <w:pStyle w:val="Compact"/>
            </w:pPr>
            <w:r>
              <w:t xml:space="preserve">Arizona Judicial Branch notice, effective Jan. 1, 2026</w:t>
            </w:r>
            <w:r>
              <w:t xml:space="preserve"> </w:t>
            </w:r>
            <w:hyperlink r:id="rId52">
              <w:r>
                <w:rPr>
                  <w:rStyle w:val="Hyperlink"/>
                </w:rPr>
                <w:t xml:space="preserve">[47]</w:t>
              </w:r>
            </w:hyperlink>
          </w:p>
        </w:tc>
      </w:tr>
      <w:tr>
        <w:tc>
          <w:tcPr/>
          <w:p>
            <w:pPr>
              <w:pStyle w:val="Compact"/>
            </w:pPr>
            <w:r>
              <w:t xml:space="preserve">Arizona superior-court judge</w:t>
            </w:r>
          </w:p>
        </w:tc>
        <w:tc>
          <w:tcPr/>
          <w:p>
            <w:pPr>
              <w:pStyle w:val="Compact"/>
              <w:jc w:val="right"/>
            </w:pPr>
            <w:r>
              <w:t xml:space="preserve">$200,000</w:t>
            </w:r>
          </w:p>
        </w:tc>
        <w:tc>
          <w:tcPr/>
          <w:p>
            <w:pPr>
              <w:pStyle w:val="Compact"/>
            </w:pPr>
            <w:r>
              <w:t xml:space="preserve">Arizona legislation / branch notice, effective Jan. 1, 2026</w:t>
            </w:r>
            <w:r>
              <w:t xml:space="preserve"> </w:t>
            </w:r>
            <w:hyperlink r:id="rId51">
              <w:r>
                <w:rPr>
                  <w:rStyle w:val="Hyperlink"/>
                </w:rPr>
                <w:t xml:space="preserve">[48]</w:t>
              </w:r>
            </w:hyperlink>
          </w:p>
        </w:tc>
      </w:tr>
      <w:tr>
        <w:tc>
          <w:tcPr/>
          <w:p>
            <w:pPr>
              <w:pStyle w:val="Compact"/>
            </w:pPr>
            <w:r>
              <w:t xml:space="preserve">Virginia circuit judge</w:t>
            </w:r>
          </w:p>
        </w:tc>
        <w:tc>
          <w:tcPr/>
          <w:p>
            <w:pPr>
              <w:pStyle w:val="Compact"/>
              <w:jc w:val="right"/>
            </w:pPr>
            <w:r>
              <w:t xml:space="preserve">$220,254</w:t>
            </w:r>
          </w:p>
        </w:tc>
        <w:tc>
          <w:tcPr/>
          <w:p>
            <w:pPr>
              <w:pStyle w:val="Compact"/>
            </w:pPr>
            <w:r>
              <w:t xml:space="preserve">Virginia budget chapter figure through June 30, 2026</w:t>
            </w:r>
            <w:r>
              <w:t xml:space="preserve"> </w:t>
            </w:r>
            <w:hyperlink r:id="rId53">
              <w:r>
                <w:rPr>
                  <w:rStyle w:val="Hyperlink"/>
                </w:rPr>
                <w:t xml:space="preserve">[49]</w:t>
              </w:r>
            </w:hyperlink>
          </w:p>
        </w:tc>
      </w:tr>
      <w:tr>
        <w:tc>
          <w:tcPr/>
          <w:p>
            <w:pPr>
              <w:pStyle w:val="Compact"/>
            </w:pPr>
            <w:r>
              <w:t xml:space="preserve">Virginia general district judge</w:t>
            </w:r>
          </w:p>
        </w:tc>
        <w:tc>
          <w:tcPr/>
          <w:p>
            <w:pPr>
              <w:pStyle w:val="Compact"/>
              <w:jc w:val="right"/>
            </w:pPr>
            <w:r>
              <w:t xml:space="preserve">$198,231</w:t>
            </w:r>
          </w:p>
        </w:tc>
        <w:tc>
          <w:tcPr/>
          <w:p>
            <w:pPr>
              <w:pStyle w:val="Compact"/>
            </w:pPr>
            <w:r>
              <w:t xml:space="preserve">Virginia budget chapter figure through June 30, 2026</w:t>
            </w:r>
            <w:r>
              <w:t xml:space="preserve"> </w:t>
            </w:r>
            <w:hyperlink r:id="rId39">
              <w:r>
                <w:rPr>
                  <w:rStyle w:val="Hyperlink"/>
                </w:rPr>
                <w:t xml:space="preserve">[50]</w:t>
              </w:r>
            </w:hyperlink>
          </w:p>
        </w:tc>
      </w:tr>
      <w:tr>
        <w:tc>
          <w:tcPr/>
          <w:p>
            <w:pPr>
              <w:pStyle w:val="Compact"/>
            </w:pPr>
            <w:r>
              <w:t xml:space="preserve">Texas district judge</w:t>
            </w:r>
          </w:p>
        </w:tc>
        <w:tc>
          <w:tcPr/>
          <w:p>
            <w:pPr>
              <w:pStyle w:val="Compact"/>
              <w:jc w:val="right"/>
            </w:pPr>
            <w:r>
              <w:t xml:space="preserve">$175,000 base salary</w:t>
            </w:r>
          </w:p>
        </w:tc>
        <w:tc>
          <w:tcPr/>
          <w:p>
            <w:pPr>
              <w:pStyle w:val="Compact"/>
            </w:pPr>
            <w:r>
              <w:t xml:space="preserve">Texas OCA summary, effective Sept. 1, 2025; actual total compensation can be higher because supplements vary by county and seniority</w:t>
            </w:r>
            <w:r>
              <w:t xml:space="preserve"> </w:t>
            </w:r>
            <w:hyperlink r:id="rId54">
              <w:r>
                <w:rPr>
                  <w:rStyle w:val="Hyperlink"/>
                </w:rPr>
                <w:t xml:space="preserve">[51]</w:t>
              </w:r>
            </w:hyperlink>
          </w:p>
        </w:tc>
      </w:tr>
      <w:tr>
        <w:tc>
          <w:tcPr/>
          <w:p>
            <w:pPr>
              <w:pStyle w:val="Compact"/>
            </w:pPr>
            <w:r>
              <w:t xml:space="preserve">Florida Supreme Court justice</w:t>
            </w:r>
          </w:p>
        </w:tc>
        <w:tc>
          <w:tcPr/>
          <w:p>
            <w:pPr>
              <w:pStyle w:val="Compact"/>
              <w:jc w:val="right"/>
            </w:pPr>
            <w:r>
              <w:t xml:space="preserve">$258,957 in FY 2024–25</w:t>
            </w:r>
          </w:p>
        </w:tc>
        <w:tc>
          <w:tcPr/>
          <w:p>
            <w:pPr>
              <w:pStyle w:val="Compact"/>
            </w:pPr>
            <w:r>
              <w:t xml:space="preserve">Florida Bar report itemized this figure; a separate 2025 report stated a 2% increase took effect July 1, 2025, but the reviewed source did not itemize the revised amount</w:t>
            </w:r>
            <w:r>
              <w:t xml:space="preserve"> </w:t>
            </w:r>
            <w:hyperlink r:id="rId43">
              <w:r>
                <w:rPr>
                  <w:rStyle w:val="Hyperlink"/>
                </w:rPr>
                <w:t xml:space="preserve">[52]</w:t>
              </w:r>
            </w:hyperlink>
          </w:p>
        </w:tc>
      </w:tr>
      <w:tr>
        <w:tc>
          <w:tcPr/>
          <w:p>
            <w:pPr>
              <w:pStyle w:val="Compact"/>
            </w:pPr>
            <w:r>
              <w:t xml:space="preserve">Florida circuit judge</w:t>
            </w:r>
          </w:p>
        </w:tc>
        <w:tc>
          <w:tcPr/>
          <w:p>
            <w:pPr>
              <w:pStyle w:val="Compact"/>
              <w:jc w:val="right"/>
            </w:pPr>
            <w:r>
              <w:t xml:space="preserve">$196,898 in FY 2024–25</w:t>
            </w:r>
          </w:p>
        </w:tc>
        <w:tc>
          <w:tcPr/>
          <w:p>
            <w:pPr>
              <w:pStyle w:val="Compact"/>
            </w:pPr>
            <w:r>
              <w:t xml:space="preserve">Same Florida note as above</w:t>
            </w:r>
            <w:r>
              <w:t xml:space="preserve"> </w:t>
            </w:r>
            <w:hyperlink r:id="rId43">
              <w:r>
                <w:rPr>
                  <w:rStyle w:val="Hyperlink"/>
                </w:rPr>
                <w:t xml:space="preserve">[52]</w:t>
              </w:r>
            </w:hyperlink>
          </w:p>
        </w:tc>
      </w:tr>
    </w:tbl>
    <w:p>
      <w:pPr>
        <w:pStyle w:val="BodyText"/>
      </w:pPr>
      <w:r>
        <w:t xml:space="preserve">Federal judges also receive substantial non-salary benefits and protections. Eligible judges can retire or assume senior status under the Rule of 80; the federal judiciary operates health, dental, vision, and flexible-benefit programs for eligible judges and employees; and survivors’ benefits are provided through the Judicial Survivors’ Annuities system. Bankruptcy judges and full-time magistrate judges are additionally covered by the Judicial Officers’ Retirement Fund. State judicial benefits exist as well, but they are not nationally uniform enough to support a clean apples-to-apples table; the National Center for State Courts tracks state judicial retirement plans separately precisely because plan types, contribution rules, and benefit formulas differ across states.</w:t>
      </w:r>
      <w:r>
        <w:t xml:space="preserve"> </w:t>
      </w:r>
      <w:hyperlink r:id="rId21">
        <w:r>
          <w:rPr>
            <w:rStyle w:val="Hyperlink"/>
          </w:rPr>
          <w:t xml:space="preserve">[53]</w:t>
        </w:r>
      </w:hyperlink>
    </w:p>
    <w:p>
      <w:pPr>
        <w:pStyle w:val="BodyText"/>
      </w:pPr>
      <w:r>
        <w:t xml:space="preserve">There is no single “career path” to judging, but the formal gatekeeping documents reveal the common pattern: long legal practice, bar membership, and intensive vetting. Federal Senate questionnaires require nominees to disclose bar admissions, employment history, writings, speeches, testimony, financial information, litigation history, and disciplinary matters. State qualification rules vary, but the reviewed examples are consistent in requiring significant legal experience: California requires at least ten years as a State Bar member or state judge for its Supreme Court, Michigan educational materials describe a minimum of five years in practice, and Texas publishes court-specific qualification rules by court type. In practice, judges are commonly drawn from experienced litigators, prosecutors, public defenders, government lawyers, academics, and sitting judges.</w:t>
      </w:r>
      <w:r>
        <w:t xml:space="preserve"> </w:t>
      </w:r>
      <w:hyperlink r:id="rId55">
        <w:r>
          <w:rPr>
            <w:rStyle w:val="Hyperlink"/>
          </w:rPr>
          <w:t xml:space="preserve">[54]</w:t>
        </w:r>
      </w:hyperlink>
    </w:p>
    <w:bookmarkEnd w:id="56"/>
    <w:bookmarkStart w:id="61" w:name="judicial-powers-and-landmark-authorities"/>
    <w:p>
      <w:pPr>
        <w:pStyle w:val="Heading2"/>
      </w:pPr>
      <w:r>
        <w:t xml:space="preserve">Judicial Powers and Landmark Authorities</w:t>
      </w:r>
    </w:p>
    <w:p>
      <w:pPr>
        <w:pStyle w:val="FirstParagraph"/>
      </w:pPr>
      <w:r>
        <w:t xml:space="preserve">Judges derive authority first from constitutional and statutory jurisdiction. Article III extends federal judicial power to defined categories of cases and controversies, but Congress creates lower courts, fixes the number of many federal judgeships, and channels much of federal jurisdiction by statute. That means federal judges are powerful within their assigned jurisdiction but cannot create their own jurisdictional universe. State judges operate under a parallel logic: state constitutions and statutes determine court structure, subject-matter reach, and appellate paths.</w:t>
      </w:r>
      <w:r>
        <w:t xml:space="preserve"> </w:t>
      </w:r>
      <w:hyperlink r:id="rId57">
        <w:r>
          <w:rPr>
            <w:rStyle w:val="Hyperlink"/>
          </w:rPr>
          <w:t xml:space="preserve">[55]</w:t>
        </w:r>
      </w:hyperlink>
    </w:p>
    <w:p>
      <w:pPr>
        <w:pStyle w:val="BodyText"/>
      </w:pPr>
      <w:r>
        <w:t xml:space="preserve">The most famous judicial power is judicial review.</w:t>
      </w:r>
      <w:r>
        <w:t xml:space="preserve"> </w:t>
      </w:r>
      <w:r>
        <w:rPr>
          <w:i/>
          <w:iCs/>
        </w:rPr>
        <w:t xml:space="preserve">Marbury v. Madison</w:t>
      </w:r>
      <w:r>
        <w:t xml:space="preserve"> </w:t>
      </w:r>
      <w:r>
        <w:t xml:space="preserve">established that federal courts may refuse to enforce laws that violate the Constitution.</w:t>
      </w:r>
      <w:r>
        <w:t xml:space="preserve"> </w:t>
      </w:r>
      <w:r>
        <w:rPr>
          <w:i/>
          <w:iCs/>
        </w:rPr>
        <w:t xml:space="preserve">Martin v. Hunter’s Lessee</w:t>
      </w:r>
      <w:r>
        <w:t xml:space="preserve"> </w:t>
      </w:r>
      <w:r>
        <w:t xml:space="preserve">confirmed Supreme Court review of state-court decisions on federal questions, and</w:t>
      </w:r>
      <w:r>
        <w:t xml:space="preserve"> </w:t>
      </w:r>
      <w:r>
        <w:rPr>
          <w:i/>
          <w:iCs/>
        </w:rPr>
        <w:t xml:space="preserve">Cooper v. Aaron</w:t>
      </w:r>
      <w:r>
        <w:t xml:space="preserve"> </w:t>
      </w:r>
      <w:r>
        <w:t xml:space="preserve">later stated that state officials are bound by the Supreme Court’s constitutional interpretations. Together these cases explain why judges in both the federal and state systems matter so much: state courts often decide federal questions in the first instance, but the Supreme Court remains the final federal expositor.</w:t>
      </w:r>
      <w:r>
        <w:t xml:space="preserve"> </w:t>
      </w:r>
      <w:hyperlink r:id="rId25">
        <w:r>
          <w:rPr>
            <w:rStyle w:val="Hyperlink"/>
          </w:rPr>
          <w:t xml:space="preserve">[56]</w:t>
        </w:r>
      </w:hyperlink>
    </w:p>
    <w:p>
      <w:pPr>
        <w:pStyle w:val="BodyText"/>
      </w:pPr>
      <w:r>
        <w:t xml:space="preserve">Sentencing power is concentrated primarily in trial courts. Federal district judges sentence criminal defendants under 18 U.S.C. § 3553, which requires a sentence “sufficient, but not greater than necessary,” while taking account of listed factors. The Supreme Court upheld Congress’s placement of the Sentencing Commission in the Judicial Branch in</w:t>
      </w:r>
      <w:r>
        <w:t xml:space="preserve"> </w:t>
      </w:r>
      <w:r>
        <w:rPr>
          <w:i/>
          <w:iCs/>
        </w:rPr>
        <w:t xml:space="preserve">Mistretta v. United States</w:t>
      </w:r>
      <w:r>
        <w:t xml:space="preserve">, and later made the Federal Sentencing Guidelines advisory rather than mandatory in</w:t>
      </w:r>
      <w:r>
        <w:t xml:space="preserve"> </w:t>
      </w:r>
      <w:r>
        <w:rPr>
          <w:i/>
          <w:iCs/>
        </w:rPr>
        <w:t xml:space="preserve">United States v. Booker</w:t>
      </w:r>
      <w:r>
        <w:t xml:space="preserve">.</w:t>
      </w:r>
      <w:r>
        <w:t xml:space="preserve"> </w:t>
      </w:r>
      <w:hyperlink r:id="rId58">
        <w:r>
          <w:rPr>
            <w:rStyle w:val="Hyperlink"/>
          </w:rPr>
          <w:t xml:space="preserve">[57]</w:t>
        </w:r>
      </w:hyperlink>
    </w:p>
    <w:p>
      <w:pPr>
        <w:pStyle w:val="BodyText"/>
      </w:pPr>
      <w:r>
        <w:t xml:space="preserve">Judges also have rulemaking and contempt powers. Under 28 U.S.C. §§ 2071–2074, federal courts and the Supreme Court play central roles in procedural rulemaking, with Congress retaining a reviewing role. Under 18 U.S.C. § 401 and the federal courts’ inherent powers, courts may punish contempt and impose sanctions to protect proceedings, enforce orders, and preserve judicial authority. The Constitution Annotated’s treatment of</w:t>
      </w:r>
      <w:r>
        <w:t xml:space="preserve"> </w:t>
      </w:r>
      <w:r>
        <w:rPr>
          <w:i/>
          <w:iCs/>
        </w:rPr>
        <w:t xml:space="preserve">Young v. United States ex rel. Vuitton</w:t>
      </w:r>
      <w:r>
        <w:t xml:space="preserve">, together with the broader inherent-powers doctrine, shows that contempt authority is not merely housekeeping; it is part of what makes adjudication effective.</w:t>
      </w:r>
      <w:r>
        <w:t xml:space="preserve"> </w:t>
      </w:r>
      <w:hyperlink r:id="rId59">
        <w:r>
          <w:rPr>
            <w:rStyle w:val="Hyperlink"/>
          </w:rPr>
          <w:t xml:space="preserve">[58]</w:t>
        </w:r>
      </w:hyperlink>
    </w:p>
    <w:p>
      <w:pPr>
        <w:pStyle w:val="BodyText"/>
      </w:pPr>
      <w:r>
        <w:t xml:space="preserve">Finally, judges exercise substantial administrative power. The federal judiciary’s national administrative policies are set by the Judicial Conference, chaired by the Chief Justice and composed of judges from across the country. State high courts often have comparable supervisory authority. Virginia’s official court materials, for example, note that the Supreme Court of Virginia establishes rules of practice and procedure for the circuit courts and that its executive secretary administers the system. That administrative layer matters because judges are not only arbiters of individual disputes; they are also institutional governors of court systems.</w:t>
      </w:r>
      <w:r>
        <w:t xml:space="preserve"> </w:t>
      </w:r>
      <w:hyperlink r:id="rId32">
        <w:r>
          <w:rPr>
            <w:rStyle w:val="Hyperlink"/>
          </w:rPr>
          <w:t xml:space="preserve">[14]</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Judicial power</w:t>
            </w:r>
          </w:p>
        </w:tc>
        <w:tc>
          <w:tcPr/>
          <w:p>
            <w:pPr>
              <w:pStyle w:val="Compact"/>
            </w:pPr>
            <w:r>
              <w:t xml:space="preserve">Primary federal authority</w:t>
            </w:r>
          </w:p>
        </w:tc>
        <w:tc>
          <w:tcPr/>
          <w:p>
            <w:pPr>
              <w:pStyle w:val="Compact"/>
            </w:pPr>
            <w:r>
              <w:t xml:space="preserve">What it means in practice</w:t>
            </w:r>
          </w:p>
        </w:tc>
        <w:tc>
          <w:tcPr/>
          <w:p>
            <w:pPr>
              <w:pStyle w:val="Compact"/>
            </w:pPr>
            <w:r>
              <w:t xml:space="preserve">Landmark authorities</w:t>
            </w:r>
          </w:p>
        </w:tc>
      </w:tr>
      <w:tr>
        <w:tc>
          <w:tcPr/>
          <w:p>
            <w:pPr>
              <w:pStyle w:val="Compact"/>
            </w:pPr>
            <w:r>
              <w:t xml:space="preserve">Constitutional adjudication</w:t>
            </w:r>
          </w:p>
        </w:tc>
        <w:tc>
          <w:tcPr/>
          <w:p>
            <w:pPr>
              <w:pStyle w:val="Compact"/>
            </w:pPr>
            <w:r>
              <w:t xml:space="preserve">Article III; Article VI supremacy</w:t>
            </w:r>
          </w:p>
        </w:tc>
        <w:tc>
          <w:tcPr/>
          <w:p>
            <w:pPr>
              <w:pStyle w:val="Compact"/>
            </w:pPr>
            <w:r>
              <w:t xml:space="preserve">Courts decide cases and interpret higher law against ordinary law.</w:t>
            </w:r>
          </w:p>
        </w:tc>
        <w:tc>
          <w:tcPr/>
          <w:p>
            <w:pPr>
              <w:pStyle w:val="Compact"/>
            </w:pPr>
            <w:r>
              <w:rPr>
                <w:i/>
                <w:iCs/>
              </w:rPr>
              <w:t xml:space="preserve">Marbury</w:t>
            </w:r>
            <w:r>
              <w:t xml:space="preserve">;</w:t>
            </w:r>
            <w:r>
              <w:t xml:space="preserve"> </w:t>
            </w:r>
            <w:r>
              <w:rPr>
                <w:i/>
                <w:iCs/>
              </w:rPr>
              <w:t xml:space="preserve">Cooper</w:t>
            </w:r>
            <w:r>
              <w:t xml:space="preserve"> </w:t>
            </w:r>
            <w:hyperlink r:id="rId25">
              <w:r>
                <w:rPr>
                  <w:rStyle w:val="Hyperlink"/>
                </w:rPr>
                <w:t xml:space="preserve">[59]</w:t>
              </w:r>
            </w:hyperlink>
          </w:p>
        </w:tc>
      </w:tr>
      <w:tr>
        <w:tc>
          <w:tcPr/>
          <w:p>
            <w:pPr>
              <w:pStyle w:val="Compact"/>
            </w:pPr>
            <w:r>
              <w:t xml:space="preserve">Appellate supervision of federal questions</w:t>
            </w:r>
          </w:p>
        </w:tc>
        <w:tc>
          <w:tcPr/>
          <w:p>
            <w:pPr>
              <w:pStyle w:val="Compact"/>
            </w:pPr>
            <w:r>
              <w:t xml:space="preserve">Article III; congressional jurisdiction statutes</w:t>
            </w:r>
          </w:p>
        </w:tc>
        <w:tc>
          <w:tcPr/>
          <w:p>
            <w:pPr>
              <w:pStyle w:val="Compact"/>
            </w:pPr>
            <w:r>
              <w:t xml:space="preserve">Supreme Court can review state-court rulings on federal questions.</w:t>
            </w:r>
          </w:p>
        </w:tc>
        <w:tc>
          <w:tcPr/>
          <w:p>
            <w:pPr>
              <w:pStyle w:val="Compact"/>
            </w:pPr>
            <w:r>
              <w:rPr>
                <w:i/>
                <w:iCs/>
              </w:rPr>
              <w:t xml:space="preserve">Martin v. Hunter’s Lessee</w:t>
            </w:r>
            <w:r>
              <w:t xml:space="preserve"> </w:t>
            </w:r>
            <w:hyperlink r:id="rId60">
              <w:r>
                <w:rPr>
                  <w:rStyle w:val="Hyperlink"/>
                </w:rPr>
                <w:t xml:space="preserve">[60]</w:t>
              </w:r>
            </w:hyperlink>
          </w:p>
        </w:tc>
      </w:tr>
      <w:tr>
        <w:tc>
          <w:tcPr/>
          <w:p>
            <w:pPr>
              <w:pStyle w:val="Compact"/>
            </w:pPr>
            <w:r>
              <w:t xml:space="preserve">Sentencing</w:t>
            </w:r>
          </w:p>
        </w:tc>
        <w:tc>
          <w:tcPr/>
          <w:p>
            <w:pPr>
              <w:pStyle w:val="Compact"/>
            </w:pPr>
            <w:r>
              <w:t xml:space="preserve">18 U.S.C. § 3553; Sentencing Reform Act</w:t>
            </w:r>
          </w:p>
        </w:tc>
        <w:tc>
          <w:tcPr/>
          <w:p>
            <w:pPr>
              <w:pStyle w:val="Compact"/>
            </w:pPr>
            <w:r>
              <w:t xml:space="preserve">Trial judges impose criminal punishment within statutory and constitutional bounds.</w:t>
            </w:r>
          </w:p>
        </w:tc>
        <w:tc>
          <w:tcPr/>
          <w:p>
            <w:pPr>
              <w:pStyle w:val="Compact"/>
            </w:pPr>
            <w:r>
              <w:rPr>
                <w:i/>
                <w:iCs/>
              </w:rPr>
              <w:t xml:space="preserve">Mistretta</w:t>
            </w:r>
            <w:r>
              <w:t xml:space="preserve">;</w:t>
            </w:r>
            <w:r>
              <w:t xml:space="preserve"> </w:t>
            </w:r>
            <w:r>
              <w:rPr>
                <w:i/>
                <w:iCs/>
              </w:rPr>
              <w:t xml:space="preserve">Booker</w:t>
            </w:r>
            <w:r>
              <w:t xml:space="preserve"> </w:t>
            </w:r>
            <w:hyperlink r:id="rId58">
              <w:r>
                <w:rPr>
                  <w:rStyle w:val="Hyperlink"/>
                </w:rPr>
                <w:t xml:space="preserve">[61]</w:t>
              </w:r>
            </w:hyperlink>
          </w:p>
        </w:tc>
      </w:tr>
      <w:tr>
        <w:tc>
          <w:tcPr/>
          <w:p>
            <w:pPr>
              <w:pStyle w:val="Compact"/>
            </w:pPr>
            <w:r>
              <w:t xml:space="preserve">Rulemaking</w:t>
            </w:r>
          </w:p>
        </w:tc>
        <w:tc>
          <w:tcPr/>
          <w:p>
            <w:pPr>
              <w:pStyle w:val="Compact"/>
            </w:pPr>
            <w:r>
              <w:t xml:space="preserve">28 U.S.C. §§ 2071–2074</w:t>
            </w:r>
          </w:p>
        </w:tc>
        <w:tc>
          <w:tcPr/>
          <w:p>
            <w:pPr>
              <w:pStyle w:val="Compact"/>
            </w:pPr>
            <w:r>
              <w:t xml:space="preserve">Judiciary drafts procedural rules, subject to statutory constraints and congressional review.</w:t>
            </w:r>
          </w:p>
        </w:tc>
        <w:tc>
          <w:tcPr/>
          <w:p>
            <w:pPr>
              <w:pStyle w:val="Compact"/>
            </w:pPr>
            <w:r>
              <w:t xml:space="preserve">Rules Enabling Act regime</w:t>
            </w:r>
            <w:r>
              <w:t xml:space="preserve"> </w:t>
            </w:r>
            <w:hyperlink r:id="rId59">
              <w:r>
                <w:rPr>
                  <w:rStyle w:val="Hyperlink"/>
                </w:rPr>
                <w:t xml:space="preserve">[62]</w:t>
              </w:r>
            </w:hyperlink>
          </w:p>
        </w:tc>
      </w:tr>
      <w:tr>
        <w:tc>
          <w:tcPr/>
          <w:p>
            <w:pPr>
              <w:pStyle w:val="Compact"/>
            </w:pPr>
            <w:r>
              <w:t xml:space="preserve">Contempt and sanctions</w:t>
            </w:r>
          </w:p>
        </w:tc>
        <w:tc>
          <w:tcPr/>
          <w:p>
            <w:pPr>
              <w:pStyle w:val="Compact"/>
            </w:pPr>
            <w:r>
              <w:t xml:space="preserve">18 U.S.C. § 401; inherent powers</w:t>
            </w:r>
          </w:p>
        </w:tc>
        <w:tc>
          <w:tcPr/>
          <w:p>
            <w:pPr>
              <w:pStyle w:val="Compact"/>
            </w:pPr>
            <w:r>
              <w:t xml:space="preserve">Courts can punish disobedience and sanction misconduct.</w:t>
            </w:r>
          </w:p>
        </w:tc>
        <w:tc>
          <w:tcPr/>
          <w:p>
            <w:pPr>
              <w:pStyle w:val="Compact"/>
            </w:pPr>
            <w:r>
              <w:rPr>
                <w:i/>
                <w:iCs/>
              </w:rPr>
              <w:t xml:space="preserve">Young</w:t>
            </w:r>
            <w:r>
              <w:t xml:space="preserve"> </w:t>
            </w:r>
            <w:r>
              <w:t xml:space="preserve">and related inherent-powers doctrine</w:t>
            </w:r>
            <w:r>
              <w:t xml:space="preserve"> </w:t>
            </w:r>
            <w:hyperlink r:id="rId45">
              <w:r>
                <w:rPr>
                  <w:rStyle w:val="Hyperlink"/>
                </w:rPr>
                <w:t xml:space="preserve">[63]</w:t>
              </w:r>
            </w:hyperlink>
          </w:p>
        </w:tc>
      </w:tr>
      <w:tr>
        <w:tc>
          <w:tcPr/>
          <w:p>
            <w:pPr>
              <w:pStyle w:val="Compact"/>
            </w:pPr>
            <w:r>
              <w:t xml:space="preserve">Administrative governance</w:t>
            </w:r>
          </w:p>
        </w:tc>
        <w:tc>
          <w:tcPr/>
          <w:p>
            <w:pPr>
              <w:pStyle w:val="Compact"/>
            </w:pPr>
            <w:r>
              <w:t xml:space="preserve">Judicial Conference statutes and court rules</w:t>
            </w:r>
          </w:p>
        </w:tc>
        <w:tc>
          <w:tcPr/>
          <w:p>
            <w:pPr>
              <w:pStyle w:val="Compact"/>
            </w:pPr>
            <w:r>
              <w:t xml:space="preserve">Judges manage staffing, dockets, policy, and institutional operations.</w:t>
            </w:r>
          </w:p>
        </w:tc>
        <w:tc>
          <w:tcPr/>
          <w:p>
            <w:pPr>
              <w:pStyle w:val="Compact"/>
            </w:pPr>
            <w:r>
              <w:t xml:space="preserve">Federal and state court-administration materials</w:t>
            </w:r>
            <w:r>
              <w:t xml:space="preserve"> </w:t>
            </w:r>
            <w:hyperlink r:id="rId32">
              <w:r>
                <w:rPr>
                  <w:rStyle w:val="Hyperlink"/>
                </w:rPr>
                <w:t xml:space="preserve">[64]</w:t>
              </w:r>
            </w:hyperlink>
          </w:p>
        </w:tc>
      </w:tr>
    </w:tbl>
    <w:bookmarkEnd w:id="61"/>
    <w:bookmarkStart w:id="66" w:name="Xd35063148480d70f903d88f718db47ff90a854d"/>
    <w:p>
      <w:pPr>
        <w:pStyle w:val="Heading2"/>
      </w:pPr>
      <w:r>
        <w:t xml:space="preserve">Independence, Accountability, and Political Pressure</w:t>
      </w:r>
    </w:p>
    <w:p>
      <w:pPr>
        <w:pStyle w:val="FirstParagraph"/>
      </w:pPr>
      <w:r>
        <w:t xml:space="preserve">The central constitutional design choice for federal judges is independence from ordinary political retaliation. Life tenure, salary protection, and the requirement of bicameral involvement in removal by impeachment all make federal judges unusually insulated by comparative American standards. But that insulation is not absolute. Congress creates judgeships, structures jurisdiction, funds the judiciary, and legislates procedure; the President nominates; the Senate confirms; and appellate review can reverse lower-court decisions. In short, judicial independence in the United States is real, but it is independence inside a system of interbranch checks rather than autonomy without checks.</w:t>
      </w:r>
      <w:r>
        <w:t xml:space="preserve"> </w:t>
      </w:r>
      <w:hyperlink r:id="rId23">
        <w:r>
          <w:rPr>
            <w:rStyle w:val="Hyperlink"/>
          </w:rPr>
          <w:t xml:space="preserve">[65]</w:t>
        </w:r>
      </w:hyperlink>
    </w:p>
    <w:p>
      <w:pPr>
        <w:pStyle w:val="BodyText"/>
      </w:pPr>
      <w:r>
        <w:t xml:space="preserve">State judges typically face more direct political exposure than federal Article III judges because many must win election, survive retention votes, or seek reappointment for fixed terms. Even where judges are insulated by merit selection, the governor, nominating commission, legislature, or voters still may influence initial appointment or reselection. IAALS and the Brennan Center have both emphasized that accountability mechanisms can become channels for political pressure if they are used to punish unpopular rulings rather than actual misconduct. The practical implication is that “judicial independence” is not binary; it sits on a spectrum, and selection design strongly affects where a judge falls on that spectrum.</w:t>
      </w:r>
      <w:r>
        <w:t xml:space="preserve"> </w:t>
      </w:r>
      <w:hyperlink r:id="rId62">
        <w:r>
          <w:rPr>
            <w:rStyle w:val="Hyperlink"/>
          </w:rPr>
          <w:t xml:space="preserve">[66]</w:t>
        </w:r>
      </w:hyperlink>
    </w:p>
    <w:p>
      <w:pPr>
        <w:pStyle w:val="BodyText"/>
      </w:pPr>
      <w:r>
        <w:t xml:space="preserve">Federal ethics are governed by overlapping norms rather than a single all-encompassing constitutional code. Lower federal judges are governed by the Code of Conduct for United States Judges, while the Supreme Court published its own Code of Conduct for Justices in 2023. Financial disclosure reports are publicly searchable through the Administrative Office of the U.S. Courts. The judiciary also states that every judge must maintain a list of personal and financial interests that would require recusal, and that courts use automated conflict-checking software to identify disqualifying conflicts under 28 U.S.C. § 455 or the Code of Conduct.</w:t>
      </w:r>
      <w:r>
        <w:t xml:space="preserve"> </w:t>
      </w:r>
      <w:hyperlink r:id="rId63">
        <w:r>
          <w:rPr>
            <w:rStyle w:val="Hyperlink"/>
          </w:rPr>
          <w:t xml:space="preserve">[67]</w:t>
        </w:r>
      </w:hyperlink>
    </w:p>
    <w:p>
      <w:pPr>
        <w:pStyle w:val="BodyText"/>
      </w:pPr>
      <w:r>
        <w:t xml:space="preserve">Recusal and conflict-of-interest law are therefore not merely aspirational. They are operational. Section 455 requires disqualification where impartiality might reasonably be questioned, and recent judicial-misconduct materials emphasize that judges must address recusal even when the issue is not formally raised by a party. The public availability of financial disclosures and the judiciary’s conflict-screening systems are designed to reduce the risk that judges decide cases in which they, their spouses, or their financial holdings have a legally disqualifying stake.</w:t>
      </w:r>
      <w:r>
        <w:t xml:space="preserve"> </w:t>
      </w:r>
      <w:hyperlink r:id="rId64">
        <w:r>
          <w:rPr>
            <w:rStyle w:val="Hyperlink"/>
          </w:rPr>
          <w:t xml:space="preserve">[68]</w:t>
        </w:r>
      </w:hyperlink>
    </w:p>
    <w:p>
      <w:pPr>
        <w:pStyle w:val="BodyText"/>
      </w:pPr>
      <w:r>
        <w:t xml:space="preserve">For accountability short of removal, the federal system uses the Judicial Conduct and Disability framework. Any person may file a complaint alleging that a circuit, district, bankruptcy, or magistrate judge engaged in prejudicial conduct or is unable to discharge duties because of disability. That system can investigate, dismiss, censure, or impose other non-impeachment consequences, but it does not displace the constitutional rule that removal of Article III judges requires impeachment and conviction. States use analogous but nonuniform discipline commissions; IAALS reports that every state has one.</w:t>
      </w:r>
      <w:r>
        <w:t xml:space="preserve"> </w:t>
      </w:r>
      <w:hyperlink r:id="rId65">
        <w:r>
          <w:rPr>
            <w:rStyle w:val="Hyperlink"/>
          </w:rPr>
          <w:t xml:space="preserve">[69]</w:t>
        </w:r>
      </w:hyperlink>
    </w:p>
    <w:p>
      <w:pPr>
        <w:pStyle w:val="BodyText"/>
      </w:pPr>
      <w:r>
        <w:t xml:space="preserve">The most important analytical bottom line is this: judges are powerful because the system assigns them finality within jurisdiction, but their authority depends on legitimacy, and legitimacy depends on a difficult balance between independence and accountability. Too little accountability risks opacity or conflict; too much political dependence risks adjudication by referendum, donor pressure, or partisan retaliation. The federal system resolves that tension mainly through life tenure and appellate hierarchy. The states spread themselves across a much wider range of institutional choices.</w:t>
      </w:r>
      <w:r>
        <w:t xml:space="preserve"> </w:t>
      </w:r>
      <w:hyperlink r:id="rId23">
        <w:r>
          <w:rPr>
            <w:rStyle w:val="Hyperlink"/>
          </w:rPr>
          <w:t xml:space="preserve">[70]</w:t>
        </w:r>
      </w:hyperlink>
    </w:p>
    <w:bookmarkEnd w:id="66"/>
    <w:bookmarkStart w:id="67" w:name="open-questions-and-limitations"/>
    <w:p>
      <w:pPr>
        <w:pStyle w:val="Heading2"/>
      </w:pPr>
      <w:r>
        <w:t xml:space="preserve">Open Questions and Limitations</w:t>
      </w:r>
    </w:p>
    <w:p>
      <w:pPr>
        <w:pStyle w:val="FirstParagraph"/>
      </w:pPr>
      <w:r>
        <w:t xml:space="preserve">This report is strongest on federal law and on representative state examples with accessible official materials. It is less uniform on state-by-state benefits and salary comparability because states publish compensation and retirement information in different formats and budget cycles, and because some compensation systems rely on supplements or formulas rather than a single statewide number. NCSC itself treats state retirement information as a separate dataset because the plans are not standardized.</w:t>
      </w:r>
      <w:r>
        <w:t xml:space="preserve"> </w:t>
      </w:r>
      <w:hyperlink r:id="rId46">
        <w:r>
          <w:rPr>
            <w:rStyle w:val="Hyperlink"/>
          </w:rPr>
          <w:t xml:space="preserve">[71]</w:t>
        </w:r>
      </w:hyperlink>
    </w:p>
    <w:p>
      <w:pPr>
        <w:pStyle w:val="BodyText"/>
      </w:pPr>
      <w:r>
        <w:t xml:space="preserve">The appointment-method chart is intentionally labeled as a harmonized illustration rather than a definitive universal coding because state high-court selection categories overlap in hybrid jurisdictions, especially New Mexico, and because Hawaii and the District of Columbia do not fit neatly into the most common categories.</w:t>
      </w:r>
      <w:r>
        <w:t xml:space="preserve"> </w:t>
      </w:r>
      <w:hyperlink r:id="rId28">
        <w:r>
          <w:rPr>
            <w:rStyle w:val="Hyperlink"/>
          </w:rPr>
          <w:t xml:space="preserve">[72]</w:t>
        </w:r>
      </w:hyperlink>
    </w:p>
    <w:p>
      <w:pPr>
        <w:pStyle w:val="BodyText"/>
      </w:pPr>
      <w:r>
        <w:t xml:space="preserve">Florida compensation is the clearest example of a current data gap. The reviewed sources itemized FY 2024–25 judicial salaries and separately reported a 2 percent increase effective July 1, 2025, but did not provide the revised itemized salary table in the source reviewed here. Accordingly, the Florida figures above are stated conservatively and transparently.</w:t>
      </w:r>
      <w:r>
        <w:t xml:space="preserve"> </w:t>
      </w:r>
      <w:hyperlink r:id="rId43">
        <w:r>
          <w:rPr>
            <w:rStyle w:val="Hyperlink"/>
          </w:rPr>
          <w:t xml:space="preserve">[52]</w:t>
        </w:r>
      </w:hyperlink>
    </w:p>
    <w:bookmarkEnd w:id="67"/>
    <w:bookmarkEnd w:id="68"/>
    <w:bookmarkEnd w:id="69"/>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21">
        <w:r>
          <w:rPr>
            <w:rStyle w:val="Hyperlink"/>
          </w:rPr>
          <w:t xml:space="preserve">[53]</w:t>
        </w:r>
      </w:hyperlink>
      <w:r>
        <w:t xml:space="preserve"> </w:t>
      </w:r>
      <w:r>
        <w:t xml:space="preserve">https://www.uscourts.gov/about-federal-courts/about-federal-judges/types-federal-judges/faqs-federal-judges</w:t>
      </w:r>
    </w:p>
    <w:p>
      <w:pPr>
        <w:pStyle w:val="BodyText"/>
      </w:pPr>
      <w:hyperlink r:id="rId21">
        <w:r>
          <w:rPr>
            <w:rStyle w:val="Hyperlink"/>
          </w:rPr>
          <w:t xml:space="preserve">https://www.uscourts.gov/about-federal-courts/about-federal-judges/types-federal-judges/faqs-federal-judges</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[10]</w:t>
        </w:r>
      </w:hyperlink>
      <w:r>
        <w:t xml:space="preserve"> </w:t>
      </w:r>
      <w:hyperlink r:id="rId22">
        <w:r>
          <w:rPr>
            <w:rStyle w:val="Hyperlink"/>
          </w:rPr>
          <w:t xml:space="preserve">[28]</w:t>
        </w:r>
      </w:hyperlink>
      <w:r>
        <w:t xml:space="preserve"> </w:t>
      </w:r>
      <w:r>
        <w:t xml:space="preserve">https://constitution.congress.gov/browse/article-3/section-1/</w:t>
      </w:r>
    </w:p>
    <w:p>
      <w:pPr>
        <w:pStyle w:val="BodyText"/>
      </w:pPr>
      <w:hyperlink r:id="rId22">
        <w:r>
          <w:rPr>
            <w:rStyle w:val="Hyperlink"/>
          </w:rPr>
          <w:t xml:space="preserve">https://constitution.congress.gov/browse/article-3/section-1/</w:t>
        </w:r>
      </w:hyperlink>
    </w:p>
    <w:p>
      <w:pPr>
        <w:pStyle w:val="BodyText"/>
      </w:pPr>
      <w:hyperlink r:id="rId23">
        <w:r>
          <w:rPr>
            <w:rStyle w:val="Hyperlink"/>
          </w:rPr>
          <w:t xml:space="preserve">[3]</w:t>
        </w:r>
      </w:hyperlink>
      <w:r>
        <w:t xml:space="preserve"> </w:t>
      </w:r>
      <w:hyperlink r:id="rId23">
        <w:r>
          <w:rPr>
            <w:rStyle w:val="Hyperlink"/>
          </w:rPr>
          <w:t xml:space="preserve">[37]</w:t>
        </w:r>
      </w:hyperlink>
      <w:r>
        <w:t xml:space="preserve"> </w:t>
      </w:r>
      <w:hyperlink r:id="rId23">
        <w:r>
          <w:rPr>
            <w:rStyle w:val="Hyperlink"/>
          </w:rPr>
          <w:t xml:space="preserve">[40]</w:t>
        </w:r>
      </w:hyperlink>
      <w:r>
        <w:t xml:space="preserve"> </w:t>
      </w:r>
      <w:hyperlink r:id="rId23">
        <w:r>
          <w:rPr>
            <w:rStyle w:val="Hyperlink"/>
          </w:rPr>
          <w:t xml:space="preserve">[65]</w:t>
        </w:r>
      </w:hyperlink>
      <w:r>
        <w:t xml:space="preserve"> </w:t>
      </w:r>
      <w:hyperlink r:id="rId23">
        <w:r>
          <w:rPr>
            <w:rStyle w:val="Hyperlink"/>
          </w:rPr>
          <w:t xml:space="preserve">[70]</w:t>
        </w:r>
      </w:hyperlink>
      <w:r>
        <w:t xml:space="preserve"> </w:t>
      </w:r>
      <w:r>
        <w:t xml:space="preserve">https://constitution.congress.gov/browse/essay/artIII-S1-10-2-3/ALDE_00000686/</w:t>
      </w:r>
    </w:p>
    <w:p>
      <w:pPr>
        <w:pStyle w:val="BodyText"/>
      </w:pPr>
      <w:hyperlink r:id="rId23">
        <w:r>
          <w:rPr>
            <w:rStyle w:val="Hyperlink"/>
          </w:rPr>
          <w:t xml:space="preserve">https://constitution.congress.gov/browse/essay/artIII-S1-10-2-3/ALDE_00000686/</w:t>
        </w:r>
      </w:hyperlink>
    </w:p>
    <w:p>
      <w:pPr>
        <w:pStyle w:val="BodyText"/>
      </w:pPr>
      <w:hyperlink r:id="rId24">
        <w:r>
          <w:rPr>
            <w:rStyle w:val="Hyperlink"/>
          </w:rPr>
          <w:t xml:space="preserve">[4]</w:t>
        </w:r>
      </w:hyperlink>
      <w:r>
        <w:t xml:space="preserve"> </w:t>
      </w:r>
      <w:hyperlink r:id="rId24">
        <w:r>
          <w:rPr>
            <w:rStyle w:val="Hyperlink"/>
          </w:rPr>
          <w:t xml:space="preserve">[22]</w:t>
        </w:r>
      </w:hyperlink>
      <w:r>
        <w:t xml:space="preserve"> </w:t>
      </w:r>
      <w:r>
        <w:t xml:space="preserve">https://constitution.congress.gov/browse/article-2/section-2/clause-2/</w:t>
      </w:r>
    </w:p>
    <w:p>
      <w:pPr>
        <w:pStyle w:val="BodyText"/>
      </w:pPr>
      <w:hyperlink r:id="rId24">
        <w:r>
          <w:rPr>
            <w:rStyle w:val="Hyperlink"/>
          </w:rPr>
          <w:t xml:space="preserve">https://constitution.congress.gov/browse/article-2/section-2/clause-2/</w:t>
        </w:r>
      </w:hyperlink>
    </w:p>
    <w:p>
      <w:pPr>
        <w:pStyle w:val="BodyText"/>
      </w:pPr>
      <w:hyperlink r:id="rId25">
        <w:r>
          <w:rPr>
            <w:rStyle w:val="Hyperlink"/>
          </w:rPr>
          <w:t xml:space="preserve">[5]</w:t>
        </w:r>
      </w:hyperlink>
      <w:r>
        <w:t xml:space="preserve"> </w:t>
      </w:r>
      <w:hyperlink r:id="rId25">
        <w:r>
          <w:rPr>
            <w:rStyle w:val="Hyperlink"/>
          </w:rPr>
          <w:t xml:space="preserve">[56]</w:t>
        </w:r>
      </w:hyperlink>
      <w:r>
        <w:t xml:space="preserve"> </w:t>
      </w:r>
      <w:hyperlink r:id="rId25">
        <w:r>
          <w:rPr>
            <w:rStyle w:val="Hyperlink"/>
          </w:rPr>
          <w:t xml:space="preserve">[59]</w:t>
        </w:r>
      </w:hyperlink>
      <w:r>
        <w:t xml:space="preserve"> </w:t>
      </w:r>
      <w:r>
        <w:t xml:space="preserve">https://constitution.congress.gov/browse/essay/artIII-S1-3/ALDE_00013514/</w:t>
      </w:r>
    </w:p>
    <w:p>
      <w:pPr>
        <w:pStyle w:val="BodyText"/>
      </w:pPr>
      <w:hyperlink r:id="rId25">
        <w:r>
          <w:rPr>
            <w:rStyle w:val="Hyperlink"/>
          </w:rPr>
          <w:t xml:space="preserve">https://constitution.congress.gov/browse/essay/artIII-S1-3/ALDE_00013514/</w:t>
        </w:r>
      </w:hyperlink>
    </w:p>
    <w:p>
      <w:pPr>
        <w:pStyle w:val="BodyText"/>
      </w:pPr>
      <w:hyperlink r:id="rId26">
        <w:r>
          <w:rPr>
            <w:rStyle w:val="Hyperlink"/>
          </w:rPr>
          <w:t xml:space="preserve">[6]</w:t>
        </w:r>
      </w:hyperlink>
      <w:r>
        <w:t xml:space="preserve"> </w:t>
      </w:r>
      <w:hyperlink r:id="rId26">
        <w:r>
          <w:rPr>
            <w:rStyle w:val="Hyperlink"/>
          </w:rPr>
          <w:t xml:space="preserve">[20]</w:t>
        </w:r>
      </w:hyperlink>
      <w:r>
        <w:t xml:space="preserve"> </w:t>
      </w:r>
      <w:hyperlink r:id="rId26">
        <w:r>
          <w:rPr>
            <w:rStyle w:val="Hyperlink"/>
          </w:rPr>
          <w:t xml:space="preserve">[43]</w:t>
        </w:r>
      </w:hyperlink>
      <w:r>
        <w:t xml:space="preserve"> </w:t>
      </w:r>
      <w:r>
        <w:t xml:space="preserve">Judicial Compensation</w:t>
      </w:r>
    </w:p>
    <w:p>
      <w:pPr>
        <w:pStyle w:val="BodyText"/>
      </w:pPr>
      <w:hyperlink r:id="rId26">
        <w:r>
          <w:rPr>
            <w:rStyle w:val="Hyperlink"/>
          </w:rPr>
          <w:t xml:space="preserve">https://www.uscourts.gov/about-federal-courts/about-federal-judges/judicial-compensation</w:t>
        </w:r>
      </w:hyperlink>
    </w:p>
    <w:p>
      <w:pPr>
        <w:pStyle w:val="BodyText"/>
      </w:pPr>
      <w:hyperlink r:id="rId28">
        <w:r>
          <w:rPr>
            <w:rStyle w:val="Hyperlink"/>
          </w:rPr>
          <w:t xml:space="preserve">[7]</w:t>
        </w:r>
      </w:hyperlink>
      <w:r>
        <w:t xml:space="preserve"> </w:t>
      </w:r>
      <w:hyperlink r:id="rId28">
        <w:r>
          <w:rPr>
            <w:rStyle w:val="Hyperlink"/>
          </w:rPr>
          <w:t xml:space="preserve">[32]</w:t>
        </w:r>
      </w:hyperlink>
      <w:r>
        <w:t xml:space="preserve"> </w:t>
      </w:r>
      <w:hyperlink r:id="rId28">
        <w:r>
          <w:rPr>
            <w:rStyle w:val="Hyperlink"/>
          </w:rPr>
          <w:t xml:space="preserve">[39]</w:t>
        </w:r>
      </w:hyperlink>
      <w:r>
        <w:t xml:space="preserve"> </w:t>
      </w:r>
      <w:hyperlink r:id="rId28">
        <w:r>
          <w:rPr>
            <w:rStyle w:val="Hyperlink"/>
          </w:rPr>
          <w:t xml:space="preserve">[72]</w:t>
        </w:r>
      </w:hyperlink>
      <w:r>
        <w:t xml:space="preserve"> </w:t>
      </w:r>
      <w:r>
        <w:t xml:space="preserve">https://www.brennancenter.org/our-work/research-reports/how-state-judges-are-selected</w:t>
      </w:r>
    </w:p>
    <w:p>
      <w:pPr>
        <w:pStyle w:val="BodyText"/>
      </w:pPr>
      <w:hyperlink r:id="rId28">
        <w:r>
          <w:rPr>
            <w:rStyle w:val="Hyperlink"/>
          </w:rPr>
          <w:t xml:space="preserve">https://www.brennancenter.org/our-work/research-reports/how-state-judges-are-selected</w:t>
        </w:r>
      </w:hyperlink>
    </w:p>
    <w:p>
      <w:pPr>
        <w:pStyle w:val="BodyText"/>
      </w:pPr>
      <w:hyperlink r:id="rId29">
        <w:r>
          <w:rPr>
            <w:rStyle w:val="Hyperlink"/>
          </w:rPr>
          <w:t xml:space="preserve">[9]</w:t>
        </w:r>
      </w:hyperlink>
      <w:r>
        <w:t xml:space="preserve"> </w:t>
      </w:r>
      <w:hyperlink r:id="rId29">
        <w:r>
          <w:rPr>
            <w:rStyle w:val="Hyperlink"/>
          </w:rPr>
          <w:t xml:space="preserve">[18]</w:t>
        </w:r>
      </w:hyperlink>
      <w:r>
        <w:t xml:space="preserve"> </w:t>
      </w:r>
      <w:r>
        <w:t xml:space="preserve">https://www.vacourts.gov/</w:t>
      </w:r>
    </w:p>
    <w:p>
      <w:pPr>
        <w:pStyle w:val="BodyText"/>
      </w:pPr>
      <w:hyperlink r:id="rId29">
        <w:r>
          <w:rPr>
            <w:rStyle w:val="Hyperlink"/>
          </w:rPr>
          <w:t xml:space="preserve">https://www.vacourts.gov/</w:t>
        </w:r>
      </w:hyperlink>
    </w:p>
    <w:p>
      <w:pPr>
        <w:pStyle w:val="BodyText"/>
      </w:pPr>
      <w:hyperlink r:id="rId30">
        <w:r>
          <w:rPr>
            <w:rStyle w:val="Hyperlink"/>
          </w:rPr>
          <w:t xml:space="preserve">[11]</w:t>
        </w:r>
      </w:hyperlink>
      <w:r>
        <w:t xml:space="preserve"> </w:t>
      </w:r>
      <w:hyperlink r:id="rId30">
        <w:r>
          <w:rPr>
            <w:rStyle w:val="Hyperlink"/>
          </w:rPr>
          <w:t xml:space="preserve">[16]</w:t>
        </w:r>
      </w:hyperlink>
      <w:r>
        <w:t xml:space="preserve"> </w:t>
      </w:r>
      <w:hyperlink r:id="rId30">
        <w:r>
          <w:rPr>
            <w:rStyle w:val="Hyperlink"/>
          </w:rPr>
          <w:t xml:space="preserve">[17]</w:t>
        </w:r>
      </w:hyperlink>
      <w:r>
        <w:t xml:space="preserve"> </w:t>
      </w:r>
      <w:hyperlink r:id="rId30">
        <w:r>
          <w:rPr>
            <w:rStyle w:val="Hyperlink"/>
          </w:rPr>
          <w:t xml:space="preserve">[30]</w:t>
        </w:r>
      </w:hyperlink>
      <w:r>
        <w:t xml:space="preserve"> </w:t>
      </w:r>
      <w:hyperlink r:id="rId30">
        <w:r>
          <w:rPr>
            <w:rStyle w:val="Hyperlink"/>
          </w:rPr>
          <w:t xml:space="preserve">[41]</w:t>
        </w:r>
      </w:hyperlink>
      <w:r>
        <w:t xml:space="preserve"> </w:t>
      </w:r>
      <w:r>
        <w:t xml:space="preserve">https://www.uscourts.gov/about-federal-courts/types-federal-judges</w:t>
      </w:r>
    </w:p>
    <w:p>
      <w:pPr>
        <w:pStyle w:val="BodyText"/>
      </w:pPr>
      <w:hyperlink r:id="rId30">
        <w:r>
          <w:rPr>
            <w:rStyle w:val="Hyperlink"/>
          </w:rPr>
          <w:t xml:space="preserve">https://www.uscourts.gov/about-federal-courts/types-federal-judges</w:t>
        </w:r>
      </w:hyperlink>
    </w:p>
    <w:p>
      <w:pPr>
        <w:pStyle w:val="BodyText"/>
      </w:pPr>
      <w:hyperlink r:id="rId31">
        <w:r>
          <w:rPr>
            <w:rStyle w:val="Hyperlink"/>
          </w:rPr>
          <w:t xml:space="preserve">[12]</w:t>
        </w:r>
      </w:hyperlink>
      <w:r>
        <w:t xml:space="preserve"> </w:t>
      </w:r>
      <w:r>
        <w:t xml:space="preserve">https://www.uscourts.gov/about-federal-courts/court-role-and-structure</w:t>
      </w:r>
    </w:p>
    <w:p>
      <w:pPr>
        <w:pStyle w:val="BodyText"/>
      </w:pPr>
      <w:hyperlink r:id="rId31">
        <w:r>
          <w:rPr>
            <w:rStyle w:val="Hyperlink"/>
          </w:rPr>
          <w:t xml:space="preserve">https://www.uscourts.gov/about-federal-courts/court-role-and-structure</w:t>
        </w:r>
      </w:hyperlink>
    </w:p>
    <w:p>
      <w:pPr>
        <w:pStyle w:val="BodyText"/>
      </w:pPr>
      <w:hyperlink r:id="rId32">
        <w:r>
          <w:rPr>
            <w:rStyle w:val="Hyperlink"/>
          </w:rPr>
          <w:t xml:space="preserve">[13]</w:t>
        </w:r>
      </w:hyperlink>
      <w:r>
        <w:t xml:space="preserve"> </w:t>
      </w:r>
      <w:hyperlink r:id="rId32">
        <w:r>
          <w:rPr>
            <w:rStyle w:val="Hyperlink"/>
          </w:rPr>
          <w:t xml:space="preserve">[14]</w:t>
        </w:r>
      </w:hyperlink>
      <w:r>
        <w:t xml:space="preserve"> </w:t>
      </w:r>
      <w:hyperlink r:id="rId32">
        <w:r>
          <w:rPr>
            <w:rStyle w:val="Hyperlink"/>
          </w:rPr>
          <w:t xml:space="preserve">[15]</w:t>
        </w:r>
      </w:hyperlink>
      <w:r>
        <w:t xml:space="preserve"> </w:t>
      </w:r>
      <w:hyperlink r:id="rId32">
        <w:r>
          <w:rPr>
            <w:rStyle w:val="Hyperlink"/>
          </w:rPr>
          <w:t xml:space="preserve">[24]</w:t>
        </w:r>
      </w:hyperlink>
      <w:r>
        <w:t xml:space="preserve"> </w:t>
      </w:r>
      <w:hyperlink r:id="rId32">
        <w:r>
          <w:rPr>
            <w:rStyle w:val="Hyperlink"/>
          </w:rPr>
          <w:t xml:space="preserve">[64]</w:t>
        </w:r>
      </w:hyperlink>
      <w:r>
        <w:t xml:space="preserve"> </w:t>
      </w:r>
      <w:r>
        <w:t xml:space="preserve">https://www.uscourts.gov/data-news/reports/handbooks-manuals/a-journalists-guide-federal-courts/judges-and-judicial-administration-journalists-guide</w:t>
      </w:r>
    </w:p>
    <w:p>
      <w:pPr>
        <w:pStyle w:val="BodyText"/>
      </w:pPr>
      <w:hyperlink r:id="rId32">
        <w:r>
          <w:rPr>
            <w:rStyle w:val="Hyperlink"/>
          </w:rPr>
          <w:t xml:space="preserve">https://www.uscourts.gov/data-news/reports/handbooks-manuals/a-journalists-guide-federal-courts/judges-and-judicial-administration-journalists-guide</w:t>
        </w:r>
      </w:hyperlink>
    </w:p>
    <w:p>
      <w:pPr>
        <w:pStyle w:val="BodyText"/>
      </w:pPr>
      <w:hyperlink r:id="rId34">
        <w:r>
          <w:rPr>
            <w:rStyle w:val="Hyperlink"/>
          </w:rPr>
          <w:t xml:space="preserve">[19]</w:t>
        </w:r>
      </w:hyperlink>
      <w:r>
        <w:t xml:space="preserve"> </w:t>
      </w:r>
      <w:r>
        <w:t xml:space="preserve">https://www.opm.gov/policy-data-oversight/pay-leave/salaries-wages/salary-tables/26Tables/exec/html/ALJ.aspx</w:t>
      </w:r>
    </w:p>
    <w:p>
      <w:pPr>
        <w:pStyle w:val="BodyText"/>
      </w:pPr>
      <w:hyperlink r:id="rId34">
        <w:r>
          <w:rPr>
            <w:rStyle w:val="Hyperlink"/>
          </w:rPr>
          <w:t xml:space="preserve">https://www.opm.gov/policy-data-oversight/pay-leave/salaries-wages/salary-tables/26Tables/exec/html/ALJ.aspx</w:t>
        </w:r>
      </w:hyperlink>
    </w:p>
    <w:p>
      <w:pPr>
        <w:pStyle w:val="BodyText"/>
      </w:pPr>
      <w:hyperlink r:id="rId36">
        <w:r>
          <w:rPr>
            <w:rStyle w:val="Hyperlink"/>
          </w:rPr>
          <w:t xml:space="preserve">[21]</w:t>
        </w:r>
      </w:hyperlink>
      <w:r>
        <w:t xml:space="preserve"> </w:t>
      </w:r>
      <w:hyperlink r:id="rId36">
        <w:r>
          <w:rPr>
            <w:rStyle w:val="Hyperlink"/>
          </w:rPr>
          <w:t xml:space="preserve">[29]</w:t>
        </w:r>
      </w:hyperlink>
      <w:r>
        <w:t xml:space="preserve"> </w:t>
      </w:r>
      <w:r>
        <w:t xml:space="preserve">https://supremecourt.flcourts.gov/the-court/about-the-court/justices/merit-selection-retention-retirement</w:t>
      </w:r>
    </w:p>
    <w:p>
      <w:pPr>
        <w:pStyle w:val="BodyText"/>
      </w:pPr>
      <w:hyperlink r:id="rId36">
        <w:r>
          <w:rPr>
            <w:rStyle w:val="Hyperlink"/>
          </w:rPr>
          <w:t xml:space="preserve">https://supremecourt.flcourts.gov/the-court/about-the-court/justices/merit-selection-retention-retirement</w:t>
        </w:r>
      </w:hyperlink>
    </w:p>
    <w:p>
      <w:pPr>
        <w:pStyle w:val="BodyText"/>
      </w:pPr>
      <w:hyperlink r:id="rId37">
        <w:r>
          <w:rPr>
            <w:rStyle w:val="Hyperlink"/>
          </w:rPr>
          <w:t xml:space="preserve">[23]</w:t>
        </w:r>
      </w:hyperlink>
      <w:r>
        <w:t xml:space="preserve"> </w:t>
      </w:r>
      <w:r>
        <w:t xml:space="preserve">https://crsreports.congress.gov/product/details?prodcode=R46533</w:t>
      </w:r>
    </w:p>
    <w:p>
      <w:pPr>
        <w:pStyle w:val="BodyText"/>
      </w:pPr>
      <w:hyperlink r:id="rId37">
        <w:r>
          <w:rPr>
            <w:rStyle w:val="Hyperlink"/>
          </w:rPr>
          <w:t xml:space="preserve">https://crsreports.congress.gov/product/details?prodcode=R46533</w:t>
        </w:r>
      </w:hyperlink>
    </w:p>
    <w:p>
      <w:pPr>
        <w:pStyle w:val="BodyText"/>
      </w:pPr>
      <w:hyperlink r:id="rId38">
        <w:r>
          <w:rPr>
            <w:rStyle w:val="Hyperlink"/>
          </w:rPr>
          <w:t xml:space="preserve">[25]</w:t>
        </w:r>
      </w:hyperlink>
      <w:r>
        <w:t xml:space="preserve"> </w:t>
      </w:r>
      <w:r>
        <w:t xml:space="preserve">https://www.txcourts.gov/media/1461313/judge-qualifications-and-selection-chart-2025.pdf</w:t>
      </w:r>
    </w:p>
    <w:p>
      <w:pPr>
        <w:pStyle w:val="BodyText"/>
      </w:pPr>
      <w:hyperlink r:id="rId38">
        <w:r>
          <w:rPr>
            <w:rStyle w:val="Hyperlink"/>
          </w:rPr>
          <w:t xml:space="preserve">https://www.txcourts.gov/media/1461313/judge-qualifications-and-selection-chart-2025.pdf</w:t>
        </w:r>
      </w:hyperlink>
    </w:p>
    <w:p>
      <w:pPr>
        <w:pStyle w:val="BodyText"/>
      </w:pPr>
      <w:hyperlink r:id="rId39">
        <w:r>
          <w:rPr>
            <w:rStyle w:val="Hyperlink"/>
          </w:rPr>
          <w:t xml:space="preserve">[26]</w:t>
        </w:r>
      </w:hyperlink>
      <w:r>
        <w:t xml:space="preserve"> </w:t>
      </w:r>
      <w:hyperlink r:id="rId39">
        <w:r>
          <w:rPr>
            <w:rStyle w:val="Hyperlink"/>
          </w:rPr>
          <w:t xml:space="preserve">[50]</w:t>
        </w:r>
      </w:hyperlink>
      <w:r>
        <w:t xml:space="preserve"> </w:t>
      </w:r>
      <w:r>
        <w:t xml:space="preserve">https://budget.lis.virginia.gov/item/2025/1/HB1600/Chapter/1/34/</w:t>
      </w:r>
    </w:p>
    <w:p>
      <w:pPr>
        <w:pStyle w:val="BodyText"/>
      </w:pPr>
      <w:hyperlink r:id="rId39">
        <w:r>
          <w:rPr>
            <w:rStyle w:val="Hyperlink"/>
          </w:rPr>
          <w:t xml:space="preserve">https://budget.lis.virginia.gov/item/2025/1/HB1600/Chapter/1/34/</w:t>
        </w:r>
      </w:hyperlink>
    </w:p>
    <w:p>
      <w:pPr>
        <w:pStyle w:val="BodyText"/>
      </w:pPr>
      <w:hyperlink r:id="rId40">
        <w:r>
          <w:rPr>
            <w:rStyle w:val="Hyperlink"/>
          </w:rPr>
          <w:t xml:space="preserve">[27]</w:t>
        </w:r>
      </w:hyperlink>
      <w:r>
        <w:t xml:space="preserve"> </w:t>
      </w:r>
      <w:r>
        <w:t xml:space="preserve">https://www.courts.michigan.gov/4999c7/siteassets/msc-learning-center/justitia_judges.pdf</w:t>
      </w:r>
    </w:p>
    <w:p>
      <w:pPr>
        <w:pStyle w:val="BodyText"/>
      </w:pPr>
      <w:hyperlink r:id="rId40">
        <w:r>
          <w:rPr>
            <w:rStyle w:val="Hyperlink"/>
          </w:rPr>
          <w:t xml:space="preserve">https://www.courts.michigan.gov/4999c7/siteassets/msc-learning-center/justitia_judges.pdf</w:t>
        </w:r>
      </w:hyperlink>
    </w:p>
    <w:p>
      <w:pPr>
        <w:pStyle w:val="BodyText"/>
      </w:pPr>
      <w:hyperlink r:id="rId41">
        <w:r>
          <w:rPr>
            <w:rStyle w:val="Hyperlink"/>
          </w:rPr>
          <w:t xml:space="preserve">[31]</w:t>
        </w:r>
      </w:hyperlink>
      <w:r>
        <w:t xml:space="preserve"> </w:t>
      </w:r>
      <w:r>
        <w:t xml:space="preserve">https://www.azcourts.gov/meetthejustices/</w:t>
      </w:r>
    </w:p>
    <w:p>
      <w:pPr>
        <w:pStyle w:val="BodyText"/>
      </w:pPr>
      <w:hyperlink r:id="rId41">
        <w:r>
          <w:rPr>
            <w:rStyle w:val="Hyperlink"/>
          </w:rPr>
          <w:t xml:space="preserve">https://www.azcourts.gov/meetthejustices/</w:t>
        </w:r>
      </w:hyperlink>
    </w:p>
    <w:p>
      <w:pPr>
        <w:pStyle w:val="BodyText"/>
      </w:pPr>
      <w:hyperlink r:id="rId42">
        <w:r>
          <w:rPr>
            <w:rStyle w:val="Hyperlink"/>
          </w:rPr>
          <w:t xml:space="preserve">[33]</w:t>
        </w:r>
      </w:hyperlink>
      <w:r>
        <w:t xml:space="preserve"> </w:t>
      </w:r>
      <w:r>
        <w:t xml:space="preserve">https://courts.ca.gov/about/state-branch-resources/commission-judicial-appointments</w:t>
      </w:r>
    </w:p>
    <w:p>
      <w:pPr>
        <w:pStyle w:val="BodyText"/>
      </w:pPr>
      <w:hyperlink r:id="rId42">
        <w:r>
          <w:rPr>
            <w:rStyle w:val="Hyperlink"/>
          </w:rPr>
          <w:t xml:space="preserve">https://courts.ca.gov/about/state-branch-resources/commission-judicial-appointments</w:t>
        </w:r>
      </w:hyperlink>
    </w:p>
    <w:p>
      <w:pPr>
        <w:pStyle w:val="BodyText"/>
      </w:pPr>
      <w:hyperlink r:id="rId43">
        <w:r>
          <w:rPr>
            <w:rStyle w:val="Hyperlink"/>
          </w:rPr>
          <w:t xml:space="preserve">[34]</w:t>
        </w:r>
      </w:hyperlink>
      <w:r>
        <w:t xml:space="preserve"> </w:t>
      </w:r>
      <w:hyperlink r:id="rId43">
        <w:r>
          <w:rPr>
            <w:rStyle w:val="Hyperlink"/>
          </w:rPr>
          <w:t xml:space="preserve">[52]</w:t>
        </w:r>
      </w:hyperlink>
      <w:r>
        <w:t xml:space="preserve"> </w:t>
      </w:r>
      <w:r>
        <w:t xml:space="preserve">https://www.floridabar.org/the-florida-bar-news/judicial-branch-receives-a-budget-boost/</w:t>
      </w:r>
    </w:p>
    <w:p>
      <w:pPr>
        <w:pStyle w:val="BodyText"/>
      </w:pPr>
      <w:hyperlink r:id="rId43">
        <w:r>
          <w:rPr>
            <w:rStyle w:val="Hyperlink"/>
          </w:rPr>
          <w:t xml:space="preserve">https://www.floridabar.org/the-florida-bar-news/judicial-branch-receives-a-budget-boost/</w:t>
        </w:r>
      </w:hyperlink>
    </w:p>
    <w:p>
      <w:pPr>
        <w:pStyle w:val="BodyText"/>
      </w:pPr>
      <w:hyperlink r:id="rId44">
        <w:r>
          <w:rPr>
            <w:rStyle w:val="Hyperlink"/>
          </w:rPr>
          <w:t xml:space="preserve">[35]</w:t>
        </w:r>
      </w:hyperlink>
      <w:r>
        <w:t xml:space="preserve"> </w:t>
      </w:r>
      <w:r>
        <w:t xml:space="preserve">https://www.vacourts.gov/courts/scv/scvinfo.pdf</w:t>
      </w:r>
    </w:p>
    <w:p>
      <w:pPr>
        <w:pStyle w:val="BodyText"/>
      </w:pPr>
      <w:hyperlink r:id="rId44">
        <w:r>
          <w:rPr>
            <w:rStyle w:val="Hyperlink"/>
          </w:rPr>
          <w:t xml:space="preserve">https://www.vacourts.gov/courts/scv/scvinfo.pdf</w:t>
        </w:r>
      </w:hyperlink>
    </w:p>
    <w:p>
      <w:pPr>
        <w:pStyle w:val="BodyText"/>
      </w:pPr>
      <w:hyperlink r:id="rId45">
        <w:r>
          <w:rPr>
            <w:rStyle w:val="Hyperlink"/>
          </w:rPr>
          <w:t xml:space="preserve">[36]</w:t>
        </w:r>
      </w:hyperlink>
      <w:r>
        <w:t xml:space="preserve"> </w:t>
      </w:r>
      <w:hyperlink r:id="rId45">
        <w:r>
          <w:rPr>
            <w:rStyle w:val="Hyperlink"/>
          </w:rPr>
          <w:t xml:space="preserve">[63]</w:t>
        </w:r>
      </w:hyperlink>
      <w:r>
        <w:t xml:space="preserve"> </w:t>
      </w:r>
      <w:r>
        <w:t xml:space="preserve">https://uscode.house.gov/view.xhtml?req=%28title%3A18+section%3A401+edition%3Aprelim%29</w:t>
      </w:r>
    </w:p>
    <w:p>
      <w:pPr>
        <w:pStyle w:val="BodyText"/>
      </w:pPr>
      <w:hyperlink r:id="rId45">
        <w:r>
          <w:rPr>
            <w:rStyle w:val="Hyperlink"/>
          </w:rPr>
          <w:t xml:space="preserve">https://uscode.house.gov/view.xhtml?req=%28title%3A18+section%3A401+edition%3Aprelim%29</w:t>
        </w:r>
      </w:hyperlink>
    </w:p>
    <w:p>
      <w:pPr>
        <w:pStyle w:val="BodyText"/>
      </w:pPr>
      <w:hyperlink r:id="rId46">
        <w:r>
          <w:rPr>
            <w:rStyle w:val="Hyperlink"/>
          </w:rPr>
          <w:t xml:space="preserve">[38]</w:t>
        </w:r>
      </w:hyperlink>
      <w:r>
        <w:t xml:space="preserve"> </w:t>
      </w:r>
      <w:hyperlink r:id="rId46">
        <w:r>
          <w:rPr>
            <w:rStyle w:val="Hyperlink"/>
          </w:rPr>
          <w:t xml:space="preserve">[71]</w:t>
        </w:r>
      </w:hyperlink>
      <w:r>
        <w:t xml:space="preserve"> </w:t>
      </w:r>
      <w:r>
        <w:t xml:space="preserve">https://www.ncsc.org/resources-courts/state-state-tracking-judicial-salaries</w:t>
      </w:r>
    </w:p>
    <w:p>
      <w:pPr>
        <w:pStyle w:val="BodyText"/>
      </w:pPr>
      <w:hyperlink r:id="rId46">
        <w:r>
          <w:rPr>
            <w:rStyle w:val="Hyperlink"/>
          </w:rPr>
          <w:t xml:space="preserve">https://www.ncsc.org/resources-courts/state-state-tracking-judicial-salaries</w:t>
        </w:r>
      </w:hyperlink>
    </w:p>
    <w:p>
      <w:pPr>
        <w:pStyle w:val="BodyText"/>
      </w:pPr>
      <w:hyperlink r:id="rId48">
        <w:r>
          <w:rPr>
            <w:rStyle w:val="Hyperlink"/>
          </w:rPr>
          <w:t xml:space="preserve">[42]</w:t>
        </w:r>
      </w:hyperlink>
      <w:r>
        <w:t xml:space="preserve"> </w:t>
      </w:r>
      <w:r>
        <w:t xml:space="preserve">https://newsroom.courts.ca.gov/faq/how-are-justices-supreme-court-selected</w:t>
      </w:r>
    </w:p>
    <w:p>
      <w:pPr>
        <w:pStyle w:val="BodyText"/>
      </w:pPr>
      <w:hyperlink r:id="rId48">
        <w:r>
          <w:rPr>
            <w:rStyle w:val="Hyperlink"/>
          </w:rPr>
          <w:t xml:space="preserve">https://newsroom.courts.ca.gov/faq/how-are-justices-supreme-court-selected</w:t>
        </w:r>
      </w:hyperlink>
    </w:p>
    <w:p>
      <w:pPr>
        <w:pStyle w:val="BodyText"/>
      </w:pPr>
      <w:hyperlink r:id="rId49">
        <w:r>
          <w:rPr>
            <w:rStyle w:val="Hyperlink"/>
          </w:rPr>
          <w:t xml:space="preserve">[44]</w:t>
        </w:r>
      </w:hyperlink>
      <w:r>
        <w:t xml:space="preserve"> </w:t>
      </w:r>
      <w:r>
        <w:t xml:space="preserve">https://www.flmd.uscourts.gov/announcements/public-notice-appointment-magistrate-judge-tpa</w:t>
      </w:r>
    </w:p>
    <w:p>
      <w:pPr>
        <w:pStyle w:val="BodyText"/>
      </w:pPr>
      <w:hyperlink r:id="rId49">
        <w:r>
          <w:rPr>
            <w:rStyle w:val="Hyperlink"/>
          </w:rPr>
          <w:t xml:space="preserve">https://www.flmd.uscourts.gov/announcements/public-notice-appointment-magistrate-judge-tpa</w:t>
        </w:r>
      </w:hyperlink>
    </w:p>
    <w:p>
      <w:pPr>
        <w:pStyle w:val="BodyText"/>
      </w:pPr>
      <w:hyperlink r:id="rId50">
        <w:r>
          <w:rPr>
            <w:rStyle w:val="Hyperlink"/>
          </w:rPr>
          <w:t xml:space="preserve">[45]</w:t>
        </w:r>
      </w:hyperlink>
      <w:r>
        <w:t xml:space="preserve"> </w:t>
      </w:r>
      <w:r>
        <w:t xml:space="preserve">https://www.uscourts.gov/careers/current-job-openings/137761</w:t>
      </w:r>
    </w:p>
    <w:p>
      <w:pPr>
        <w:pStyle w:val="BodyText"/>
      </w:pPr>
      <w:hyperlink r:id="rId50">
        <w:r>
          <w:rPr>
            <w:rStyle w:val="Hyperlink"/>
          </w:rPr>
          <w:t xml:space="preserve">https://www.uscourts.gov/careers/current-job-openings/137761</w:t>
        </w:r>
      </w:hyperlink>
    </w:p>
    <w:p>
      <w:pPr>
        <w:pStyle w:val="BodyText"/>
      </w:pPr>
      <w:hyperlink r:id="rId51">
        <w:r>
          <w:rPr>
            <w:rStyle w:val="Hyperlink"/>
          </w:rPr>
          <w:t xml:space="preserve">[46]</w:t>
        </w:r>
      </w:hyperlink>
      <w:r>
        <w:t xml:space="preserve"> </w:t>
      </w:r>
      <w:hyperlink r:id="rId51">
        <w:r>
          <w:rPr>
            <w:rStyle w:val="Hyperlink"/>
          </w:rPr>
          <w:t xml:space="preserve">[48]</w:t>
        </w:r>
      </w:hyperlink>
      <w:r>
        <w:t xml:space="preserve"> </w:t>
      </w:r>
      <w:r>
        <w:t xml:space="preserve">https://www.azleg.gov/legtext/56leg/2R/summary/S.2897-1735APPROP_ASENACTED.pdf</w:t>
      </w:r>
    </w:p>
    <w:p>
      <w:pPr>
        <w:pStyle w:val="BodyText"/>
      </w:pPr>
      <w:hyperlink r:id="rId51">
        <w:r>
          <w:rPr>
            <w:rStyle w:val="Hyperlink"/>
          </w:rPr>
          <w:t xml:space="preserve">https://www.azleg.gov/legtext/56leg/2R/summary/S.2897-1735APPROP_ASENACTED.pdf</w:t>
        </w:r>
      </w:hyperlink>
    </w:p>
    <w:p>
      <w:pPr>
        <w:pStyle w:val="BodyText"/>
      </w:pPr>
      <w:hyperlink r:id="rId52">
        <w:r>
          <w:rPr>
            <w:rStyle w:val="Hyperlink"/>
          </w:rPr>
          <w:t xml:space="preserve">[47]</w:t>
        </w:r>
      </w:hyperlink>
      <w:r>
        <w:t xml:space="preserve"> </w:t>
      </w:r>
      <w:r>
        <w:t xml:space="preserve">https://www.azcourts.gov/Portals/0/News%20Release-Applications%20Being%20Accepted-McMurdie.pdf</w:t>
      </w:r>
    </w:p>
    <w:p>
      <w:pPr>
        <w:pStyle w:val="BodyText"/>
      </w:pPr>
      <w:hyperlink r:id="rId52">
        <w:r>
          <w:rPr>
            <w:rStyle w:val="Hyperlink"/>
          </w:rPr>
          <w:t xml:space="preserve">https://www.azcourts.gov/Portals/0/News%20Release-Applications%20Being%20Accepted-McMurdie.pdf</w:t>
        </w:r>
      </w:hyperlink>
    </w:p>
    <w:p>
      <w:pPr>
        <w:pStyle w:val="BodyText"/>
      </w:pPr>
      <w:hyperlink r:id="rId53">
        <w:r>
          <w:rPr>
            <w:rStyle w:val="Hyperlink"/>
          </w:rPr>
          <w:t xml:space="preserve">[49]</w:t>
        </w:r>
      </w:hyperlink>
      <w:r>
        <w:t xml:space="preserve"> </w:t>
      </w:r>
      <w:r>
        <w:t xml:space="preserve">https://budget.lis.virginia.gov/item/2024/2/HB6001/Introduced/1/1-33/</w:t>
      </w:r>
    </w:p>
    <w:p>
      <w:pPr>
        <w:pStyle w:val="BodyText"/>
      </w:pPr>
      <w:hyperlink r:id="rId53">
        <w:r>
          <w:rPr>
            <w:rStyle w:val="Hyperlink"/>
          </w:rPr>
          <w:t xml:space="preserve">https://budget.lis.virginia.gov/item/2024/2/HB6001/Introduced/1/1-33/</w:t>
        </w:r>
      </w:hyperlink>
    </w:p>
    <w:p>
      <w:pPr>
        <w:pStyle w:val="BodyText"/>
      </w:pPr>
      <w:hyperlink r:id="rId54">
        <w:r>
          <w:rPr>
            <w:rStyle w:val="Hyperlink"/>
          </w:rPr>
          <w:t xml:space="preserve">[51]</w:t>
        </w:r>
      </w:hyperlink>
      <w:r>
        <w:t xml:space="preserve"> </w:t>
      </w:r>
      <w:r>
        <w:t xml:space="preserve">https://www.txcourts.gov/media/1460947/judicial-salaries-effective-september-2025-updated-7-24-25.pdf</w:t>
      </w:r>
    </w:p>
    <w:p>
      <w:pPr>
        <w:pStyle w:val="BodyText"/>
      </w:pPr>
      <w:hyperlink r:id="rId54">
        <w:r>
          <w:rPr>
            <w:rStyle w:val="Hyperlink"/>
          </w:rPr>
          <w:t xml:space="preserve">https://www.txcourts.gov/media/1460947/judicial-salaries-effective-september-2025-updated-7-24-25.pdf</w:t>
        </w:r>
      </w:hyperlink>
    </w:p>
    <w:p>
      <w:pPr>
        <w:pStyle w:val="BodyText"/>
      </w:pPr>
      <w:hyperlink r:id="rId55">
        <w:r>
          <w:rPr>
            <w:rStyle w:val="Hyperlink"/>
          </w:rPr>
          <w:t xml:space="preserve">[54]</w:t>
        </w:r>
      </w:hyperlink>
      <w:r>
        <w:t xml:space="preserve"> </w:t>
      </w:r>
      <w:r>
        <w:t xml:space="preserve">https://www.judiciary.senate.gov/imo/media/doc/Talley%20SJQ.pdf</w:t>
      </w:r>
    </w:p>
    <w:p>
      <w:pPr>
        <w:pStyle w:val="BodyText"/>
      </w:pPr>
      <w:hyperlink r:id="rId55">
        <w:r>
          <w:rPr>
            <w:rStyle w:val="Hyperlink"/>
          </w:rPr>
          <w:t xml:space="preserve">https://www.judiciary.senate.gov/imo/media/doc/Talley%20SJQ.pdf</w:t>
        </w:r>
      </w:hyperlink>
    </w:p>
    <w:p>
      <w:pPr>
        <w:pStyle w:val="BodyText"/>
      </w:pPr>
      <w:hyperlink r:id="rId57">
        <w:r>
          <w:rPr>
            <w:rStyle w:val="Hyperlink"/>
          </w:rPr>
          <w:t xml:space="preserve">[55]</w:t>
        </w:r>
      </w:hyperlink>
      <w:r>
        <w:t xml:space="preserve"> </w:t>
      </w:r>
      <w:r>
        <w:t xml:space="preserve">https://constitution.congress.gov/browse/article-3/section-2/clause-1/</w:t>
      </w:r>
    </w:p>
    <w:p>
      <w:pPr>
        <w:pStyle w:val="BodyText"/>
      </w:pPr>
      <w:hyperlink r:id="rId57">
        <w:r>
          <w:rPr>
            <w:rStyle w:val="Hyperlink"/>
          </w:rPr>
          <w:t xml:space="preserve">https://constitution.congress.gov/browse/article-3/section-2/clause-1/</w:t>
        </w:r>
      </w:hyperlink>
    </w:p>
    <w:p>
      <w:pPr>
        <w:pStyle w:val="BodyText"/>
      </w:pPr>
      <w:hyperlink r:id="rId58">
        <w:r>
          <w:rPr>
            <w:rStyle w:val="Hyperlink"/>
          </w:rPr>
          <w:t xml:space="preserve">[57]</w:t>
        </w:r>
      </w:hyperlink>
      <w:r>
        <w:t xml:space="preserve"> </w:t>
      </w:r>
      <w:hyperlink r:id="rId58">
        <w:r>
          <w:rPr>
            <w:rStyle w:val="Hyperlink"/>
          </w:rPr>
          <w:t xml:space="preserve">[61]</w:t>
        </w:r>
      </w:hyperlink>
      <w:r>
        <w:t xml:space="preserve"> </w:t>
      </w:r>
      <w:r>
        <w:t xml:space="preserve">https://uscode.house.gov/view.xhtml?edition=prelim&amp;num=0&amp;req=granuleid%3AUSC-prelim-title18-section3553</w:t>
      </w:r>
    </w:p>
    <w:p>
      <w:pPr>
        <w:pStyle w:val="BodyText"/>
      </w:pPr>
      <w:hyperlink r:id="rId58">
        <w:r>
          <w:rPr>
            <w:rStyle w:val="Hyperlink"/>
          </w:rPr>
          <w:t xml:space="preserve">https://uscode.house.gov/view.xhtml?edition=prelim&amp;num=0&amp;req=granuleid%3AUSC-prelim-title18-section3553</w:t>
        </w:r>
      </w:hyperlink>
    </w:p>
    <w:p>
      <w:pPr>
        <w:pStyle w:val="BodyText"/>
      </w:pPr>
      <w:hyperlink r:id="rId59">
        <w:r>
          <w:rPr>
            <w:rStyle w:val="Hyperlink"/>
          </w:rPr>
          <w:t xml:space="preserve">[58]</w:t>
        </w:r>
      </w:hyperlink>
      <w:r>
        <w:t xml:space="preserve"> </w:t>
      </w:r>
      <w:hyperlink r:id="rId59">
        <w:r>
          <w:rPr>
            <w:rStyle w:val="Hyperlink"/>
          </w:rPr>
          <w:t xml:space="preserve">[62]</w:t>
        </w:r>
      </w:hyperlink>
      <w:r>
        <w:t xml:space="preserve"> </w:t>
      </w:r>
      <w:r>
        <w:t xml:space="preserve">https://uscode.house.gov/view.xhtml?edition=prelim&amp;num=0&amp;req=granuleid%3AUSC-prelim-title28-section2071</w:t>
      </w:r>
    </w:p>
    <w:p>
      <w:pPr>
        <w:pStyle w:val="BodyText"/>
      </w:pPr>
      <w:hyperlink r:id="rId59">
        <w:r>
          <w:rPr>
            <w:rStyle w:val="Hyperlink"/>
          </w:rPr>
          <w:t xml:space="preserve">https://uscode.house.gov/view.xhtml?edition=prelim&amp;num=0&amp;req=granuleid%3AUSC-prelim-title28-section2071</w:t>
        </w:r>
      </w:hyperlink>
    </w:p>
    <w:p>
      <w:pPr>
        <w:pStyle w:val="BodyText"/>
      </w:pPr>
      <w:hyperlink r:id="rId60">
        <w:r>
          <w:rPr>
            <w:rStyle w:val="Hyperlink"/>
          </w:rPr>
          <w:t xml:space="preserve">[60]</w:t>
        </w:r>
      </w:hyperlink>
      <w:r>
        <w:t xml:space="preserve"> </w:t>
      </w:r>
      <w:r>
        <w:t xml:space="preserve">https://constitution.congress.gov/browse/essay/artIII-S1-6-5/ALDE_00013233/</w:t>
      </w:r>
    </w:p>
    <w:p>
      <w:pPr>
        <w:pStyle w:val="BodyText"/>
      </w:pPr>
      <w:hyperlink r:id="rId60">
        <w:r>
          <w:rPr>
            <w:rStyle w:val="Hyperlink"/>
          </w:rPr>
          <w:t xml:space="preserve">https://constitution.congress.gov/browse/essay/artIII-S1-6-5/ALDE_00013233/</w:t>
        </w:r>
      </w:hyperlink>
    </w:p>
    <w:p>
      <w:pPr>
        <w:pStyle w:val="BodyText"/>
      </w:pPr>
      <w:hyperlink r:id="rId62">
        <w:r>
          <w:rPr>
            <w:rStyle w:val="Hyperlink"/>
          </w:rPr>
          <w:t xml:space="preserve">[66]</w:t>
        </w:r>
      </w:hyperlink>
      <w:r>
        <w:t xml:space="preserve"> </w:t>
      </w:r>
      <w:r>
        <w:t xml:space="preserve">https://iaals.du.edu/sites/default/files/documents/publications/judge_faq.pdf</w:t>
      </w:r>
    </w:p>
    <w:p>
      <w:pPr>
        <w:pStyle w:val="BodyText"/>
      </w:pPr>
      <w:hyperlink r:id="rId62">
        <w:r>
          <w:rPr>
            <w:rStyle w:val="Hyperlink"/>
          </w:rPr>
          <w:t xml:space="preserve">https://iaals.du.edu/sites/default/files/documents/publications/judge_faq.pdf</w:t>
        </w:r>
      </w:hyperlink>
    </w:p>
    <w:p>
      <w:pPr>
        <w:pStyle w:val="BodyText"/>
      </w:pPr>
      <w:hyperlink r:id="rId63">
        <w:r>
          <w:rPr>
            <w:rStyle w:val="Hyperlink"/>
          </w:rPr>
          <w:t xml:space="preserve">[67]</w:t>
        </w:r>
      </w:hyperlink>
      <w:r>
        <w:t xml:space="preserve"> </w:t>
      </w:r>
      <w:r>
        <w:t xml:space="preserve">https://www.uscourts.gov/administration-policies/judiciary-policies/ethics-policies/code-conduct-united-states-judges</w:t>
      </w:r>
    </w:p>
    <w:p>
      <w:pPr>
        <w:pStyle w:val="BodyText"/>
      </w:pPr>
      <w:hyperlink r:id="rId63">
        <w:r>
          <w:rPr>
            <w:rStyle w:val="Hyperlink"/>
          </w:rPr>
          <w:t xml:space="preserve">https://www.uscourts.gov/administration-policies/judiciary-policies/ethics-policies/code-conduct-united-states-judges</w:t>
        </w:r>
      </w:hyperlink>
    </w:p>
    <w:p>
      <w:pPr>
        <w:pStyle w:val="BodyText"/>
      </w:pPr>
      <w:hyperlink r:id="rId64">
        <w:r>
          <w:rPr>
            <w:rStyle w:val="Hyperlink"/>
          </w:rPr>
          <w:t xml:space="preserve">[68]</w:t>
        </w:r>
      </w:hyperlink>
      <w:r>
        <w:t xml:space="preserve"> </w:t>
      </w:r>
      <w:r>
        <w:t xml:space="preserve">https://media.cadc.uscourts.gov/conduct/docs/2025/09/DC-25-90005.PO.O.pdf</w:t>
      </w:r>
    </w:p>
    <w:p>
      <w:pPr>
        <w:pStyle w:val="BodyText"/>
      </w:pPr>
      <w:hyperlink r:id="rId64">
        <w:r>
          <w:rPr>
            <w:rStyle w:val="Hyperlink"/>
          </w:rPr>
          <w:t xml:space="preserve">https://media.cadc.uscourts.gov/conduct/docs/2025/09/DC-25-90005.PO.O.pdf</w:t>
        </w:r>
      </w:hyperlink>
    </w:p>
    <w:p>
      <w:pPr>
        <w:pStyle w:val="BodyText"/>
      </w:pPr>
      <w:hyperlink r:id="rId65">
        <w:r>
          <w:rPr>
            <w:rStyle w:val="Hyperlink"/>
          </w:rPr>
          <w:t xml:space="preserve">[69]</w:t>
        </w:r>
      </w:hyperlink>
      <w:r>
        <w:t xml:space="preserve"> </w:t>
      </w:r>
      <w:r>
        <w:t xml:space="preserve">https://uscode.house.gov/view.xhtml?edition=prelim&amp;num=0&amp;req=granuleid%3AUSC-prelim-title28-section351</w:t>
      </w:r>
    </w:p>
    <w:p>
      <w:pPr>
        <w:pStyle w:val="BodyText"/>
      </w:pPr>
      <w:hyperlink r:id="rId65">
        <w:r>
          <w:rPr>
            <w:rStyle w:val="Hyperlink"/>
          </w:rPr>
          <w:t xml:space="preserve">https://uscode.house.gov/view.xhtml?edition=prelim&amp;num=0&amp;req=granuleid%3AUSC-prelim-title28-section351</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budget.lis.virginia.gov/item/2024/2/HB6001/Introduced/1/1-33/" TargetMode="External" /><Relationship Type="http://schemas.openxmlformats.org/officeDocument/2006/relationships/hyperlink" Id="rId39" Target="https://budget.lis.virginia.gov/item/2025/1/HB1600/Chapter/1/34/" TargetMode="External" /><Relationship Type="http://schemas.openxmlformats.org/officeDocument/2006/relationships/hyperlink" Id="rId24" Target="https://constitution.congress.gov/browse/article-2/section-2/clause-2/" TargetMode="External" /><Relationship Type="http://schemas.openxmlformats.org/officeDocument/2006/relationships/hyperlink" Id="rId22" Target="https://constitution.congress.gov/browse/article-3/section-1/" TargetMode="External" /><Relationship Type="http://schemas.openxmlformats.org/officeDocument/2006/relationships/hyperlink" Id="rId57" Target="https://constitution.congress.gov/browse/article-3/section-2/clause-1/" TargetMode="External" /><Relationship Type="http://schemas.openxmlformats.org/officeDocument/2006/relationships/hyperlink" Id="rId23" Target="https://constitution.congress.gov/browse/essay/artIII-S1-10-2-3/ALDE_00000686/" TargetMode="External" /><Relationship Type="http://schemas.openxmlformats.org/officeDocument/2006/relationships/hyperlink" Id="rId25" Target="https://constitution.congress.gov/browse/essay/artIII-S1-3/ALDE_00013514/" TargetMode="External" /><Relationship Type="http://schemas.openxmlformats.org/officeDocument/2006/relationships/hyperlink" Id="rId60" Target="https://constitution.congress.gov/browse/essay/artIII-S1-6-5/ALDE_00013233/" TargetMode="External" /><Relationship Type="http://schemas.openxmlformats.org/officeDocument/2006/relationships/hyperlink" Id="rId42" Target="https://courts.ca.gov/about/state-branch-resources/commission-judicial-appointments" TargetMode="External" /><Relationship Type="http://schemas.openxmlformats.org/officeDocument/2006/relationships/hyperlink" Id="rId37" Target="https://crsreports.congress.gov/product/details?prodcode=R46533" TargetMode="External" /><Relationship Type="http://schemas.openxmlformats.org/officeDocument/2006/relationships/hyperlink" Id="rId62" Target="https://iaals.du.edu/sites/default/files/documents/publications/judge_faq.pdf" TargetMode="External" /><Relationship Type="http://schemas.openxmlformats.org/officeDocument/2006/relationships/hyperlink" Id="rId64" Target="https://media.cadc.uscourts.gov/conduct/docs/2025/09/DC-25-90005.PO.O.pdf" TargetMode="External" /><Relationship Type="http://schemas.openxmlformats.org/officeDocument/2006/relationships/hyperlink" Id="rId48" Target="https://newsroom.courts.ca.gov/faq/how-are-justices-supreme-court-selected" TargetMode="External" /><Relationship Type="http://schemas.openxmlformats.org/officeDocument/2006/relationships/hyperlink" Id="rId36" Target="https://supremecourt.flcourts.gov/the-court/about-the-court/justices/merit-selection-retention-retirement" TargetMode="External" /><Relationship Type="http://schemas.openxmlformats.org/officeDocument/2006/relationships/hyperlink" Id="rId58" Target="https://uscode.house.gov/view.xhtml?edition=prelim&amp;num=0&amp;req=granuleid%3AUSC-prelim-title18-section3553" TargetMode="External" /><Relationship Type="http://schemas.openxmlformats.org/officeDocument/2006/relationships/hyperlink" Id="rId59" Target="https://uscode.house.gov/view.xhtml?edition=prelim&amp;num=0&amp;req=granuleid%3AUSC-prelim-title28-section2071" TargetMode="External" /><Relationship Type="http://schemas.openxmlformats.org/officeDocument/2006/relationships/hyperlink" Id="rId65" Target="https://uscode.house.gov/view.xhtml?edition=prelim&amp;num=0&amp;req=granuleid%3AUSC-prelim-title28-section351" TargetMode="External" /><Relationship Type="http://schemas.openxmlformats.org/officeDocument/2006/relationships/hyperlink" Id="rId45" Target="https://uscode.house.gov/view.xhtml?req=%28title%3A18+section%3A401+edition%3Aprelim%29" TargetMode="External" /><Relationship Type="http://schemas.openxmlformats.org/officeDocument/2006/relationships/hyperlink" Id="rId52" Target="https://www.azcourts.gov/Portals/0/News%20Release-Applications%20Being%20Accepted-McMurdie.pdf" TargetMode="External" /><Relationship Type="http://schemas.openxmlformats.org/officeDocument/2006/relationships/hyperlink" Id="rId41" Target="https://www.azcourts.gov/meetthejustices/" TargetMode="External" /><Relationship Type="http://schemas.openxmlformats.org/officeDocument/2006/relationships/hyperlink" Id="rId51" Target="https://www.azleg.gov/legtext/56leg/2R/summary/S.2897-1735APPROP_ASENACTED.pdf" TargetMode="External" /><Relationship Type="http://schemas.openxmlformats.org/officeDocument/2006/relationships/hyperlink" Id="rId28" Target="https://www.brennancenter.org/our-work/research-reports/how-state-judges-are-selected" TargetMode="External" /><Relationship Type="http://schemas.openxmlformats.org/officeDocument/2006/relationships/hyperlink" Id="rId40" Target="https://www.courts.michigan.gov/4999c7/siteassets/msc-learning-center/justitia_judges.pdf" TargetMode="External" /><Relationship Type="http://schemas.openxmlformats.org/officeDocument/2006/relationships/hyperlink" Id="rId49" Target="https://www.flmd.uscourts.gov/announcements/public-notice-appointment-magistrate-judge-tpa" TargetMode="External" /><Relationship Type="http://schemas.openxmlformats.org/officeDocument/2006/relationships/hyperlink" Id="rId43" Target="https://www.floridabar.org/the-florida-bar-news/judicial-branch-receives-a-budget-boost/" TargetMode="External" /><Relationship Type="http://schemas.openxmlformats.org/officeDocument/2006/relationships/hyperlink" Id="rId55" Target="https://www.judiciary.senate.gov/imo/media/doc/Talley%20SJQ.pdf" TargetMode="External" /><Relationship Type="http://schemas.openxmlformats.org/officeDocument/2006/relationships/hyperlink" Id="rId46" Target="https://www.ncsc.org/resources-courts/state-state-tracking-judicial-salaries" TargetMode="External" /><Relationship Type="http://schemas.openxmlformats.org/officeDocument/2006/relationships/hyperlink" Id="rId34" Target="https://www.opm.gov/policy-data-oversight/pay-leave/salaries-wages/salary-tables/26Tables/exec/html/ALJ.aspx" TargetMode="External" /><Relationship Type="http://schemas.openxmlformats.org/officeDocument/2006/relationships/hyperlink" Id="rId54" Target="https://www.txcourts.gov/media/1460947/judicial-salaries-effective-september-2025-updated-7-24-25.pdf" TargetMode="External" /><Relationship Type="http://schemas.openxmlformats.org/officeDocument/2006/relationships/hyperlink" Id="rId38" Target="https://www.txcourts.gov/media/1461313/judge-qualifications-and-selection-chart-2025.pdf" TargetMode="External" /><Relationship Type="http://schemas.openxmlformats.org/officeDocument/2006/relationships/hyperlink" Id="rId26" Target="https://www.uscourts.gov/about-federal-courts/about-federal-judges/judicial-compensation" TargetMode="External" /><Relationship Type="http://schemas.openxmlformats.org/officeDocument/2006/relationships/hyperlink" Id="rId21" Target="https://www.uscourts.gov/about-federal-courts/about-federal-judges/types-federal-judges/faqs-federal-judges" TargetMode="External" /><Relationship Type="http://schemas.openxmlformats.org/officeDocument/2006/relationships/hyperlink" Id="rId31" Target="https://www.uscourts.gov/about-federal-courts/court-role-and-structure" TargetMode="External" /><Relationship Type="http://schemas.openxmlformats.org/officeDocument/2006/relationships/hyperlink" Id="rId30" Target="https://www.uscourts.gov/about-federal-courts/types-federal-judges" TargetMode="External" /><Relationship Type="http://schemas.openxmlformats.org/officeDocument/2006/relationships/hyperlink" Id="rId63" Target="https://www.uscourts.gov/administration-policies/judiciary-policies/ethics-policies/code-conduct-united-states-judges" TargetMode="External" /><Relationship Type="http://schemas.openxmlformats.org/officeDocument/2006/relationships/hyperlink" Id="rId50" Target="https://www.uscourts.gov/careers/current-job-openings/137761" TargetMode="External" /><Relationship Type="http://schemas.openxmlformats.org/officeDocument/2006/relationships/hyperlink" Id="rId32" Target="https://www.uscourts.gov/data-news/reports/handbooks-manuals/a-journalists-guide-federal-courts/judges-and-judicial-administration-journalists-guide" TargetMode="External" /><Relationship Type="http://schemas.openxmlformats.org/officeDocument/2006/relationships/hyperlink" Id="rId29" Target="https://www.vacourts.gov/" TargetMode="External" /><Relationship Type="http://schemas.openxmlformats.org/officeDocument/2006/relationships/hyperlink" Id="rId44" Target="https://www.vacourts.gov/courts/scv/scvinfo.pdf" TargetMode="External" /></Relationships>
</file>

<file path=word/_rels/footnotes.xml.rels><?xml version="1.0" encoding="UTF-8"?><Relationships xmlns="http://schemas.openxmlformats.org/package/2006/relationships"><Relationship Type="http://schemas.openxmlformats.org/officeDocument/2006/relationships/hyperlink" Id="rId53" Target="https://budget.lis.virginia.gov/item/2024/2/HB6001/Introduced/1/1-33/" TargetMode="External" /><Relationship Type="http://schemas.openxmlformats.org/officeDocument/2006/relationships/hyperlink" Id="rId39" Target="https://budget.lis.virginia.gov/item/2025/1/HB1600/Chapter/1/34/" TargetMode="External" /><Relationship Type="http://schemas.openxmlformats.org/officeDocument/2006/relationships/hyperlink" Id="rId24" Target="https://constitution.congress.gov/browse/article-2/section-2/clause-2/" TargetMode="External" /><Relationship Type="http://schemas.openxmlformats.org/officeDocument/2006/relationships/hyperlink" Id="rId22" Target="https://constitution.congress.gov/browse/article-3/section-1/" TargetMode="External" /><Relationship Type="http://schemas.openxmlformats.org/officeDocument/2006/relationships/hyperlink" Id="rId57" Target="https://constitution.congress.gov/browse/article-3/section-2/clause-1/" TargetMode="External" /><Relationship Type="http://schemas.openxmlformats.org/officeDocument/2006/relationships/hyperlink" Id="rId23" Target="https://constitution.congress.gov/browse/essay/artIII-S1-10-2-3/ALDE_00000686/" TargetMode="External" /><Relationship Type="http://schemas.openxmlformats.org/officeDocument/2006/relationships/hyperlink" Id="rId25" Target="https://constitution.congress.gov/browse/essay/artIII-S1-3/ALDE_00013514/" TargetMode="External" /><Relationship Type="http://schemas.openxmlformats.org/officeDocument/2006/relationships/hyperlink" Id="rId60" Target="https://constitution.congress.gov/browse/essay/artIII-S1-6-5/ALDE_00013233/" TargetMode="External" /><Relationship Type="http://schemas.openxmlformats.org/officeDocument/2006/relationships/hyperlink" Id="rId42" Target="https://courts.ca.gov/about/state-branch-resources/commission-judicial-appointments" TargetMode="External" /><Relationship Type="http://schemas.openxmlformats.org/officeDocument/2006/relationships/hyperlink" Id="rId37" Target="https://crsreports.congress.gov/product/details?prodcode=R46533" TargetMode="External" /><Relationship Type="http://schemas.openxmlformats.org/officeDocument/2006/relationships/hyperlink" Id="rId62" Target="https://iaals.du.edu/sites/default/files/documents/publications/judge_faq.pdf" TargetMode="External" /><Relationship Type="http://schemas.openxmlformats.org/officeDocument/2006/relationships/hyperlink" Id="rId64" Target="https://media.cadc.uscourts.gov/conduct/docs/2025/09/DC-25-90005.PO.O.pdf" TargetMode="External" /><Relationship Type="http://schemas.openxmlformats.org/officeDocument/2006/relationships/hyperlink" Id="rId48" Target="https://newsroom.courts.ca.gov/faq/how-are-justices-supreme-court-selected" TargetMode="External" /><Relationship Type="http://schemas.openxmlformats.org/officeDocument/2006/relationships/hyperlink" Id="rId36" Target="https://supremecourt.flcourts.gov/the-court/about-the-court/justices/merit-selection-retention-retirement" TargetMode="External" /><Relationship Type="http://schemas.openxmlformats.org/officeDocument/2006/relationships/hyperlink" Id="rId58" Target="https://uscode.house.gov/view.xhtml?edition=prelim&amp;num=0&amp;req=granuleid%3AUSC-prelim-title18-section3553" TargetMode="External" /><Relationship Type="http://schemas.openxmlformats.org/officeDocument/2006/relationships/hyperlink" Id="rId59" Target="https://uscode.house.gov/view.xhtml?edition=prelim&amp;num=0&amp;req=granuleid%3AUSC-prelim-title28-section2071" TargetMode="External" /><Relationship Type="http://schemas.openxmlformats.org/officeDocument/2006/relationships/hyperlink" Id="rId65" Target="https://uscode.house.gov/view.xhtml?edition=prelim&amp;num=0&amp;req=granuleid%3AUSC-prelim-title28-section351" TargetMode="External" /><Relationship Type="http://schemas.openxmlformats.org/officeDocument/2006/relationships/hyperlink" Id="rId45" Target="https://uscode.house.gov/view.xhtml?req=%28title%3A18+section%3A401+edition%3Aprelim%29" TargetMode="External" /><Relationship Type="http://schemas.openxmlformats.org/officeDocument/2006/relationships/hyperlink" Id="rId52" Target="https://www.azcourts.gov/Portals/0/News%20Release-Applications%20Being%20Accepted-McMurdie.pdf" TargetMode="External" /><Relationship Type="http://schemas.openxmlformats.org/officeDocument/2006/relationships/hyperlink" Id="rId41" Target="https://www.azcourts.gov/meetthejustices/" TargetMode="External" /><Relationship Type="http://schemas.openxmlformats.org/officeDocument/2006/relationships/hyperlink" Id="rId51" Target="https://www.azleg.gov/legtext/56leg/2R/summary/S.2897-1735APPROP_ASENACTED.pdf" TargetMode="External" /><Relationship Type="http://schemas.openxmlformats.org/officeDocument/2006/relationships/hyperlink" Id="rId28" Target="https://www.brennancenter.org/our-work/research-reports/how-state-judges-are-selected" TargetMode="External" /><Relationship Type="http://schemas.openxmlformats.org/officeDocument/2006/relationships/hyperlink" Id="rId40" Target="https://www.courts.michigan.gov/4999c7/siteassets/msc-learning-center/justitia_judges.pdf" TargetMode="External" /><Relationship Type="http://schemas.openxmlformats.org/officeDocument/2006/relationships/hyperlink" Id="rId49" Target="https://www.flmd.uscourts.gov/announcements/public-notice-appointment-magistrate-judge-tpa" TargetMode="External" /><Relationship Type="http://schemas.openxmlformats.org/officeDocument/2006/relationships/hyperlink" Id="rId43" Target="https://www.floridabar.org/the-florida-bar-news/judicial-branch-receives-a-budget-boost/" TargetMode="External" /><Relationship Type="http://schemas.openxmlformats.org/officeDocument/2006/relationships/hyperlink" Id="rId55" Target="https://www.judiciary.senate.gov/imo/media/doc/Talley%20SJQ.pdf" TargetMode="External" /><Relationship Type="http://schemas.openxmlformats.org/officeDocument/2006/relationships/hyperlink" Id="rId46" Target="https://www.ncsc.org/resources-courts/state-state-tracking-judicial-salaries" TargetMode="External" /><Relationship Type="http://schemas.openxmlformats.org/officeDocument/2006/relationships/hyperlink" Id="rId34" Target="https://www.opm.gov/policy-data-oversight/pay-leave/salaries-wages/salary-tables/26Tables/exec/html/ALJ.aspx" TargetMode="External" /><Relationship Type="http://schemas.openxmlformats.org/officeDocument/2006/relationships/hyperlink" Id="rId54" Target="https://www.txcourts.gov/media/1460947/judicial-salaries-effective-september-2025-updated-7-24-25.pdf" TargetMode="External" /><Relationship Type="http://schemas.openxmlformats.org/officeDocument/2006/relationships/hyperlink" Id="rId38" Target="https://www.txcourts.gov/media/1461313/judge-qualifications-and-selection-chart-2025.pdf" TargetMode="External" /><Relationship Type="http://schemas.openxmlformats.org/officeDocument/2006/relationships/hyperlink" Id="rId26" Target="https://www.uscourts.gov/about-federal-courts/about-federal-judges/judicial-compensation" TargetMode="External" /><Relationship Type="http://schemas.openxmlformats.org/officeDocument/2006/relationships/hyperlink" Id="rId21" Target="https://www.uscourts.gov/about-federal-courts/about-federal-judges/types-federal-judges/faqs-federal-judges" TargetMode="External" /><Relationship Type="http://schemas.openxmlformats.org/officeDocument/2006/relationships/hyperlink" Id="rId31" Target="https://www.uscourts.gov/about-federal-courts/court-role-and-structure" TargetMode="External" /><Relationship Type="http://schemas.openxmlformats.org/officeDocument/2006/relationships/hyperlink" Id="rId30" Target="https://www.uscourts.gov/about-federal-courts/types-federal-judges" TargetMode="External" /><Relationship Type="http://schemas.openxmlformats.org/officeDocument/2006/relationships/hyperlink" Id="rId63" Target="https://www.uscourts.gov/administration-policies/judiciary-policies/ethics-policies/code-conduct-united-states-judges" TargetMode="External" /><Relationship Type="http://schemas.openxmlformats.org/officeDocument/2006/relationships/hyperlink" Id="rId50" Target="https://www.uscourts.gov/careers/current-job-openings/137761" TargetMode="External" /><Relationship Type="http://schemas.openxmlformats.org/officeDocument/2006/relationships/hyperlink" Id="rId32" Target="https://www.uscourts.gov/data-news/reports/handbooks-manuals/a-journalists-guide-federal-courts/judges-and-judicial-administration-journalists-guide" TargetMode="External" /><Relationship Type="http://schemas.openxmlformats.org/officeDocument/2006/relationships/hyperlink" Id="rId29" Target="https://www.vacourts.gov/" TargetMode="External" /><Relationship Type="http://schemas.openxmlformats.org/officeDocument/2006/relationships/hyperlink" Id="rId44" Target="https://www.vacourts.gov/courts/scv/scvinfo.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2026-05-04T05:13:08Z</dcterms:created>
  <dcterms:modified xsi:type="dcterms:W3CDTF">2026-05-04T05:13:08Z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