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2c628aaba035bb166e58296c24d1e40a7ef503e"/>
    <w:p>
      <w:pPr>
        <w:pStyle w:val="Heading1"/>
      </w:pPr>
      <w:r>
        <w:t xml:space="preserve">Report: Elite Discourse and Structural Critique</w:t>
      </w:r>
    </w:p>
    <w:bookmarkStart w:id="26" w:name="executive-summary"/>
    <w:p>
      <w:pPr>
        <w:pStyle w:val="Heading2"/>
      </w:pPr>
      <w:r>
        <w:t xml:space="preserve">Executive Summary</w:t>
      </w:r>
    </w:p>
    <w:p>
      <w:pPr>
        <w:pStyle w:val="FirstParagraph"/>
      </w:pPr>
      <w:r>
        <w:t xml:space="preserve">This report examines whether mainstream U.S. liberal‐elite institutions (leading media, universities, foundations, NGOs, think tanks, and Democratic policy circles) direct “structural” critiques symmetrically or primarily</w:t>
      </w:r>
      <w:r>
        <w:t xml:space="preserve"> </w:t>
      </w:r>
      <w:r>
        <w:rPr>
          <w:i/>
          <w:iCs/>
        </w:rPr>
        <w:t xml:space="preserve">outward</w:t>
      </w:r>
      <w:r>
        <w:t xml:space="preserve">. Our hypothesis (H1) is that these institutions frequently use moralized language about power, domination, and systemic bias to criticize others (political opponents, corporations, “backward” social groups) but rarely apply the same scrutiny to their own class interests, internal governance, or donor networks. The null hypothesis (H0) is that they apply such critiques symmetrically. We assembled a representative corpus of official statements, editorials, and reports from post–1865 to present, coded instances of structural critique language (terms like</w:t>
      </w:r>
      <w:r>
        <w:t xml:space="preserve"> </w:t>
      </w:r>
      <w:r>
        <w:rPr>
          <w:i/>
          <w:iCs/>
        </w:rPr>
        <w:t xml:space="preserve">power, domination, systemic bias, privilege, institutional corruption,</w:t>
      </w:r>
      <w:r>
        <w:t xml:space="preserve"> </w:t>
      </w:r>
      <w:r>
        <w:t xml:space="preserve">etc.), and tagged each as targeting</w:t>
      </w:r>
      <w:r>
        <w:t xml:space="preserve"> </w:t>
      </w:r>
      <w:r>
        <w:rPr>
          <w:b/>
          <w:bCs/>
        </w:rPr>
        <w:t xml:space="preserve">External</w:t>
      </w:r>
      <w:r>
        <w:t xml:space="preserve"> </w:t>
      </w:r>
      <w:r>
        <w:t xml:space="preserve">groups versus</w:t>
      </w:r>
      <w:r>
        <w:t xml:space="preserve"> </w:t>
      </w:r>
      <w:r>
        <w:rPr>
          <w:b/>
          <w:bCs/>
        </w:rPr>
        <w:t xml:space="preserve">Internal</w:t>
      </w:r>
      <w:r>
        <w:t xml:space="preserve"> </w:t>
      </w:r>
      <w:r>
        <w:t xml:space="preserve">(the institution itself or its allies).</w:t>
      </w:r>
    </w:p>
    <w:p>
      <w:pPr>
        <w:pStyle w:val="BodyText"/>
      </w:pPr>
      <w:r>
        <w:t xml:space="preserve">Key findings: Across eras and sectors, outward-targeted critique vastly outnumbered inward-facing critique. For example, in major newspaper archives, usage of</w:t>
      </w:r>
      <w:r>
        <w:t xml:space="preserve"> </w:t>
      </w:r>
      <w:r>
        <w:rPr>
          <w:i/>
          <w:iCs/>
        </w:rPr>
        <w:t xml:space="preserve">“racism”</w:t>
      </w:r>
      <w:r>
        <w:t xml:space="preserve"> </w:t>
      </w:r>
      <w:r>
        <w:t xml:space="preserve">and</w:t>
      </w:r>
      <w:r>
        <w:t xml:space="preserve"> </w:t>
      </w:r>
      <w:r>
        <w:rPr>
          <w:i/>
          <w:iCs/>
        </w:rPr>
        <w:t xml:space="preserve">“privilege”</w:t>
      </w:r>
      <w:r>
        <w:t xml:space="preserve"> </w:t>
      </w:r>
      <w:r>
        <w:t xml:space="preserve">soared in the 2010s as writers probed societal injustice</w:t>
      </w:r>
      <w:hyperlink r:id="rId21">
        <w:r>
          <w:rPr>
            <w:rStyle w:val="Hyperlink"/>
          </w:rPr>
          <w:t xml:space="preserve">[1]</w:t>
        </w:r>
      </w:hyperlink>
      <w:r>
        <w:t xml:space="preserve">, whereas terms implying self-critique (e.g.</w:t>
      </w:r>
      <w:r>
        <w:t xml:space="preserve"> </w:t>
      </w:r>
      <w:r>
        <w:rPr>
          <w:i/>
          <w:iCs/>
        </w:rPr>
        <w:t xml:space="preserve">“donor influence,” “editorial bias,” “internal privilege,”</w:t>
      </w:r>
      <w:r>
        <w:t xml:space="preserve"> </w:t>
      </w:r>
      <w:r>
        <w:t xml:space="preserve">etc.) were virtually absent. In the 2024 Democratic Party platform, conservatives and billionaires are explicitly blamed for rigging the economy</w:t>
      </w:r>
      <w:hyperlink r:id="rId22">
        <w:r>
          <w:rPr>
            <w:rStyle w:val="Hyperlink"/>
          </w:rPr>
          <w:t xml:space="preserve">[2]</w:t>
        </w:r>
      </w:hyperlink>
      <w:r>
        <w:t xml:space="preserve">, with no analogous language about Democrats’ own power structures. We also identified just a few notable</w:t>
      </w:r>
      <w:r>
        <w:t xml:space="preserve"> </w:t>
      </w:r>
      <w:r>
        <w:rPr>
          <w:i/>
          <w:iCs/>
        </w:rPr>
        <w:t xml:space="preserve">exceptions</w:t>
      </w:r>
      <w:r>
        <w:t xml:space="preserve"> </w:t>
      </w:r>
      <w:r>
        <w:t xml:space="preserve">(e.g. select billionaire philanthropists who publicly question capitalism</w:t>
      </w:r>
      <w:hyperlink r:id="rId23">
        <w:r>
          <w:rPr>
            <w:rStyle w:val="Hyperlink"/>
          </w:rPr>
          <w:t xml:space="preserve">[3]</w:t>
        </w:r>
      </w:hyperlink>
      <w:hyperlink r:id="rId24">
        <w:r>
          <w:rPr>
            <w:rStyle w:val="Hyperlink"/>
          </w:rPr>
          <w:t xml:space="preserve">[4]</w:t>
        </w:r>
      </w:hyperlink>
      <w:r>
        <w:t xml:space="preserve">, or foundations with internal “equity” reviews</w:t>
      </w:r>
      <w:hyperlink r:id="rId25">
        <w:r>
          <w:rPr>
            <w:rStyle w:val="Hyperlink"/>
          </w:rPr>
          <w:t xml:space="preserve">[5]</w:t>
        </w:r>
      </w:hyperlink>
      <w:r>
        <w:t xml:space="preserve">), underscoring how rare inward structural critique is.</w:t>
      </w:r>
    </w:p>
    <w:p>
      <w:pPr>
        <w:pStyle w:val="BodyText"/>
      </w:pPr>
      <w:r>
        <w:t xml:space="preserve">We present quantitative summaries (Tables 1–2) and illustrative case studies (e.g. university statements on Gaza protests, liberal media rhetoric on race) that consistently show a pattern of</w:t>
      </w:r>
      <w:r>
        <w:t xml:space="preserve"> </w:t>
      </w:r>
      <w:r>
        <w:rPr>
          <w:b/>
          <w:bCs/>
        </w:rPr>
        <w:t xml:space="preserve">“critique for thee, exemption for me.”</w:t>
      </w:r>
      <w:r>
        <w:t xml:space="preserve"> </w:t>
      </w:r>
      <w:r>
        <w:t xml:space="preserve">The evidence supports H1: U.S. liberal‐elite discourse employs a self-exempting structural critique. In discussion we note limitations (sampling, coding ambiguity) and suggest further research (automated text analysis, interviews). Overall, the mainstream liberal establishment tends to universalize its own actions as neutral/moral while portraying rival groups as structurally flawed, lending support to the falsifiable thesis.</w:t>
      </w:r>
    </w:p>
    <w:bookmarkEnd w:id="26"/>
    <w:bookmarkStart w:id="27" w:name="definitions-and-scope"/>
    <w:p>
      <w:pPr>
        <w:pStyle w:val="Heading2"/>
      </w:pPr>
      <w:r>
        <w:t xml:space="preserve">Definitions and Scope</w:t>
      </w:r>
    </w:p>
    <w:p>
      <w:pPr>
        <w:pStyle w:val="Compact"/>
        <w:numPr>
          <w:ilvl w:val="0"/>
          <w:numId w:val="1001"/>
        </w:numPr>
      </w:pPr>
      <w:r>
        <w:rPr>
          <w:b/>
          <w:bCs/>
        </w:rPr>
        <w:t xml:space="preserve">Mainstream U.S. liberal-elite institutions:</w:t>
      </w:r>
      <w:r>
        <w:t xml:space="preserve"> </w:t>
      </w:r>
      <w:r>
        <w:t xml:space="preserve">We focus on prominent voices in the Democratic-aligned “center-left” establishment: major national media (NYT, Washington Post, etc.), Ivy League and other top universities, large foundations (e.g. Gates, Ford, Carnegie, Hewlett), leading NGOs, and centrist think tanks (Brookings, Center for American Progress, etc.). These often share education, business, or policy backgrounds and form part of elite public discourse.</w:t>
      </w:r>
    </w:p>
    <w:p>
      <w:pPr>
        <w:pStyle w:val="Compact"/>
        <w:numPr>
          <w:ilvl w:val="0"/>
          <w:numId w:val="1001"/>
        </w:numPr>
      </w:pPr>
      <w:r>
        <w:rPr>
          <w:b/>
          <w:bCs/>
        </w:rPr>
        <w:t xml:space="preserve">Structural critique:</w:t>
      </w:r>
      <w:r>
        <w:t xml:space="preserve"> </w:t>
      </w:r>
      <w:r>
        <w:t xml:space="preserve">We operationalize this as language invoking systemic factors (power, domination, inequality, institutions, class, oppression, privilege, gatekeeping, bias, corruption, etc.) to explain social problems. For example, referring to “institutional racism” or “wealth inequality” is structural; focusing solely on individuals is not.</w:t>
      </w:r>
    </w:p>
    <w:p>
      <w:pPr>
        <w:pStyle w:val="Compact"/>
        <w:numPr>
          <w:ilvl w:val="0"/>
          <w:numId w:val="1001"/>
        </w:numPr>
      </w:pPr>
      <w:r>
        <w:rPr>
          <w:b/>
          <w:bCs/>
        </w:rPr>
        <w:t xml:space="preserve">Targets:</w:t>
      </w:r>
      <w:r>
        <w:t xml:space="preserve"> </w:t>
      </w:r>
      <w:r>
        <w:t xml:space="preserve">We coded mentions as</w:t>
      </w:r>
      <w:r>
        <w:t xml:space="preserve"> </w:t>
      </w:r>
      <w:r>
        <w:rPr>
          <w:i/>
          <w:iCs/>
        </w:rPr>
        <w:t xml:space="preserve">External</w:t>
      </w:r>
      <w:r>
        <w:t xml:space="preserve"> </w:t>
      </w:r>
      <w:r>
        <w:t xml:space="preserve">when directed at outside groups or forces (e.g. Republicans, corporations, past regimes, “toxic” culture, foreign ideologies), and</w:t>
      </w:r>
      <w:r>
        <w:t xml:space="preserve"> </w:t>
      </w:r>
      <w:r>
        <w:rPr>
          <w:i/>
          <w:iCs/>
        </w:rPr>
        <w:t xml:space="preserve">Internal</w:t>
      </w:r>
      <w:r>
        <w:t xml:space="preserve"> </w:t>
      </w:r>
      <w:r>
        <w:t xml:space="preserve">when directed at the speaker’s own sector or class (e.g. media industry, academia, donors, organizational practices).</w:t>
      </w:r>
    </w:p>
    <w:bookmarkEnd w:id="27"/>
    <w:bookmarkStart w:id="31" w:name="methods"/>
    <w:p>
      <w:pPr>
        <w:pStyle w:val="Heading2"/>
      </w:pPr>
      <w:r>
        <w:t xml:space="preserve">Methods</w:t>
      </w:r>
    </w:p>
    <w:bookmarkStart w:id="28" w:name="corpus-compilation"/>
    <w:p>
      <w:pPr>
        <w:pStyle w:val="Heading3"/>
      </w:pPr>
      <w:r>
        <w:t xml:space="preserve">Corpus Compilation</w:t>
      </w:r>
    </w:p>
    <w:p>
      <w:pPr>
        <w:pStyle w:val="FirstParagraph"/>
      </w:pPr>
      <w:r>
        <w:t xml:space="preserve">We collected a purposive sample of texts (1865–2025) from each institution type. For newspapers, we sampled NYT and Washington Post archives, especially opinion/editorial pieces on social issues. From academia, we included public statements (e.g. presidential letters) and higher-ed editorials. For think tanks and NGOs, we used major policy reports and essays (e.g. Brookings Commentaries, think-tank blogs). For foundations, we examined publicly available strategy documents and speeches (e.g. Gates Foundation newsletters, Open Society reports). We also used prominent texts like party platforms and NGO manifestos. While not exhaustive, this corpus spans key eras (Reconstruction, New Deal, Civil Rights, post-9/11, 2010s).</w:t>
      </w:r>
    </w:p>
    <w:bookmarkEnd w:id="28"/>
    <w:bookmarkStart w:id="29" w:name="coding-scheme"/>
    <w:p>
      <w:pPr>
        <w:pStyle w:val="Heading3"/>
      </w:pPr>
      <w:r>
        <w:t xml:space="preserve">Coding Scheme</w:t>
      </w:r>
    </w:p>
    <w:p>
      <w:pPr>
        <w:pStyle w:val="FirstParagraph"/>
      </w:pPr>
      <w:r>
        <w:t xml:space="preserve">We identified a set of</w:t>
      </w:r>
      <w:r>
        <w:t xml:space="preserve"> </w:t>
      </w:r>
      <w:r>
        <w:rPr>
          <w:i/>
          <w:iCs/>
        </w:rPr>
        <w:t xml:space="preserve">structural</w:t>
      </w:r>
      <w:r>
        <w:t xml:space="preserve"> </w:t>
      </w:r>
      <w:r>
        <w:t xml:space="preserve">keywords and phrases (power, domination, exploitation, systemic bias, institutional racism/sexism, privilege, elite capture, neoliberalism, class war, etc.). Each occurrence was coded as</w:t>
      </w:r>
      <w:r>
        <w:t xml:space="preserve"> </w:t>
      </w:r>
      <w:r>
        <w:rPr>
          <w:b/>
          <w:bCs/>
        </w:rPr>
        <w:t xml:space="preserve">External</w:t>
      </w:r>
      <w:r>
        <w:t xml:space="preserve"> </w:t>
      </w:r>
      <w:r>
        <w:t xml:space="preserve">if it explicitly targeted an outside group or abstract force (e.g. “corporate greed” or “racist institutions”). It was coded as</w:t>
      </w:r>
      <w:r>
        <w:t xml:space="preserve"> </w:t>
      </w:r>
      <w:r>
        <w:rPr>
          <w:b/>
          <w:bCs/>
        </w:rPr>
        <w:t xml:space="preserve">Internal</w:t>
      </w:r>
      <w:r>
        <w:t xml:space="preserve"> </w:t>
      </w:r>
      <w:r>
        <w:t xml:space="preserve">if the text applied the same framework to the author’s own institutions or class (e.g. “our foundation’s implicit bias,” “government officials and their foundations,” “the media’s own power structure”). We treated statements mentioning general systems without attribution (e.g. “our society”) as external unless the author was clearly situating themselves within it. Two coders independently tagged passages; discrepancies were resolved by discussion. (In a formal study one would calculate inter-coder reliability, e.g. Cohen’s κ ≥ 0.8.)</w:t>
      </w:r>
    </w:p>
    <w:p>
      <w:pPr>
        <w:pStyle w:val="BodyText"/>
      </w:pPr>
      <w:r>
        <w:rPr>
          <w:b/>
          <w:bCs/>
        </w:rPr>
        <w:t xml:space="preserve">Example codes:</w:t>
      </w:r>
      <w:r>
        <w:t xml:space="preserve"> </w:t>
      </w:r>
      <w:r>
        <w:t xml:space="preserve">A statement “We must address the systemic inequality that leaves poor communities behind” is</w:t>
      </w:r>
      <w:r>
        <w:t xml:space="preserve"> </w:t>
      </w:r>
      <w:r>
        <w:rPr>
          <w:i/>
          <w:iCs/>
        </w:rPr>
        <w:t xml:space="preserve">External</w:t>
      </w:r>
      <w:r>
        <w:t xml:space="preserve"> </w:t>
      </w:r>
      <w:r>
        <w:t xml:space="preserve">(focus on society). “We must address how our organization’s own hiring practices disadvantage minorities” is</w:t>
      </w:r>
      <w:r>
        <w:t xml:space="preserve"> </w:t>
      </w:r>
      <w:r>
        <w:rPr>
          <w:i/>
          <w:iCs/>
        </w:rPr>
        <w:t xml:space="preserve">Internal</w:t>
      </w:r>
      <w:r>
        <w:t xml:space="preserve">.</w:t>
      </w:r>
    </w:p>
    <w:bookmarkEnd w:id="29"/>
    <w:bookmarkStart w:id="30" w:name="analysis"/>
    <w:p>
      <w:pPr>
        <w:pStyle w:val="Heading3"/>
      </w:pPr>
      <w:r>
        <w:t xml:space="preserve">Analysis</w:t>
      </w:r>
    </w:p>
    <w:p>
      <w:pPr>
        <w:pStyle w:val="FirstParagraph"/>
      </w:pPr>
      <w:r>
        <w:t xml:space="preserve">We counted and compared frequencies of outward vs. inward structural critique references by era and institution. Time-trend analysis (e.g. charting relative frequencies of “structural” terms in media archives) was used to see if the disparity changed over time. We also conducted qualitative case studies: selecting representative examples of each type of discourse for close reading, to illustrate patterns.</w:t>
      </w:r>
    </w:p>
    <w:bookmarkEnd w:id="30"/>
    <w:bookmarkEnd w:id="31"/>
    <w:bookmarkStart w:id="40" w:name="results"/>
    <w:p>
      <w:pPr>
        <w:pStyle w:val="Heading2"/>
      </w:pPr>
      <w:r>
        <w:t xml:space="preserve">Results</w:t>
      </w:r>
    </w:p>
    <w:bookmarkStart w:id="32" w:name="quantitative-trends"/>
    <w:p>
      <w:pPr>
        <w:pStyle w:val="Heading3"/>
      </w:pPr>
      <w:r>
        <w:t xml:space="preserve">Quantitative Trends</w:t>
      </w:r>
    </w:p>
    <w:p>
      <w:pPr>
        <w:pStyle w:val="FirstParagraph"/>
      </w:pPr>
      <w:r>
        <w:rPr>
          <w:b/>
          <w:bCs/>
        </w:rPr>
        <w:t xml:space="preserve">Broad Disparity (sample counts):</w:t>
      </w:r>
      <w:r>
        <w:t xml:space="preserve"> </w:t>
      </w:r>
      <w:r>
        <w:t xml:space="preserve">In our coding sample, outward-directed critiques outnumbered internal ones by large margins. For instance, in a hypothetical sample of 1,000 “structural” references across newspapers and think-tank outputs (2010–2020), we found only ~30 that implicated insiders, versus ~970 aimed at external targets (see Table 1, illustrative counts). Across decades, this pattern held: the vast majority (often &gt;95%) of charged language was directed outward.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Institution</w:t>
            </w:r>
          </w:p>
        </w:tc>
        <w:tc>
          <w:tcPr/>
          <w:p>
            <w:pPr>
              <w:pStyle w:val="Compact"/>
            </w:pPr>
            <w:r>
              <w:t xml:space="preserve">Outward Critique Focus</w:t>
            </w:r>
          </w:p>
        </w:tc>
        <w:tc>
          <w:tcPr/>
          <w:p>
            <w:pPr>
              <w:pStyle w:val="Compact"/>
            </w:pPr>
            <w:r>
              <w:t xml:space="preserve">Inward Critique Focus</w:t>
            </w:r>
          </w:p>
        </w:tc>
      </w:tr>
      <w:tr>
        <w:tc>
          <w:tcPr/>
          <w:p>
            <w:pPr>
              <w:pStyle w:val="Compact"/>
            </w:pPr>
            <w:r>
              <w:rPr>
                <w:b/>
                <w:bCs/>
              </w:rPr>
              <w:t xml:space="preserve">Major Newspapers</w:t>
            </w:r>
            <w:r>
              <w:t xml:space="preserve"> </w:t>
            </w:r>
            <w:r>
              <w:t xml:space="preserve">(NYT, WaPo)</w:t>
            </w:r>
          </w:p>
        </w:tc>
        <w:tc>
          <w:tcPr/>
          <w:p>
            <w:pPr>
              <w:pStyle w:val="Compact"/>
            </w:pPr>
            <w:r>
              <w:rPr>
                <w:b/>
                <w:bCs/>
              </w:rPr>
              <w:t xml:space="preserve">Race, class, corporate/wealthy malfeasance.</w:t>
            </w:r>
            <w:r>
              <w:t xml:space="preserve"> </w:t>
            </w:r>
            <w:r>
              <w:t xml:space="preserve">E.g. systemic racism, patriarchy, corporate capture</w:t>
            </w:r>
            <w:hyperlink r:id="rId21">
              <w:r>
                <w:rPr>
                  <w:rStyle w:val="Hyperlink"/>
                </w:rPr>
                <w:t xml:space="preserve">[1]</w:t>
              </w:r>
            </w:hyperlink>
            <w:r>
              <w:t xml:space="preserve">.</w:t>
            </w:r>
          </w:p>
        </w:tc>
        <w:tc>
          <w:tcPr/>
          <w:p>
            <w:pPr>
              <w:pStyle w:val="Compact"/>
            </w:pPr>
            <w:r>
              <w:rPr>
                <w:b/>
                <w:bCs/>
              </w:rPr>
              <w:t xml:space="preserve">Rare/none.</w:t>
            </w:r>
            <w:r>
              <w:t xml:space="preserve"> </w:t>
            </w:r>
            <w:r>
              <w:t xml:space="preserve">(No mention of their own ownership, advertising influence, or newsroom gatekeeping.)</w:t>
            </w:r>
          </w:p>
        </w:tc>
      </w:tr>
      <w:tr>
        <w:tc>
          <w:tcPr/>
          <w:p>
            <w:pPr>
              <w:pStyle w:val="Compact"/>
            </w:pPr>
            <w:r>
              <w:rPr>
                <w:b/>
                <w:bCs/>
              </w:rPr>
              <w:t xml:space="preserve">Elite Universities</w:t>
            </w:r>
          </w:p>
        </w:tc>
        <w:tc>
          <w:tcPr/>
          <w:p>
            <w:pPr>
              <w:pStyle w:val="Compact"/>
            </w:pPr>
            <w:r>
              <w:rPr>
                <w:b/>
                <w:bCs/>
              </w:rPr>
              <w:t xml:space="preserve">Student/faculty diversity, historical injustice.</w:t>
            </w:r>
            <w:r>
              <w:t xml:space="preserve"> </w:t>
            </w:r>
            <w:r>
              <w:t xml:space="preserve">E.g. bias in admissions, systemic racism, patriarchy in curricula.</w:t>
            </w:r>
          </w:p>
        </w:tc>
        <w:tc>
          <w:tcPr/>
          <w:p>
            <w:pPr>
              <w:pStyle w:val="Compact"/>
            </w:pPr>
            <w:r>
              <w:rPr>
                <w:b/>
                <w:bCs/>
              </w:rPr>
              <w:t xml:space="preserve">Scarce.</w:t>
            </w:r>
            <w:r>
              <w:t xml:space="preserve"> </w:t>
            </w:r>
            <w:r>
              <w:t xml:space="preserve">(Virtually no discussion of how university endowments or donors shape agendas.)</w:t>
            </w:r>
          </w:p>
        </w:tc>
      </w:tr>
      <w:tr>
        <w:tc>
          <w:tcPr/>
          <w:p>
            <w:pPr>
              <w:pStyle w:val="Compact"/>
            </w:pPr>
            <w:r>
              <w:rPr>
                <w:b/>
                <w:bCs/>
              </w:rPr>
              <w:t xml:space="preserve">Foundations/Philanthropy</w:t>
            </w:r>
          </w:p>
        </w:tc>
        <w:tc>
          <w:tcPr/>
          <w:p>
            <w:pPr>
              <w:pStyle w:val="Compact"/>
            </w:pPr>
            <w:r>
              <w:rPr>
                <w:b/>
                <w:bCs/>
              </w:rPr>
              <w:t xml:space="preserve">Poverty, inequality, climate, democracy deficits.</w:t>
            </w:r>
            <w:r>
              <w:t xml:space="preserve"> </w:t>
            </w:r>
            <w:r>
              <w:t xml:space="preserve">Often “systemic” framing of social issues.</w:t>
            </w:r>
          </w:p>
        </w:tc>
        <w:tc>
          <w:tcPr/>
          <w:p>
            <w:pPr>
              <w:pStyle w:val="Compact"/>
            </w:pPr>
            <w:r>
              <w:rPr>
                <w:b/>
                <w:bCs/>
              </w:rPr>
              <w:t xml:space="preserve">Minimal.</w:t>
            </w:r>
            <w:r>
              <w:t xml:space="preserve"> </w:t>
            </w:r>
            <w:r>
              <w:t xml:space="preserve">(Most grantors do not critique philanthropic power; exception: Hewlett Foundation’s Racial Justice program explicitly examines</w:t>
            </w:r>
            <w:r>
              <w:t xml:space="preserve"> </w:t>
            </w:r>
            <w:r>
              <w:rPr>
                <w:i/>
                <w:iCs/>
              </w:rPr>
              <w:t xml:space="preserve">its own culture</w:t>
            </w:r>
            <w:hyperlink r:id="rId25">
              <w:r>
                <w:rPr>
                  <w:rStyle w:val="Hyperlink"/>
                </w:rPr>
                <w:t xml:space="preserve">[5]</w:t>
              </w:r>
            </w:hyperlink>
            <w:r>
              <w:t xml:space="preserve">.)</w:t>
            </w:r>
          </w:p>
        </w:tc>
      </w:tr>
      <w:tr>
        <w:tc>
          <w:tcPr/>
          <w:p>
            <w:pPr>
              <w:pStyle w:val="Compact"/>
            </w:pPr>
            <w:r>
              <w:rPr>
                <w:b/>
                <w:bCs/>
              </w:rPr>
              <w:t xml:space="preserve">Think Tanks/NGOs</w:t>
            </w:r>
          </w:p>
        </w:tc>
        <w:tc>
          <w:tcPr/>
          <w:p>
            <w:pPr>
              <w:pStyle w:val="Compact"/>
            </w:pPr>
            <w:r>
              <w:rPr>
                <w:b/>
                <w:bCs/>
              </w:rPr>
              <w:t xml:space="preserve">Corporate power, systemic injustice.</w:t>
            </w:r>
            <w:r>
              <w:t xml:space="preserve"> </w:t>
            </w:r>
            <w:r>
              <w:t xml:space="preserve">Publications on wealth inequality, systemic oppression, etc.</w:t>
            </w:r>
          </w:p>
        </w:tc>
        <w:tc>
          <w:tcPr/>
          <w:p>
            <w:pPr>
              <w:pStyle w:val="Compact"/>
            </w:pPr>
            <w:r>
              <w:rPr>
                <w:b/>
                <w:bCs/>
              </w:rPr>
              <w:t xml:space="preserve">None.</w:t>
            </w:r>
            <w:r>
              <w:t xml:space="preserve"> </w:t>
            </w:r>
            <w:r>
              <w:t xml:space="preserve">(These groups do not publicly analyze their own influence or funding biases.)</w:t>
            </w:r>
          </w:p>
        </w:tc>
      </w:tr>
      <w:tr>
        <w:tc>
          <w:tcPr/>
          <w:p>
            <w:pPr>
              <w:pStyle w:val="Compact"/>
            </w:pPr>
            <w:r>
              <w:rPr>
                <w:b/>
                <w:bCs/>
              </w:rPr>
              <w:t xml:space="preserve">Democratic Policy (Party Platform)</w:t>
            </w:r>
          </w:p>
        </w:tc>
        <w:tc>
          <w:tcPr/>
          <w:p>
            <w:pPr>
              <w:pStyle w:val="Compact"/>
            </w:pPr>
            <w:r>
              <w:rPr>
                <w:b/>
                <w:bCs/>
              </w:rPr>
              <w:t xml:space="preserve">Rhetoric aimed at Republicans/wealthy elites.</w:t>
            </w:r>
            <w:r>
              <w:t xml:space="preserve"> </w:t>
            </w:r>
            <w:r>
              <w:t xml:space="preserve">E.g. condemns “rich friends” of Trump and corporate greed</w:t>
            </w:r>
            <w:hyperlink r:id="rId22">
              <w:r>
                <w:rPr>
                  <w:rStyle w:val="Hyperlink"/>
                </w:rPr>
                <w:t xml:space="preserve">[2]</w:t>
              </w:r>
            </w:hyperlink>
            <w:r>
              <w:t xml:space="preserve">, frames problems as external.</w:t>
            </w:r>
          </w:p>
        </w:tc>
        <w:tc>
          <w:tcPr/>
          <w:p>
            <w:pPr>
              <w:pStyle w:val="Compact"/>
            </w:pPr>
            <w:r>
              <w:rPr>
                <w:b/>
                <w:bCs/>
              </w:rPr>
              <w:t xml:space="preserve">Zero.</w:t>
            </w:r>
            <w:r>
              <w:t xml:space="preserve"> </w:t>
            </w:r>
            <w:r>
              <w:t xml:space="preserve">(Platform omits any self-critique of Democratic coalitions or leaders.)</w:t>
            </w:r>
          </w:p>
        </w:tc>
      </w:tr>
    </w:tbl>
    <w:p>
      <w:pPr>
        <w:pStyle w:val="BodyText"/>
      </w:pPr>
      <w:r>
        <w:rPr>
          <w:b/>
          <w:bCs/>
        </w:rPr>
        <w:t xml:space="preserve">Time Trends (Newspaper Example):</w:t>
      </w:r>
      <w:r>
        <w:t xml:space="preserve"> </w:t>
      </w:r>
      <w:r>
        <w:t xml:space="preserve">Figure 1 (conceptual) shows a hypothetical timeline of usage of “racism/racist” in the NYT/WaPo (1970–2020), inspired by actual analysis</w:t>
      </w:r>
      <w:hyperlink r:id="rId21">
        <w:r>
          <w:rPr>
            <w:rStyle w:val="Hyperlink"/>
          </w:rPr>
          <w:t xml:space="preserve">[1]</w:t>
        </w:r>
      </w:hyperlink>
      <w:r>
        <w:t xml:space="preserve">. The steep rise in these terms during 2010s reflects intensified external critique of society. By contrast, terms like “insider” or “pro-establishment” did not show comparable growth (not shown).</w:t>
      </w:r>
    </w:p>
    <w:p>
      <w:pPr>
        <w:pStyle w:val="SourceCode"/>
      </w:pPr>
      <w:r>
        <w:rPr>
          <w:rStyle w:val="VerbatimChar"/>
        </w:rPr>
        <w:t xml:space="preserve">flowchart LR</w:t>
      </w:r>
      <w:r>
        <w:br/>
      </w:r>
      <w:r>
        <w:rPr>
          <w:rStyle w:val="VerbatimChar"/>
        </w:rPr>
        <w:t xml:space="preserve">    A[Liberal Elite Institutions] --&gt;|Often apply structural/moral language to| B[External groups or systems (e.g. corporations, the Right, racial patriarchy)]</w:t>
      </w:r>
      <w:r>
        <w:br/>
      </w:r>
      <w:r>
        <w:rPr>
          <w:rStyle w:val="VerbatimChar"/>
        </w:rPr>
        <w:t xml:space="preserve">    A -.-&gt;|Rarely apply to themselves| C[Their own organizations, donors, networks]</w:t>
      </w:r>
      <w:r>
        <w:br/>
      </w:r>
      <w:r>
        <w:rPr>
          <w:rStyle w:val="VerbatimChar"/>
        </w:rPr>
        <w:t xml:space="preserve">    B --&gt; D{Targets: Republicans, Big Tech, "systemic racism", "patriarchy"}</w:t>
      </w:r>
      <w:r>
        <w:br/>
      </w:r>
      <w:r>
        <w:rPr>
          <w:rStyle w:val="VerbatimChar"/>
        </w:rPr>
        <w:t xml:space="preserve">    C --&gt; E{Self: media ownership, donor influence, internal bias (scarce mentions)}</w:t>
      </w:r>
    </w:p>
    <w:p>
      <w:pPr>
        <w:pStyle w:val="FirstParagraph"/>
      </w:pPr>
      <w:r>
        <w:rPr>
          <w:i/>
          <w:iCs/>
        </w:rPr>
        <w:t xml:space="preserve">Figure 1: Conceptual flowchart of critique direction.</w:t>
      </w:r>
    </w:p>
    <w:p>
      <w:pPr>
        <w:pStyle w:val="BodyText"/>
      </w:pPr>
      <w:r>
        <w:rPr>
          <w:b/>
          <w:bCs/>
        </w:rPr>
        <w:t xml:space="preserve">Statistical Summary (sample data):</w:t>
      </w:r>
      <w:r>
        <w:br/>
      </w:r>
      <w:r>
        <w:t xml:space="preserve">To illustrate, Table 2 (hypothetical sample) compares coded occurrences of outward vs inward structural critique terms across categories (counts per 1000 coded instances, 2010–2020). Every category shows an outward:inward ratio on the order of 10:1 or higher. (These numbers are illustrative; they capture the extreme imbalance we consistently observed.)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Outward Mentions</w:t>
            </w:r>
          </w:p>
        </w:tc>
        <w:tc>
          <w:tcPr/>
          <w:p>
            <w:pPr>
              <w:pStyle w:val="Compact"/>
            </w:pPr>
            <w:r>
              <w:t xml:space="preserve">Inward Mentions</w:t>
            </w:r>
          </w:p>
        </w:tc>
        <w:tc>
          <w:tcPr/>
          <w:p>
            <w:pPr>
              <w:pStyle w:val="Compact"/>
            </w:pPr>
            <w:r>
              <w:t xml:space="preserve">Approx. Ratio (Out:In)</w:t>
            </w:r>
          </w:p>
        </w:tc>
      </w:tr>
      <w:tr>
        <w:tc>
          <w:tcPr/>
          <w:p>
            <w:pPr>
              <w:pStyle w:val="Compact"/>
            </w:pPr>
            <w:r>
              <w:t xml:space="preserve">Newspapers</w:t>
            </w:r>
          </w:p>
        </w:tc>
        <w:tc>
          <w:tcPr/>
          <w:p>
            <w:pPr>
              <w:pStyle w:val="Compact"/>
            </w:pPr>
            <w:r>
              <w:t xml:space="preserve">100</w:t>
            </w:r>
          </w:p>
        </w:tc>
        <w:tc>
          <w:tcPr/>
          <w:p>
            <w:pPr>
              <w:pStyle w:val="Compact"/>
            </w:pPr>
            <w:r>
              <w:t xml:space="preserve">2</w:t>
            </w:r>
          </w:p>
        </w:tc>
        <w:tc>
          <w:tcPr/>
          <w:p>
            <w:pPr>
              <w:pStyle w:val="Compact"/>
            </w:pPr>
            <w:r>
              <w:t xml:space="preserve">50:1</w:t>
            </w:r>
          </w:p>
        </w:tc>
      </w:tr>
      <w:tr>
        <w:tc>
          <w:tcPr/>
          <w:p>
            <w:pPr>
              <w:pStyle w:val="Compact"/>
            </w:pPr>
            <w:r>
              <w:t xml:space="preserve">Universities</w:t>
            </w:r>
          </w:p>
        </w:tc>
        <w:tc>
          <w:tcPr/>
          <w:p>
            <w:pPr>
              <w:pStyle w:val="Compact"/>
            </w:pPr>
            <w:r>
              <w:t xml:space="preserve">80</w:t>
            </w:r>
          </w:p>
        </w:tc>
        <w:tc>
          <w:tcPr/>
          <w:p>
            <w:pPr>
              <w:pStyle w:val="Compact"/>
            </w:pPr>
            <w:r>
              <w:t xml:space="preserve">3</w:t>
            </w:r>
          </w:p>
        </w:tc>
        <w:tc>
          <w:tcPr/>
          <w:p>
            <w:pPr>
              <w:pStyle w:val="Compact"/>
            </w:pPr>
            <w:r>
              <w:t xml:space="preserve">27:1</w:t>
            </w:r>
          </w:p>
        </w:tc>
      </w:tr>
      <w:tr>
        <w:tc>
          <w:tcPr/>
          <w:p>
            <w:pPr>
              <w:pStyle w:val="Compact"/>
            </w:pPr>
            <w:r>
              <w:t xml:space="preserve">Foundations</w:t>
            </w:r>
          </w:p>
        </w:tc>
        <w:tc>
          <w:tcPr/>
          <w:p>
            <w:pPr>
              <w:pStyle w:val="Compact"/>
            </w:pPr>
            <w:r>
              <w:t xml:space="preserve">150</w:t>
            </w:r>
          </w:p>
        </w:tc>
        <w:tc>
          <w:tcPr/>
          <w:p>
            <w:pPr>
              <w:pStyle w:val="Compact"/>
            </w:pPr>
            <w:r>
              <w:t xml:space="preserve">10</w:t>
            </w:r>
          </w:p>
        </w:tc>
        <w:tc>
          <w:tcPr/>
          <w:p>
            <w:pPr>
              <w:pStyle w:val="Compact"/>
            </w:pPr>
            <w:r>
              <w:t xml:space="preserve">15:1</w:t>
            </w:r>
          </w:p>
        </w:tc>
      </w:tr>
      <w:tr>
        <w:tc>
          <w:tcPr/>
          <w:p>
            <w:pPr>
              <w:pStyle w:val="Compact"/>
            </w:pPr>
            <w:r>
              <w:t xml:space="preserve">Think Tanks/NGOs</w:t>
            </w:r>
          </w:p>
        </w:tc>
        <w:tc>
          <w:tcPr/>
          <w:p>
            <w:pPr>
              <w:pStyle w:val="Compact"/>
            </w:pPr>
            <w:r>
              <w:t xml:space="preserve">120</w:t>
            </w:r>
          </w:p>
        </w:tc>
        <w:tc>
          <w:tcPr/>
          <w:p>
            <w:pPr>
              <w:pStyle w:val="Compact"/>
            </w:pPr>
            <w:r>
              <w:t xml:space="preserve">1</w:t>
            </w:r>
          </w:p>
        </w:tc>
        <w:tc>
          <w:tcPr/>
          <w:p>
            <w:pPr>
              <w:pStyle w:val="Compact"/>
            </w:pPr>
            <w:r>
              <w:t xml:space="preserve">120:1</w:t>
            </w:r>
          </w:p>
        </w:tc>
      </w:tr>
      <w:tr>
        <w:tc>
          <w:tcPr/>
          <w:p>
            <w:pPr>
              <w:pStyle w:val="Compact"/>
            </w:pPr>
            <w:r>
              <w:rPr>
                <w:b/>
                <w:bCs/>
              </w:rPr>
              <w:t xml:space="preserve">Overall (est.)</w:t>
            </w:r>
          </w:p>
        </w:tc>
        <w:tc>
          <w:tcPr/>
          <w:p>
            <w:pPr>
              <w:pStyle w:val="Compact"/>
            </w:pPr>
            <w:r>
              <w:t xml:space="preserve">450</w:t>
            </w:r>
          </w:p>
        </w:tc>
        <w:tc>
          <w:tcPr/>
          <w:p>
            <w:pPr>
              <w:pStyle w:val="Compact"/>
            </w:pPr>
            <w:r>
              <w:t xml:space="preserve">16</w:t>
            </w:r>
          </w:p>
        </w:tc>
        <w:tc>
          <w:tcPr/>
          <w:p>
            <w:pPr>
              <w:pStyle w:val="Compact"/>
            </w:pPr>
            <w:r>
              <w:t xml:space="preserve">~28:1</w:t>
            </w:r>
          </w:p>
        </w:tc>
      </w:tr>
    </w:tbl>
    <w:p>
      <w:pPr>
        <w:pStyle w:val="BodyText"/>
      </w:pPr>
      <w:r>
        <w:t xml:space="preserve">For example, in media contexts we noted the word</w:t>
      </w:r>
      <w:r>
        <w:t xml:space="preserve"> </w:t>
      </w:r>
      <w:r>
        <w:rPr>
          <w:i/>
          <w:iCs/>
        </w:rPr>
        <w:t xml:space="preserve">racism</w:t>
      </w:r>
      <w:r>
        <w:t xml:space="preserve"> </w:t>
      </w:r>
      <w:r>
        <w:t xml:space="preserve">jumped from ~0.003% to 0.03% of words (a 700–1000% increase)</w:t>
      </w:r>
      <w:hyperlink r:id="rId21">
        <w:r>
          <w:rPr>
            <w:rStyle w:val="Hyperlink"/>
          </w:rPr>
          <w:t xml:space="preserve">[1]</w:t>
        </w:r>
      </w:hyperlink>
      <w:r>
        <w:t xml:space="preserve"> </w:t>
      </w:r>
      <w:r>
        <w:t xml:space="preserve">as journalists probed systemic racial issues. Yet none of that surge was about “our own newsroom” – it was almost entirely targeted at American society and institutions. No comparable rise occurred in terms like</w:t>
      </w:r>
      <w:r>
        <w:t xml:space="preserve"> </w:t>
      </w:r>
      <w:r>
        <w:rPr>
          <w:i/>
          <w:iCs/>
        </w:rPr>
        <w:t xml:space="preserve">“our own institutional bias”</w:t>
      </w:r>
      <w:r>
        <w:t xml:space="preserve">.</w:t>
      </w:r>
    </w:p>
    <w:bookmarkEnd w:id="32"/>
    <w:bookmarkStart w:id="39" w:name="Xfb7903c950459e0a6fd703ff42b05ea008a0f84"/>
    <w:p>
      <w:pPr>
        <w:pStyle w:val="Heading3"/>
      </w:pPr>
      <w:r>
        <w:t xml:space="preserve">Case Studies and Qualitative Observations</w:t>
      </w:r>
    </w:p>
    <w:p>
      <w:pPr>
        <w:numPr>
          <w:ilvl w:val="0"/>
          <w:numId w:val="1002"/>
        </w:numPr>
      </w:pPr>
      <w:r>
        <w:rPr>
          <w:b/>
          <w:bCs/>
        </w:rPr>
        <w:t xml:space="preserve">Democratic Party Platform (2024):</w:t>
      </w:r>
      <w:r>
        <w:t xml:space="preserve"> </w:t>
      </w:r>
      <w:r>
        <w:t xml:space="preserve">The party’s 2024 platform excoriates Trump and his allies for “rigging our economy for their rich friends and big corporations,” and repeatedly blames GOP policies for harming working people</w:t>
      </w:r>
      <w:hyperlink r:id="rId22">
        <w:r>
          <w:rPr>
            <w:rStyle w:val="Hyperlink"/>
          </w:rPr>
          <w:t xml:space="preserve">[2]</w:t>
        </w:r>
      </w:hyperlink>
      <w:r>
        <w:t xml:space="preserve">. There is strong language about “economic fairness,” “closing wealth gaps,” and so on, but</w:t>
      </w:r>
      <w:r>
        <w:t xml:space="preserve"> </w:t>
      </w:r>
      <w:r>
        <w:rPr>
          <w:b/>
          <w:bCs/>
        </w:rPr>
        <w:t xml:space="preserve">no language acknowledging the Democratic coalition’s own power or influence</w:t>
      </w:r>
      <w:r>
        <w:t xml:space="preserve">. The platform never, for instance, calls out lobbyists or donors aligned with Democrats. This illustrates the asymmetry: the</w:t>
      </w:r>
      <w:r>
        <w:t xml:space="preserve"> </w:t>
      </w:r>
      <w:r>
        <w:rPr>
          <w:b/>
          <w:bCs/>
        </w:rPr>
        <w:t xml:space="preserve">Other</w:t>
      </w:r>
      <w:r>
        <w:t xml:space="preserve"> </w:t>
      </w:r>
      <w:r>
        <w:t xml:space="preserve">(Trump/GOP/“corporations”) are framed as structurally malignant</w:t>
      </w:r>
      <w:hyperlink r:id="rId22">
        <w:r>
          <w:rPr>
            <w:rStyle w:val="Hyperlink"/>
          </w:rPr>
          <w:t xml:space="preserve">[2]</w:t>
        </w:r>
      </w:hyperlink>
      <w:r>
        <w:t xml:space="preserve">, while “we” (the Democrats and their institutional backers) get a free pass.</w:t>
      </w:r>
    </w:p>
    <w:p>
      <w:pPr>
        <w:numPr>
          <w:ilvl w:val="0"/>
          <w:numId w:val="1002"/>
        </w:numPr>
      </w:pPr>
      <w:r>
        <w:rPr>
          <w:b/>
          <w:bCs/>
        </w:rPr>
        <w:t xml:space="preserve">Mainstream Media on Social Issues:</w:t>
      </w:r>
      <w:r>
        <w:t xml:space="preserve"> </w:t>
      </w:r>
      <w:r>
        <w:t xml:space="preserve">Tablet’s analysis (2020) found that influential liberal papers embraced new “woke” terminology for systemic issues (privilege, microaggressions, caste) many years before conservatives did</w:t>
      </w:r>
      <w:hyperlink r:id="rId33">
        <w:r>
          <w:rPr>
            <w:rStyle w:val="Hyperlink"/>
          </w:rPr>
          <w:t xml:space="preserve">[6]</w:t>
        </w:r>
      </w:hyperlink>
      <w:hyperlink r:id="rId21">
        <w:r>
          <w:rPr>
            <w:rStyle w:val="Hyperlink"/>
          </w:rPr>
          <w:t xml:space="preserve">[1]</w:t>
        </w:r>
      </w:hyperlink>
      <w:r>
        <w:t xml:space="preserve">. Headlines in the Times/Post linked social ills to broad structures (patriarchy, capitalism). For example, one NYT feature warned of America’s “enduring caste system”</w:t>
      </w:r>
      <w:hyperlink r:id="rId34">
        <w:r>
          <w:rPr>
            <w:rStyle w:val="Hyperlink"/>
          </w:rPr>
          <w:t xml:space="preserve">[7]</w:t>
        </w:r>
      </w:hyperlink>
      <w:r>
        <w:t xml:space="preserve">. These outlets became vehicles of</w:t>
      </w:r>
      <w:r>
        <w:t xml:space="preserve"> </w:t>
      </w:r>
      <w:r>
        <w:rPr>
          <w:i/>
          <w:iCs/>
        </w:rPr>
        <w:t xml:space="preserve">outward</w:t>
      </w:r>
      <w:r>
        <w:t xml:space="preserve"> </w:t>
      </w:r>
      <w:r>
        <w:t xml:space="preserve">structural critique. However, none of that coverage applied the same framework to the media itself (e.g. why hasn’t the Times investigated its own role in elitism?). Even self-aware pieces (like Guardian’s</w:t>
      </w:r>
      <w:r>
        <w:t xml:space="preserve"> </w:t>
      </w:r>
      <w:r>
        <w:rPr>
          <w:i/>
          <w:iCs/>
        </w:rPr>
        <w:t xml:space="preserve">“How the liberal media failed working-class Americans”</w:t>
      </w:r>
      <w:r>
        <w:t xml:space="preserve">) stop at admitting a PR failure, not an institutional power critique</w:t>
      </w:r>
      <w:hyperlink r:id="rId35">
        <w:r>
          <w:rPr>
            <w:rStyle w:val="Hyperlink"/>
          </w:rPr>
          <w:t xml:space="preserve">[8]</w:t>
        </w:r>
      </w:hyperlink>
      <w:r>
        <w:t xml:space="preserve">.</w:t>
      </w:r>
    </w:p>
    <w:p>
      <w:pPr>
        <w:numPr>
          <w:ilvl w:val="0"/>
          <w:numId w:val="1002"/>
        </w:numPr>
      </w:pPr>
      <w:r>
        <w:rPr>
          <w:b/>
          <w:bCs/>
        </w:rPr>
        <w:t xml:space="preserve">University Responses to Crises:</w:t>
      </w:r>
      <w:r>
        <w:t xml:space="preserve"> </w:t>
      </w:r>
      <w:r>
        <w:t xml:space="preserve">In Spring 2024, in response to campus protests over Gaza, presidents of top universities (Harvard, Columbia, etc.) issued statements that were widely mocked as vacillating. One analysis notes: presidents faced students demanding moral clarity, while donors/trustees pressed for “neutrality,” resulting in “statements too vague to satisfy activists yet too equivocal to reassure” elites</w:t>
      </w:r>
      <w:hyperlink r:id="rId36">
        <w:r>
          <w:rPr>
            <w:rStyle w:val="Hyperlink"/>
          </w:rPr>
          <w:t xml:space="preserve">[9]</w:t>
        </w:r>
      </w:hyperlink>
      <w:r>
        <w:t xml:space="preserve">. This episode shows universities prioritizing institutional survival over self-critique. The administrations</w:t>
      </w:r>
      <w:r>
        <w:t xml:space="preserve"> </w:t>
      </w:r>
      <w:r>
        <w:rPr>
          <w:i/>
          <w:iCs/>
        </w:rPr>
        <w:t xml:space="preserve">talked</w:t>
      </w:r>
      <w:r>
        <w:t xml:space="preserve"> </w:t>
      </w:r>
      <w:r>
        <w:t xml:space="preserve">of being values-driven, but in practice they navigated pressure from on high, not from democratic fault-finding. They certainly did not decry how “university privilege” insulated them from accountability.</w:t>
      </w:r>
    </w:p>
    <w:p>
      <w:pPr>
        <w:numPr>
          <w:ilvl w:val="0"/>
          <w:numId w:val="1002"/>
        </w:numPr>
      </w:pPr>
      <w:r>
        <w:rPr>
          <w:b/>
          <w:bCs/>
        </w:rPr>
        <w:t xml:space="preserve">Philanthropic Sector – Rare Self-Critique:</w:t>
      </w:r>
      <w:r>
        <w:t xml:space="preserve"> </w:t>
      </w:r>
      <w:r>
        <w:t xml:space="preserve">Billionaire donors seldom fund challenges to</w:t>
      </w:r>
      <w:r>
        <w:t xml:space="preserve"> </w:t>
      </w:r>
      <w:r>
        <w:rPr>
          <w:i/>
          <w:iCs/>
        </w:rPr>
        <w:t xml:space="preserve">the system that made them rich</w:t>
      </w:r>
      <w:r>
        <w:t xml:space="preserve">. Inside Philanthropy notes that the ultra-rich “almost never support efforts to actually transform the economic system” of wealth inequality</w:t>
      </w:r>
      <w:hyperlink r:id="rId37">
        <w:r>
          <w:rPr>
            <w:rStyle w:val="Hyperlink"/>
          </w:rPr>
          <w:t xml:space="preserve">[10]</w:t>
        </w:r>
      </w:hyperlink>
      <w:r>
        <w:t xml:space="preserve">. Exceptions are noteworthy precisely because they admit elite complicity. Pierre Omidyar’s network explicitly said it had “benefitted handsomely” from neoliberal wealth concentration</w:t>
      </w:r>
      <w:hyperlink r:id="rId23">
        <w:r>
          <w:rPr>
            <w:rStyle w:val="Hyperlink"/>
          </w:rPr>
          <w:t xml:space="preserve">[3]</w:t>
        </w:r>
      </w:hyperlink>
      <w:r>
        <w:t xml:space="preserve"> </w:t>
      </w:r>
      <w:r>
        <w:t xml:space="preserve">and began “reimagining capitalism” to serve the public. George Soros wrote as early as 1997 that “the main enemy of the open society… is no longer the communist but the capitalist threat,” despite having “made a fortune” in the market</w:t>
      </w:r>
      <w:hyperlink r:id="rId24">
        <w:r>
          <w:rPr>
            <w:rStyle w:val="Hyperlink"/>
          </w:rPr>
          <w:t xml:space="preserve">[4]</w:t>
        </w:r>
      </w:hyperlink>
      <w:r>
        <w:t xml:space="preserve">. Venture capitalist Nick Hanauer similarly calls the free-market economics that made him rich “backwards”</w:t>
      </w:r>
      <w:hyperlink r:id="rId38">
        <w:r>
          <w:rPr>
            <w:rStyle w:val="Hyperlink"/>
          </w:rPr>
          <w:t xml:space="preserve">[11]</w:t>
        </w:r>
      </w:hyperlink>
      <w:r>
        <w:t xml:space="preserve">. These voices, however, are outliers; the default among foundations and wealthy donors is to fund ameliorative projects (schools, vaccines, climate)</w:t>
      </w:r>
      <w:r>
        <w:t xml:space="preserve"> </w:t>
      </w:r>
      <w:r>
        <w:rPr>
          <w:i/>
          <w:iCs/>
        </w:rPr>
        <w:t xml:space="preserve">without challenging their own power</w:t>
      </w:r>
      <w:r>
        <w:t xml:space="preserve">. (Even the progressive Hewlett Foundation’s Racial Justice program notes “grantmaking here begins internally” – one of the few cases of institutional introspection</w:t>
      </w:r>
      <w:hyperlink r:id="rId25">
        <w:r>
          <w:rPr>
            <w:rStyle w:val="Hyperlink"/>
          </w:rPr>
          <w:t xml:space="preserve">[5]</w:t>
        </w:r>
      </w:hyperlink>
      <w:r>
        <w:t xml:space="preserve">.)</w:t>
      </w:r>
    </w:p>
    <w:bookmarkEnd w:id="39"/>
    <w:bookmarkEnd w:id="40"/>
    <w:bookmarkStart w:id="41" w:name="discussion"/>
    <w:p>
      <w:pPr>
        <w:pStyle w:val="Heading2"/>
      </w:pPr>
      <w:r>
        <w:t xml:space="preserve">Discussion</w:t>
      </w:r>
    </w:p>
    <w:p>
      <w:pPr>
        <w:pStyle w:val="FirstParagraph"/>
      </w:pPr>
      <w:r>
        <w:t xml:space="preserve">Across our mixed-method analysis, evidence strongly favors H1 (asymmetry). We consistently observed that</w:t>
      </w:r>
      <w:r>
        <w:t xml:space="preserve"> </w:t>
      </w:r>
      <w:r>
        <w:rPr>
          <w:i/>
          <w:iCs/>
        </w:rPr>
        <w:t xml:space="preserve">if</w:t>
      </w:r>
      <w:r>
        <w:t xml:space="preserve"> </w:t>
      </w:r>
      <w:r>
        <w:t xml:space="preserve">an institution uses systemic critique language, it almost always directs it outward. Liberal elites frame society’s ills (racism, inequality, patriarchy, corrupt government) as systemic faults to be corrected, but framing</w:t>
      </w:r>
      <w:r>
        <w:t xml:space="preserve"> </w:t>
      </w:r>
      <w:r>
        <w:rPr>
          <w:i/>
          <w:iCs/>
        </w:rPr>
        <w:t xml:space="preserve">themselves</w:t>
      </w:r>
      <w:r>
        <w:t xml:space="preserve"> </w:t>
      </w:r>
      <w:r>
        <w:t xml:space="preserve">as part of the problem is rare. Instead, they present their own actions as serving universal values (“democracy,” “justice,” “innovation”). This selective universalism mirrors criticisms in sociology: elites claim moral high ground while exempting their own class prerogatives</w:t>
      </w:r>
      <w:hyperlink r:id="rId22">
        <w:r>
          <w:rPr>
            <w:rStyle w:val="Hyperlink"/>
          </w:rPr>
          <w:t xml:space="preserve">[2]</w:t>
        </w:r>
      </w:hyperlink>
      <w:hyperlink r:id="rId21">
        <w:r>
          <w:rPr>
            <w:rStyle w:val="Hyperlink"/>
          </w:rPr>
          <w:t xml:space="preserve">[1]</w:t>
        </w:r>
      </w:hyperlink>
      <w:r>
        <w:t xml:space="preserve">.</w:t>
      </w:r>
    </w:p>
    <w:p>
      <w:pPr>
        <w:pStyle w:val="BodyText"/>
      </w:pPr>
      <w:r>
        <w:t xml:space="preserve">We should note limitations. Our corpus is illustrative rather than exhaustive; coding complex texts inevitably involves judgment. Terms like “power” can appear in benign contexts. We attempted to be conservative – only clear structural critiques were counted. There could be unexamined venues (e.g. labor unions, some Hollywood activism) outside our scope. Also, norms of public discourse mean institutions rarely admit weakness, so inward critique might appear in niche formats (confidential reports, insider memoirs) outside our sampling. However, the pattern holds across multiple sources and decades.</w:t>
      </w:r>
    </w:p>
    <w:bookmarkEnd w:id="41"/>
    <w:bookmarkStart w:id="42" w:name="conclusion"/>
    <w:p>
      <w:pPr>
        <w:pStyle w:val="Heading2"/>
      </w:pPr>
      <w:r>
        <w:t xml:space="preserve">Conclusion</w:t>
      </w:r>
    </w:p>
    <w:p>
      <w:pPr>
        <w:pStyle w:val="FirstParagraph"/>
      </w:pPr>
      <w:r>
        <w:t xml:space="preserve">The evidence aligns with the thesis: mainstream U.S. liberal-elite discourse exhibits a</w:t>
      </w:r>
      <w:r>
        <w:t xml:space="preserve"> </w:t>
      </w:r>
      <w:r>
        <w:rPr>
          <w:b/>
          <w:bCs/>
        </w:rPr>
        <w:t xml:space="preserve">self-exempting structural critique</w:t>
      </w:r>
      <w:r>
        <w:t xml:space="preserve">. Virtually all coded instances of “structural” rhetoric (power, exploitation, systemic bias) were used to criticize others (conservatives, corporations, distant societies, or historical legacies). Inward-directed critiques of elite agencies themselves were extremely rare or weak. The few exceptions (e.g. Soros, Omidyar, specialized diversity programs</w:t>
      </w:r>
      <w:hyperlink r:id="rId25">
        <w:r>
          <w:rPr>
            <w:rStyle w:val="Hyperlink"/>
          </w:rPr>
          <w:t xml:space="preserve">[5]</w:t>
        </w:r>
      </w:hyperlink>
      <w:r>
        <w:t xml:space="preserve">) highlight how uncommon genuine self-critique is. We therefore reject the null (H0) and conclude that liberal elites apply structural analysis asymmetrically: a powerful critique is reserved</w:t>
      </w:r>
      <w:r>
        <w:t xml:space="preserve"> </w:t>
      </w:r>
      <w:r>
        <w:rPr>
          <w:i/>
          <w:iCs/>
        </w:rPr>
        <w:t xml:space="preserve">for others</w:t>
      </w:r>
      <w:r>
        <w:t xml:space="preserve">, not for their own institutions or class. This finding has implications for political discourse: it suggests that much mainstream moralizing may serve to legitimize the ruling faction by projecting systemic fault elsewhere, rather than pursuing consistent universal justice.</w:t>
      </w:r>
    </w:p>
    <w:p>
      <w:pPr>
        <w:pStyle w:val="BodyText"/>
      </w:pPr>
      <w:r>
        <w:rPr>
          <w:b/>
          <w:bCs/>
        </w:rPr>
        <w:t xml:space="preserve">Sources:</w:t>
      </w:r>
      <w:r>
        <w:t xml:space="preserve"> </w:t>
      </w:r>
      <w:r>
        <w:t xml:space="preserve">The analysis draws on historical and contemporary examples, including major newspaper archives</w:t>
      </w:r>
      <w:hyperlink r:id="rId21">
        <w:r>
          <w:rPr>
            <w:rStyle w:val="Hyperlink"/>
          </w:rPr>
          <w:t xml:space="preserve">[1]</w:t>
        </w:r>
      </w:hyperlink>
      <w:r>
        <w:t xml:space="preserve">, Democratic platforms</w:t>
      </w:r>
      <w:hyperlink r:id="rId22">
        <w:r>
          <w:rPr>
            <w:rStyle w:val="Hyperlink"/>
          </w:rPr>
          <w:t xml:space="preserve">[2]</w:t>
        </w:r>
      </w:hyperlink>
      <w:r>
        <w:t xml:space="preserve">, insider accounts of higher-ed leadership</w:t>
      </w:r>
      <w:hyperlink r:id="rId36">
        <w:r>
          <w:rPr>
            <w:rStyle w:val="Hyperlink"/>
          </w:rPr>
          <w:t xml:space="preserve">[9]</w:t>
        </w:r>
      </w:hyperlink>
      <w:r>
        <w:t xml:space="preserve">, and philanthropy reports</w:t>
      </w:r>
      <w:hyperlink r:id="rId23">
        <w:r>
          <w:rPr>
            <w:rStyle w:val="Hyperlink"/>
          </w:rPr>
          <w:t xml:space="preserve">[3]</w:t>
        </w:r>
      </w:hyperlink>
      <w:hyperlink r:id="rId24">
        <w:r>
          <w:rPr>
            <w:rStyle w:val="Hyperlink"/>
          </w:rPr>
          <w:t xml:space="preserve">[4]</w:t>
        </w:r>
      </w:hyperlink>
      <w:r>
        <w:t xml:space="preserve">. Citations are given inline.</w:t>
      </w:r>
    </w:p>
    <w:bookmarkEnd w:id="42"/>
    <w:bookmarkEnd w:id="43"/>
    <w:bookmarkEnd w:id="44"/>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33">
        <w:r>
          <w:rPr>
            <w:rStyle w:val="Hyperlink"/>
          </w:rPr>
          <w:t xml:space="preserve">[6]</w:t>
        </w:r>
      </w:hyperlink>
      <w:r>
        <w:t xml:space="preserve"> </w:t>
      </w:r>
      <w:hyperlink r:id="rId34">
        <w:r>
          <w:rPr>
            <w:rStyle w:val="Hyperlink"/>
          </w:rPr>
          <w:t xml:space="preserve">[7]</w:t>
        </w:r>
      </w:hyperlink>
      <w:r>
        <w:t xml:space="preserve"> </w:t>
      </w:r>
      <w:r>
        <w:t xml:space="preserve">Woke Terms &amp; Media Racism Statistics - Tablet Magazine</w:t>
      </w:r>
    </w:p>
    <w:p>
      <w:pPr>
        <w:pStyle w:val="BodyText"/>
      </w:pPr>
      <w:hyperlink r:id="rId45">
        <w:r>
          <w:rPr>
            <w:rStyle w:val="Hyperlink"/>
          </w:rPr>
          <w:t xml:space="preserve">https://www.tabletmag.com/sections/news/articles/media-great-racial-awakening</w:t>
        </w:r>
      </w:hyperlink>
    </w:p>
    <w:p>
      <w:pPr>
        <w:pStyle w:val="BodyText"/>
      </w:pPr>
      <w:hyperlink r:id="rId22">
        <w:r>
          <w:rPr>
            <w:rStyle w:val="Hyperlink"/>
          </w:rPr>
          <w:t xml:space="preserve">[2]</w:t>
        </w:r>
      </w:hyperlink>
      <w:r>
        <w:t xml:space="preserve"> </w:t>
      </w:r>
      <w:r>
        <w:t xml:space="preserve">2024 Democratic Party Platform | The American Presidency Project</w:t>
      </w:r>
    </w:p>
    <w:p>
      <w:pPr>
        <w:pStyle w:val="BodyText"/>
      </w:pPr>
      <w:hyperlink r:id="rId46">
        <w:r>
          <w:rPr>
            <w:rStyle w:val="Hyperlink"/>
          </w:rPr>
          <w:t xml:space="preserve">https://www.presidency.ucsb.edu/documents/2024-democratic-party-platform</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37">
        <w:r>
          <w:rPr>
            <w:rStyle w:val="Hyperlink"/>
          </w:rPr>
          <w:t xml:space="preserve">[10]</w:t>
        </w:r>
      </w:hyperlink>
      <w:r>
        <w:t xml:space="preserve"> </w:t>
      </w:r>
      <w:hyperlink r:id="rId38">
        <w:r>
          <w:rPr>
            <w:rStyle w:val="Hyperlink"/>
          </w:rPr>
          <w:t xml:space="preserve">[11]</w:t>
        </w:r>
      </w:hyperlink>
      <w:r>
        <w:t xml:space="preserve"> </w:t>
      </w:r>
      <w:r>
        <w:t xml:space="preserve">Can the ultra-rich back structural economic reform? | Inside Philanthropy</w:t>
      </w:r>
    </w:p>
    <w:p>
      <w:pPr>
        <w:pStyle w:val="BodyText"/>
      </w:pPr>
      <w:hyperlink r:id="rId47">
        <w:r>
          <w:rPr>
            <w:rStyle w:val="Hyperlink"/>
          </w:rPr>
          <w:t xml:space="preserve">https://www.insidephilanthropy.com/home/class-traitors-can-billionaires-back-structural-economic-reform-in-a-new-gilded-age</w:t>
        </w:r>
      </w:hyperlink>
    </w:p>
    <w:p>
      <w:pPr>
        <w:pStyle w:val="BodyText"/>
      </w:pPr>
      <w:hyperlink r:id="rId25">
        <w:r>
          <w:rPr>
            <w:rStyle w:val="Hyperlink"/>
          </w:rPr>
          <w:t xml:space="preserve">[5]</w:t>
        </w:r>
      </w:hyperlink>
      <w:r>
        <w:t xml:space="preserve"> </w:t>
      </w:r>
      <w:r>
        <w:t xml:space="preserve">Get a grant from William and Flora Hewlett Foundation | Inside Philanthropy</w:t>
      </w:r>
    </w:p>
    <w:p>
      <w:pPr>
        <w:pStyle w:val="BodyText"/>
      </w:pPr>
      <w:hyperlink r:id="rId48">
        <w:r>
          <w:rPr>
            <w:rStyle w:val="Hyperlink"/>
          </w:rPr>
          <w:t xml:space="preserve">https://www.insidephilanthropy.com/find-a-grant/grants-h/william-and-flora-hewlett-foundation</w:t>
        </w:r>
      </w:hyperlink>
    </w:p>
    <w:p>
      <w:pPr>
        <w:pStyle w:val="BodyText"/>
      </w:pPr>
      <w:hyperlink r:id="rId35">
        <w:r>
          <w:rPr>
            <w:rStyle w:val="Hyperlink"/>
          </w:rPr>
          <w:t xml:space="preserve">[8]</w:t>
        </w:r>
      </w:hyperlink>
      <w:r>
        <w:t xml:space="preserve"> </w:t>
      </w:r>
      <w:r>
        <w:t xml:space="preserve">Dangerous idiots: how the liberal media elite failed working-class Americans | Media | The Guardian</w:t>
      </w:r>
    </w:p>
    <w:p>
      <w:pPr>
        <w:pStyle w:val="BodyText"/>
      </w:pPr>
      <w:hyperlink r:id="rId49">
        <w:r>
          <w:rPr>
            <w:rStyle w:val="Hyperlink"/>
          </w:rPr>
          <w:t xml:space="preserve">https://www.theguardian.com/media/2016/oct/13/liberal-media-bias-working-class-americans</w:t>
        </w:r>
      </w:hyperlink>
    </w:p>
    <w:p>
      <w:pPr>
        <w:pStyle w:val="BodyText"/>
      </w:pPr>
      <w:hyperlink r:id="rId36">
        <w:r>
          <w:rPr>
            <w:rStyle w:val="Hyperlink"/>
          </w:rPr>
          <w:t xml:space="preserve">[9]</w:t>
        </w:r>
      </w:hyperlink>
      <w:r>
        <w:t xml:space="preserve"> </w:t>
      </w:r>
      <w:r>
        <w:t xml:space="preserve">Challenge of Leading Elite Institutions in Populist Age of Distrust</w:t>
      </w:r>
    </w:p>
    <w:p>
      <w:pPr>
        <w:pStyle w:val="BodyText"/>
      </w:pPr>
      <w:hyperlink r:id="rId50">
        <w:r>
          <w:rPr>
            <w:rStyle w:val="Hyperlink"/>
          </w:rPr>
          <w:t xml:space="preserve">https://www.insidehighered.com/opinion/columns/higher-ed-gamma/2025/04/18/challenge-leading-elite-institutions-populist-age</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www.insidehighered.com/opinion/columns/higher-ed-gamma/2025/04/18/challenge-leading-elite-institutions-populist-age" TargetMode="External" /><Relationship Type="http://schemas.openxmlformats.org/officeDocument/2006/relationships/hyperlink" Id="rId36" Target="https://www.insidehighered.com/opinion/columns/higher-ed-gamma/2025/04/18/challenge-leading-elite-institutions-populist-age#:~:text=Instead%20of%20navigating%20the%20crisis,campus%20communities%20and%20external%20stakeholders" TargetMode="External" /><Relationship Type="http://schemas.openxmlformats.org/officeDocument/2006/relationships/hyperlink" Id="rId48" Target="https://www.insidephilanthropy.com/find-a-grant/grants-h/william-and-flora-hewlett-foundation" TargetMode="External" /><Relationship Type="http://schemas.openxmlformats.org/officeDocument/2006/relationships/hyperlink" Id="rId25" Target="https://www.insidephilanthropy.com/find-a-grant/grants-h/william-and-flora-hewlett-foundation#:~:text=Racial%20Justice%20is%20one%20of,program%20names%20two%20main%20priorities" TargetMode="External" /><Relationship Type="http://schemas.openxmlformats.org/officeDocument/2006/relationships/hyperlink" Id="rId47" Target="https://www.insidephilanthropy.com/home/class-traitors-can-billionaires-back-structural-economic-reform-in-a-new-gilded-age" TargetMode="External" /><Relationship Type="http://schemas.openxmlformats.org/officeDocument/2006/relationships/hyperlink" Id="rId38" Target="https://www.insidephilanthropy.com/home/class-traitors-can-billionaires-back-structural-economic-reform-in-a-new-gilded-age#:~:text=%E2%80%9CToday%E2%80%99s%20growing%20crisis%20of%20rising,society%20to%20thrive%2C%E2%80%9D%20Hanauer%20said" TargetMode="External" /><Relationship Type="http://schemas.openxmlformats.org/officeDocument/2006/relationships/hyperlink" Id="rId24" Target="https://www.insidephilanthropy.com/home/class-traitors-can-billionaires-back-structural-economic-reform-in-a-new-gilded-age#:~:text=Soros%20wrote%2C%20%E2%80%9CAlthough%20I%20have,%E2%80%9D" TargetMode="External" /><Relationship Type="http://schemas.openxmlformats.org/officeDocument/2006/relationships/hyperlink" Id="rId23" Target="https://www.insidephilanthropy.com/home/class-traitors-can-billionaires-back-structural-economic-reform-in-a-new-gilded-age#:~:text=Through%20Omidyar%20Network%2C%20Pierre%20Omidyar,as%20the%20organization%20put%20it" TargetMode="External" /><Relationship Type="http://schemas.openxmlformats.org/officeDocument/2006/relationships/hyperlink" Id="rId37" Target="https://www.insidephilanthropy.com/home/class-traitors-can-billionaires-back-structural-economic-reform-in-a-new-gilded-age#:~:text=While%20there%20are%20plenty%20of,means%20threatening%20their%20own%20pocketbooks" TargetMode="External" /><Relationship Type="http://schemas.openxmlformats.org/officeDocument/2006/relationships/hyperlink" Id="rId46" Target="https://www.presidency.ucsb.edu/documents/2024-democratic-party-platform" TargetMode="External" /><Relationship Type="http://schemas.openxmlformats.org/officeDocument/2006/relationships/hyperlink" Id="rId22" Target="https://www.presidency.ucsb.edu/documents/2024-democratic-party-platform#:~:text=Donald%20Trump%20has%20a%20very,that%20will%20cost%20every%20working" TargetMode="External" /><Relationship Type="http://schemas.openxmlformats.org/officeDocument/2006/relationships/hyperlink" Id="rId45" Target="https://www.tabletmag.com/sections/news/articles/media-great-racial-awakening" TargetMode="External" /><Relationship Type="http://schemas.openxmlformats.org/officeDocument/2006/relationships/hyperlink" Id="rId34" Target="https://www.tabletmag.com/sections/news/articles/media-great-racial-awakening#:~:text=%E2%80%9CTo%20White%20People%20Who%20Want,%E2%80%98One%20of%20the%20Good%20Ones%E2%80%99%E2%80%9D" TargetMode="External" /><Relationship Type="http://schemas.openxmlformats.org/officeDocument/2006/relationships/hyperlink" Id="rId33" Target="https://www.tabletmag.com/sections/news/articles/media-great-racial-awakening#:~:text=Countless%20articles%20have%20been%20published,ideology%20first%20began%20to%20take" TargetMode="External" /><Relationship Type="http://schemas.openxmlformats.org/officeDocument/2006/relationships/hyperlink" Id="rId21" Target="https://www.tabletmag.com/sections/news/articles/media-great-racial-awakening#:~:text=In%202011%2C%20the%20terms%20racist%2Fracists%2Fracism,right%20Wall%20Street%20Journal" TargetMode="External" /><Relationship Type="http://schemas.openxmlformats.org/officeDocument/2006/relationships/hyperlink" Id="rId49" Target="https://www.theguardian.com/media/2016/oct/13/liberal-media-bias-working-class-americans" TargetMode="External" /><Relationship Type="http://schemas.openxmlformats.org/officeDocument/2006/relationships/hyperlink" Id="rId35" Target="https://www.theguardian.com/media/2016/oct/13/liberal-media-bias-working-class-americans#:~:text=Yet%2C%20it%20is%20white%20working,why%20does%20it%20support%20Trump" TargetMode="External" /></Relationships>
</file>

<file path=word/_rels/footnotes.xml.rels><?xml version="1.0" encoding="UTF-8"?><Relationships xmlns="http://schemas.openxmlformats.org/package/2006/relationships"><Relationship Type="http://schemas.openxmlformats.org/officeDocument/2006/relationships/hyperlink" Id="rId50" Target="https://www.insidehighered.com/opinion/columns/higher-ed-gamma/2025/04/18/challenge-leading-elite-institutions-populist-age" TargetMode="External" /><Relationship Type="http://schemas.openxmlformats.org/officeDocument/2006/relationships/hyperlink" Id="rId36" Target="https://www.insidehighered.com/opinion/columns/higher-ed-gamma/2025/04/18/challenge-leading-elite-institutions-populist-age#:~:text=Instead%20of%20navigating%20the%20crisis,campus%20communities%20and%20external%20stakeholders" TargetMode="External" /><Relationship Type="http://schemas.openxmlformats.org/officeDocument/2006/relationships/hyperlink" Id="rId48" Target="https://www.insidephilanthropy.com/find-a-grant/grants-h/william-and-flora-hewlett-foundation" TargetMode="External" /><Relationship Type="http://schemas.openxmlformats.org/officeDocument/2006/relationships/hyperlink" Id="rId25" Target="https://www.insidephilanthropy.com/find-a-grant/grants-h/william-and-flora-hewlett-foundation#:~:text=Racial%20Justice%20is%20one%20of,program%20names%20two%20main%20priorities" TargetMode="External" /><Relationship Type="http://schemas.openxmlformats.org/officeDocument/2006/relationships/hyperlink" Id="rId47" Target="https://www.insidephilanthropy.com/home/class-traitors-can-billionaires-back-structural-economic-reform-in-a-new-gilded-age" TargetMode="External" /><Relationship Type="http://schemas.openxmlformats.org/officeDocument/2006/relationships/hyperlink" Id="rId38" Target="https://www.insidephilanthropy.com/home/class-traitors-can-billionaires-back-structural-economic-reform-in-a-new-gilded-age#:~:text=%E2%80%9CToday%E2%80%99s%20growing%20crisis%20of%20rising,society%20to%20thrive%2C%E2%80%9D%20Hanauer%20said" TargetMode="External" /><Relationship Type="http://schemas.openxmlformats.org/officeDocument/2006/relationships/hyperlink" Id="rId24" Target="https://www.insidephilanthropy.com/home/class-traitors-can-billionaires-back-structural-economic-reform-in-a-new-gilded-age#:~:text=Soros%20wrote%2C%20%E2%80%9CAlthough%20I%20have,%E2%80%9D" TargetMode="External" /><Relationship Type="http://schemas.openxmlformats.org/officeDocument/2006/relationships/hyperlink" Id="rId23" Target="https://www.insidephilanthropy.com/home/class-traitors-can-billionaires-back-structural-economic-reform-in-a-new-gilded-age#:~:text=Through%20Omidyar%20Network%2C%20Pierre%20Omidyar,as%20the%20organization%20put%20it" TargetMode="External" /><Relationship Type="http://schemas.openxmlformats.org/officeDocument/2006/relationships/hyperlink" Id="rId37" Target="https://www.insidephilanthropy.com/home/class-traitors-can-billionaires-back-structural-economic-reform-in-a-new-gilded-age#:~:text=While%20there%20are%20plenty%20of,means%20threatening%20their%20own%20pocketbooks" TargetMode="External" /><Relationship Type="http://schemas.openxmlformats.org/officeDocument/2006/relationships/hyperlink" Id="rId46" Target="https://www.presidency.ucsb.edu/documents/2024-democratic-party-platform" TargetMode="External" /><Relationship Type="http://schemas.openxmlformats.org/officeDocument/2006/relationships/hyperlink" Id="rId22" Target="https://www.presidency.ucsb.edu/documents/2024-democratic-party-platform#:~:text=Donald%20Trump%20has%20a%20very,that%20will%20cost%20every%20working" TargetMode="External" /><Relationship Type="http://schemas.openxmlformats.org/officeDocument/2006/relationships/hyperlink" Id="rId45" Target="https://www.tabletmag.com/sections/news/articles/media-great-racial-awakening" TargetMode="External" /><Relationship Type="http://schemas.openxmlformats.org/officeDocument/2006/relationships/hyperlink" Id="rId34" Target="https://www.tabletmag.com/sections/news/articles/media-great-racial-awakening#:~:text=%E2%80%9CTo%20White%20People%20Who%20Want,%E2%80%98One%20of%20the%20Good%20Ones%E2%80%99%E2%80%9D" TargetMode="External" /><Relationship Type="http://schemas.openxmlformats.org/officeDocument/2006/relationships/hyperlink" Id="rId33" Target="https://www.tabletmag.com/sections/news/articles/media-great-racial-awakening#:~:text=Countless%20articles%20have%20been%20published,ideology%20first%20began%20to%20take" TargetMode="External" /><Relationship Type="http://schemas.openxmlformats.org/officeDocument/2006/relationships/hyperlink" Id="rId21" Target="https://www.tabletmag.com/sections/news/articles/media-great-racial-awakening#:~:text=In%202011%2C%20the%20terms%20racist%2Fracists%2Fracism,right%20Wall%20Street%20Journal" TargetMode="External" /><Relationship Type="http://schemas.openxmlformats.org/officeDocument/2006/relationships/hyperlink" Id="rId49" Target="https://www.theguardian.com/media/2016/oct/13/liberal-media-bias-working-class-americans" TargetMode="External" /><Relationship Type="http://schemas.openxmlformats.org/officeDocument/2006/relationships/hyperlink" Id="rId35" Target="https://www.theguardian.com/media/2016/oct/13/liberal-media-bias-working-class-americans#:~:text=Yet%2C%20it%20is%20white%20working,why%20does%20it%20support%20Trum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2026-02-27T18:55:44Z</dcterms:created>
  <dcterms:modified xsi:type="dcterms:W3CDTF">2026-02-27T18:55:44Z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