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8a37d0cddd8025b60bfd0a36e2ab7c09f0d432a"/>
    <w:p>
      <w:pPr>
        <w:pStyle w:val="Heading1"/>
      </w:pPr>
      <w:r>
        <w:t xml:space="preserve">Rebel-PMC Paradox: Symbolic Rebellion and Professional-Managerial Embeddedness in Left‑Liberal Institutions</w:t>
      </w:r>
    </w:p>
    <w:bookmarkStart w:id="24" w:name="executive-summary"/>
    <w:p>
      <w:pPr>
        <w:pStyle w:val="Heading2"/>
      </w:pPr>
      <w:r>
        <w:t xml:space="preserve">Executive summary</w:t>
      </w:r>
    </w:p>
    <w:p>
      <w:pPr>
        <w:pStyle w:val="FirstParagraph"/>
      </w:pPr>
      <w:r>
        <w:t xml:space="preserve">This report develops and stress‑tests a “rebel‑PMC paradox” framework: a recurring pattern in which actors (or milieus) sustain a revolutionary/rebellious self‑image while operating through—and often benefiting from—professional‑managerial class (PMC) institutional architectures. The paradox is not simply “hypocrisy.” It can be a stable equilibrium produced by incentives, organizational filters, and social-psychological dynamics that (a) reward</w:t>
      </w:r>
      <w:r>
        <w:t xml:space="preserve"> </w:t>
      </w:r>
      <w:r>
        <w:rPr>
          <w:i/>
          <w:iCs/>
        </w:rPr>
        <w:t xml:space="preserve">symbolic dissent</w:t>
      </w:r>
      <w:r>
        <w:t xml:space="preserve"> </w:t>
      </w:r>
      <w:r>
        <w:t xml:space="preserve">(speech, signs, reputational contests, internal policy memos) and (b) raise the price of</w:t>
      </w:r>
      <w:r>
        <w:t xml:space="preserve"> </w:t>
      </w:r>
      <w:r>
        <w:rPr>
          <w:i/>
          <w:iCs/>
        </w:rPr>
        <w:t xml:space="preserve">material opposition</w:t>
      </w:r>
      <w:r>
        <w:t xml:space="preserve"> </w:t>
      </w:r>
      <w:r>
        <w:t xml:space="preserve">(actions that redistribute resources, constrain managerial prerogatives, or threaten revenue, credentials, or access).</w:t>
      </w:r>
      <w:r>
        <w:t xml:space="preserve"> </w:t>
      </w:r>
      <w:hyperlink r:id="rId21">
        <w:r>
          <w:rPr>
            <w:rStyle w:val="Hyperlink"/>
          </w:rPr>
          <w:t xml:space="preserve">[1]</w:t>
        </w:r>
      </w:hyperlink>
    </w:p>
    <w:p>
      <w:pPr>
        <w:pStyle w:val="BodyText"/>
      </w:pPr>
      <w:r>
        <w:t xml:space="preserve">Across seven domains (culture, campus symbolism, campus bureaucracy, NGO clicktivism, corporate DEI, media governance, and labor), the most diagnostic signature is</w:t>
      </w:r>
      <w:r>
        <w:t xml:space="preserve"> </w:t>
      </w:r>
      <w:r>
        <w:rPr>
          <w:i/>
          <w:iCs/>
        </w:rPr>
        <w:t xml:space="preserve">substitution</w:t>
      </w:r>
      <w:r>
        <w:t xml:space="preserve">: symbolic contests deliver moral and status payoffs while channeling dissent into institutionally legible forms, frequently leaving underlying material arrangements intact. A striking within‑firm contrast appears at Starbucks: (i) a high‑visibility bias‑training and “third place” brand response that is legible and reputationally valuable, and (ii) a long-running organizing drive (NLRB elections, strikes) that is materially redistributive and conflictual—thus more costly and more directly oppositional.</w:t>
      </w:r>
      <w:r>
        <w:t xml:space="preserve"> </w:t>
      </w:r>
      <w:hyperlink r:id="rId22">
        <w:r>
          <w:rPr>
            <w:rStyle w:val="Hyperlink"/>
          </w:rPr>
          <w:t xml:space="preserve">[2]</w:t>
        </w:r>
      </w:hyperlink>
    </w:p>
    <w:p>
      <w:pPr>
        <w:pStyle w:val="BodyText"/>
      </w:pPr>
      <w:r>
        <w:t xml:space="preserve">The report proposes four diagnostics—</w:t>
      </w:r>
      <w:r>
        <w:rPr>
          <w:b/>
          <w:bCs/>
        </w:rPr>
        <w:t xml:space="preserve">cost</w:t>
      </w:r>
      <w:r>
        <w:t xml:space="preserve">,</w:t>
      </w:r>
      <w:r>
        <w:t xml:space="preserve"> </w:t>
      </w:r>
      <w:r>
        <w:rPr>
          <w:b/>
          <w:bCs/>
        </w:rPr>
        <w:t xml:space="preserve">power‑locus</w:t>
      </w:r>
      <w:r>
        <w:t xml:space="preserve">,</w:t>
      </w:r>
      <w:r>
        <w:t xml:space="preserve"> </w:t>
      </w:r>
      <w:r>
        <w:rPr>
          <w:b/>
          <w:bCs/>
        </w:rPr>
        <w:t xml:space="preserve">substitution</w:t>
      </w:r>
      <w:r>
        <w:t xml:space="preserve">,</w:t>
      </w:r>
      <w:r>
        <w:t xml:space="preserve"> </w:t>
      </w:r>
      <w:r>
        <w:rPr>
          <w:b/>
          <w:bCs/>
        </w:rPr>
        <w:t xml:space="preserve">institutional comfort</w:t>
      </w:r>
      <w:r>
        <w:t xml:space="preserve">—and applies them comparatively. The framework is falsifiable: it is undermined where activists systematically accept high personal/institutional costs, target core power loci (capital allocation, ownership rights, labor regimes, state coercion), and achieve durable material outcomes rather than mainly reputational or procedural wins.</w:t>
      </w:r>
      <w:r>
        <w:t xml:space="preserve"> </w:t>
      </w:r>
      <w:hyperlink r:id="rId23">
        <w:r>
          <w:rPr>
            <w:rStyle w:val="Hyperlink"/>
          </w:rPr>
          <w:t xml:space="preserve">[3]</w:t>
        </w:r>
      </w:hyperlink>
    </w:p>
    <w:bookmarkEnd w:id="24"/>
    <w:bookmarkStart w:id="28" w:name="framework-and-theoretical-foundations"/>
    <w:p>
      <w:pPr>
        <w:pStyle w:val="Heading2"/>
      </w:pPr>
      <w:r>
        <w:t xml:space="preserve">Framework and theoretical foundations</w:t>
      </w:r>
    </w:p>
    <w:p>
      <w:pPr>
        <w:pStyle w:val="FirstParagraph"/>
      </w:pPr>
      <w:r>
        <w:t xml:space="preserve">The “PMC” label originates in the argument by Barbara Ehrenreich</w:t>
      </w:r>
      <w:hyperlink r:id="rId23">
        <w:r>
          <w:rPr>
            <w:rStyle w:val="Hyperlink"/>
          </w:rPr>
          <w:t xml:space="preserve">[4]</w:t>
        </w:r>
      </w:hyperlink>
      <w:r>
        <w:t xml:space="preserve"> </w:t>
      </w:r>
      <w:r>
        <w:t xml:space="preserve">and John Ehrenreich</w:t>
      </w:r>
      <w:hyperlink r:id="rId25">
        <w:r>
          <w:rPr>
            <w:rStyle w:val="Hyperlink"/>
          </w:rPr>
          <w:t xml:space="preserve">[5]</w:t>
        </w:r>
      </w:hyperlink>
      <w:r>
        <w:t xml:space="preserve"> </w:t>
      </w:r>
      <w:r>
        <w:t xml:space="preserve">that modern monopoly capitalism generates a distinct class formation of credentialed professionals, managers, and “culture producers,” whose occupational role is often tied to administering, legitimating, and reproducing capitalist social relations (including via institutions like education, media, welfare, and managerial hierarchies).</w:t>
      </w:r>
      <w:r>
        <w:t xml:space="preserve"> </w:t>
      </w:r>
      <w:hyperlink r:id="rId21">
        <w:r>
          <w:rPr>
            <w:rStyle w:val="Hyperlink"/>
          </w:rPr>
          <w:t xml:space="preserve">[6]</w:t>
        </w:r>
      </w:hyperlink>
      <w:r>
        <w:t xml:space="preserve"> </w:t>
      </w:r>
      <w:r>
        <w:t xml:space="preserve">Their framing matters here because it links</w:t>
      </w:r>
      <w:r>
        <w:t xml:space="preserve"> </w:t>
      </w:r>
      <w:r>
        <w:rPr>
          <w:i/>
          <w:iCs/>
        </w:rPr>
        <w:t xml:space="preserve">class location</w:t>
      </w:r>
      <w:r>
        <w:t xml:space="preserve"> </w:t>
      </w:r>
      <w:r>
        <w:t xml:space="preserve">not merely to income but to functional position in organizations—especially positions that translate knowledge/credentials into authority over work, norms, and evaluation.</w:t>
      </w:r>
      <w:r>
        <w:t xml:space="preserve"> </w:t>
      </w:r>
      <w:hyperlink r:id="rId21">
        <w:r>
          <w:rPr>
            <w:rStyle w:val="Hyperlink"/>
          </w:rPr>
          <w:t xml:space="preserve">[7]</w:t>
        </w:r>
      </w:hyperlink>
    </w:p>
    <w:p>
      <w:pPr>
        <w:pStyle w:val="BodyText"/>
      </w:pPr>
      <w:r>
        <w:t xml:space="preserve">A key bridge from “PMC position” to “symbolic rebellion” is social-movement scholarship on professionalization and organizational mediation. In classic resource mobilization theory, John D. McCarthy</w:t>
      </w:r>
      <w:hyperlink r:id="rId25">
        <w:r>
          <w:rPr>
            <w:rStyle w:val="Hyperlink"/>
          </w:rPr>
          <w:t xml:space="preserve">[8]</w:t>
        </w:r>
      </w:hyperlink>
      <w:r>
        <w:t xml:space="preserve"> </w:t>
      </w:r>
      <w:r>
        <w:t xml:space="preserve">and Mayer N. Zald</w:t>
      </w:r>
      <w:hyperlink r:id="rId26">
        <w:r>
          <w:rPr>
            <w:rStyle w:val="Hyperlink"/>
          </w:rPr>
          <w:t xml:space="preserve">[9]</w:t>
        </w:r>
      </w:hyperlink>
      <w:r>
        <w:t xml:space="preserve"> </w:t>
      </w:r>
      <w:r>
        <w:t xml:space="preserve">emphasize that movement outcomes depend on resource aggregation, organizational structure, and incentives/costs—not only grievances. They explicitly distinguish “social movement organizations” (SMOs) from the underlying diffuse preference structure, and define “social movement industries” (SMIs) as the set of SMOs pursuing a broad movement goal—highlighting how activism becomes organizationally routinized and competitive.</w:t>
      </w:r>
      <w:r>
        <w:t xml:space="preserve"> </w:t>
      </w:r>
      <w:hyperlink r:id="rId23">
        <w:r>
          <w:rPr>
            <w:rStyle w:val="Hyperlink"/>
          </w:rPr>
          <w:t xml:space="preserve">[10]</w:t>
        </w:r>
      </w:hyperlink>
      <w:r>
        <w:t xml:space="preserve"> </w:t>
      </w:r>
      <w:r>
        <w:t xml:space="preserve">This is a structural precondition for a rebel‑PMC equilibrium: once dissent is mediated by institutions that pay salaries, confer status, or manage risk, the feasible action set shifts toward what is fundable, promotable, and reputationally rewarding.</w:t>
      </w:r>
      <w:r>
        <w:t xml:space="preserve"> </w:t>
      </w:r>
      <w:hyperlink r:id="rId23">
        <w:r>
          <w:rPr>
            <w:rStyle w:val="Hyperlink"/>
          </w:rPr>
          <w:t xml:space="preserve">[11]</w:t>
        </w:r>
      </w:hyperlink>
    </w:p>
    <w:p>
      <w:pPr>
        <w:pStyle w:val="BodyText"/>
      </w:pPr>
      <w:r>
        <w:t xml:space="preserve">A complementary macro frame is Nancy Fraser</w:t>
      </w:r>
      <w:hyperlink r:id="rId25">
        <w:r>
          <w:rPr>
            <w:rStyle w:val="Hyperlink"/>
          </w:rPr>
          <w:t xml:space="preserve">[12]</w:t>
        </w:r>
      </w:hyperlink>
      <w:r>
        <w:t xml:space="preserve">’s account of “progressive neoliberalism”: an alliance between mainstream currents of “new social movements” (recognition‑oriented progressivism) and high‑end symbolic/financial sectors (e.g., Wall Street, Silicon Valley, Hollywood), combining a recognition politics with a neoliberal distributive program.</w:t>
      </w:r>
      <w:r>
        <w:t xml:space="preserve"> </w:t>
      </w:r>
      <w:hyperlink r:id="rId27">
        <w:r>
          <w:rPr>
            <w:rStyle w:val="Hyperlink"/>
          </w:rPr>
          <w:t xml:space="preserve">[13]</w:t>
        </w:r>
      </w:hyperlink>
      <w:r>
        <w:t xml:space="preserve"> </w:t>
      </w:r>
      <w:r>
        <w:t xml:space="preserve">This provides a plausible structural “host” for rebel identities: institutions can endorse symbolic inclusion and recognition narratives while preserving core capitalist distributions and managerial prerogatives.</w:t>
      </w:r>
      <w:r>
        <w:t xml:space="preserve"> </w:t>
      </w:r>
      <w:hyperlink r:id="rId27">
        <w:r>
          <w:rPr>
            <w:rStyle w:val="Hyperlink"/>
          </w:rPr>
          <w:t xml:space="preserve">[14]</w:t>
        </w:r>
      </w:hyperlink>
    </w:p>
    <w:p>
      <w:pPr>
        <w:pStyle w:val="BodyText"/>
      </w:pPr>
      <w:r>
        <w:t xml:space="preserve">The report defines</w:t>
      </w:r>
      <w:r>
        <w:t xml:space="preserve"> </w:t>
      </w:r>
      <w:r>
        <w:rPr>
          <w:b/>
          <w:bCs/>
        </w:rPr>
        <w:t xml:space="preserve">symbolic rebellion</w:t>
      </w:r>
      <w:r>
        <w:t xml:space="preserve"> </w:t>
      </w:r>
      <w:r>
        <w:t xml:space="preserve">as oppositional signaling primarily expressed through speech, icons, reputational battles, internal process reforms, and “values management,” whose success is measured mainly in visibility, moral status, or procedural compliance—rather than durable shifts in ownership, wages, budgets, or coercive authority. This is not “fake” by definition; it becomes paradoxical when symbolic forms</w:t>
      </w:r>
      <w:r>
        <w:t xml:space="preserve"> </w:t>
      </w:r>
      <w:r>
        <w:rPr>
          <w:i/>
          <w:iCs/>
        </w:rPr>
        <w:t xml:space="preserve">substitute for</w:t>
      </w:r>
      <w:r>
        <w:t xml:space="preserve"> </w:t>
      </w:r>
      <w:r>
        <w:t xml:space="preserve">material confrontation while sustaining a revolutionary self-concept.</w:t>
      </w:r>
      <w:r>
        <w:t xml:space="preserve"> </w:t>
      </w:r>
      <w:hyperlink r:id="rId23">
        <w:r>
          <w:rPr>
            <w:rStyle w:val="Hyperlink"/>
          </w:rPr>
          <w:t xml:space="preserve">[15]</w:t>
        </w:r>
      </w:hyperlink>
    </w:p>
    <w:bookmarkEnd w:id="28"/>
    <w:bookmarkStart w:id="34" w:name="mechanisms-that-sustain-the-paradox"/>
    <w:p>
      <w:pPr>
        <w:pStyle w:val="Heading2"/>
      </w:pPr>
      <w:r>
        <w:t xml:space="preserve">Mechanisms that sustain the paradox</w:t>
      </w:r>
    </w:p>
    <w:p>
      <w:pPr>
        <w:pStyle w:val="FirstParagraph"/>
      </w:pPr>
      <w:r>
        <w:t xml:space="preserve">The rebel‑PMC paradox stabilizes when three layers align: institutional incentives, organizational action filters, and social‑psychological identity maintenance.</w:t>
      </w:r>
    </w:p>
    <w:p>
      <w:pPr>
        <w:pStyle w:val="BodyText"/>
      </w:pPr>
      <w:r>
        <w:t xml:space="preserve">At the institutional layer, PMC‑dense environments tend to reward actions that improve legitimacy, manage risk, and signal moral modernity to peers and external audiences. These rewards can be concrete (jobs, promotions, grants, media reach) or reputational (status within networks that control hiring and publication). Such environments can therefore absorb and reframe dissent as “continuous improvement” rather than antagonistic struggle.</w:t>
      </w:r>
      <w:r>
        <w:t xml:space="preserve"> </w:t>
      </w:r>
      <w:hyperlink r:id="rId23">
        <w:r>
          <w:rPr>
            <w:rStyle w:val="Hyperlink"/>
          </w:rPr>
          <w:t xml:space="preserve">[16]</w:t>
        </w:r>
      </w:hyperlink>
    </w:p>
    <w:p>
      <w:pPr>
        <w:pStyle w:val="BodyText"/>
      </w:pPr>
      <w:r>
        <w:t xml:space="preserve">At the organizational layer, movements and institutions converge on legible metrics. A recurring pattern is that “success” is operationalized as</w:t>
      </w:r>
      <w:r>
        <w:t xml:space="preserve"> </w:t>
      </w:r>
      <w:r>
        <w:rPr>
          <w:i/>
          <w:iCs/>
        </w:rPr>
        <w:t xml:space="preserve">attendance, trainings completed, statements issued, pages visited, or process checks added</w:t>
      </w:r>
      <w:r>
        <w:t xml:space="preserve">—outputs with low disruption costs and high auditability. (This matters later in the University of Michigan DEI 2.0 case, where unit plans explicitly track metrics like attendance and website traffic.)</w:t>
      </w:r>
      <w:r>
        <w:t xml:space="preserve"> </w:t>
      </w:r>
      <w:hyperlink r:id="rId29">
        <w:r>
          <w:rPr>
            <w:rStyle w:val="Hyperlink"/>
          </w:rPr>
          <w:t xml:space="preserve">[17]</w:t>
        </w:r>
      </w:hyperlink>
      <w:r>
        <w:t xml:space="preserve"> </w:t>
      </w:r>
      <w:r>
        <w:t xml:space="preserve">Once compliance‑style metrics dominate, symbolic activity can crowd out harder-to-measure structural change.</w:t>
      </w:r>
      <w:r>
        <w:t xml:space="preserve"> </w:t>
      </w:r>
      <w:hyperlink r:id="rId23">
        <w:r>
          <w:rPr>
            <w:rStyle w:val="Hyperlink"/>
          </w:rPr>
          <w:t xml:space="preserve">[18]</w:t>
        </w:r>
      </w:hyperlink>
    </w:p>
    <w:p>
      <w:pPr>
        <w:pStyle w:val="BodyText"/>
      </w:pPr>
      <w:r>
        <w:t xml:space="preserve">At the social-psychological layer, several well-supported mechanisms help explain “echo chamber” stability and the persistence of protagonist self-narratives:</w:t>
      </w:r>
    </w:p>
    <w:p>
      <w:pPr>
        <w:pStyle w:val="Compact"/>
        <w:numPr>
          <w:ilvl w:val="0"/>
          <w:numId w:val="1001"/>
        </w:numPr>
      </w:pPr>
      <w:r>
        <w:t xml:space="preserve">Identity‑protective cognition: people process contested information in ways that protect standing within valued groups; the goal is often maintaining identity and belonging rather than accuracy.</w:t>
      </w:r>
      <w:r>
        <w:t xml:space="preserve"> </w:t>
      </w:r>
      <w:hyperlink r:id="rId30">
        <w:r>
          <w:rPr>
            <w:rStyle w:val="Hyperlink"/>
          </w:rPr>
          <w:t xml:space="preserve">[19]</w:t>
        </w:r>
      </w:hyperlink>
    </w:p>
    <w:p>
      <w:pPr>
        <w:pStyle w:val="Compact"/>
        <w:numPr>
          <w:ilvl w:val="0"/>
          <w:numId w:val="1001"/>
        </w:numPr>
      </w:pPr>
      <w:r>
        <w:t xml:space="preserve">Group polarization: like‑minded groups tend to become more extreme in the direction of their initial inclinations, especially when social rewards accrue to stronger signals of commitment.</w:t>
      </w:r>
      <w:r>
        <w:t xml:space="preserve"> </w:t>
      </w:r>
      <w:hyperlink r:id="rId31">
        <w:r>
          <w:rPr>
            <w:rStyle w:val="Hyperlink"/>
          </w:rPr>
          <w:t xml:space="preserve">[20]</w:t>
        </w:r>
      </w:hyperlink>
    </w:p>
    <w:p>
      <w:pPr>
        <w:pStyle w:val="Compact"/>
        <w:numPr>
          <w:ilvl w:val="0"/>
          <w:numId w:val="1001"/>
        </w:numPr>
      </w:pPr>
      <w:r>
        <w:t xml:space="preserve">Spiral of silence and preference falsification: individuals may self‑censor unpopular doubts to avoid isolation; over time, visible consensus can become self‑reinforcing and misrepresent true private beliefs, stabilizing “no dissent” climates.</w:t>
      </w:r>
      <w:r>
        <w:t xml:space="preserve"> </w:t>
      </w:r>
      <w:hyperlink r:id="rId32">
        <w:r>
          <w:rPr>
            <w:rStyle w:val="Hyperlink"/>
          </w:rPr>
          <w:t xml:space="preserve">[21]</w:t>
        </w:r>
      </w:hyperlink>
    </w:p>
    <w:p>
      <w:pPr>
        <w:pStyle w:val="Compact"/>
        <w:numPr>
          <w:ilvl w:val="0"/>
          <w:numId w:val="1001"/>
        </w:numPr>
      </w:pPr>
      <w:r>
        <w:t xml:space="preserve">Moral grandstanding/virtue signaling as status competition: moral talk can function as status seeking; empirical work operationalizes “virtue signaling” as a recognizable signaling motive in political/moral domains.</w:t>
      </w:r>
      <w:r>
        <w:t xml:space="preserve"> </w:t>
      </w:r>
      <w:hyperlink r:id="rId33">
        <w:r>
          <w:rPr>
            <w:rStyle w:val="Hyperlink"/>
          </w:rPr>
          <w:t xml:space="preserve">[22]</w:t>
        </w:r>
      </w:hyperlink>
    </w:p>
    <w:p>
      <w:pPr>
        <w:pStyle w:val="FirstParagraph"/>
      </w:pPr>
      <w:r>
        <w:t xml:space="preserve">These mechanisms do not imply insincerity. They imply that, in certain institutional contexts,</w:t>
      </w:r>
      <w:r>
        <w:t xml:space="preserve"> </w:t>
      </w:r>
      <w:r>
        <w:rPr>
          <w:i/>
          <w:iCs/>
        </w:rPr>
        <w:t xml:space="preserve">the easiest path to moral status is symbolic intensification</w:t>
      </w:r>
      <w:r>
        <w:t xml:space="preserve">, and the easiest path to cognitive comfort is to treat institutional alignment as “the revolution” rather than as complicity.</w:t>
      </w:r>
      <w:r>
        <w:t xml:space="preserve"> </w:t>
      </w:r>
      <w:hyperlink r:id="rId31">
        <w:r>
          <w:rPr>
            <w:rStyle w:val="Hyperlink"/>
          </w:rPr>
          <w:t xml:space="preserve">[23]</w:t>
        </w:r>
      </w:hyperlink>
    </w:p>
    <w:p>
      <w:pPr>
        <w:pStyle w:val="BodyText"/>
      </w:pPr>
      <w:r>
        <w:t xml:space="preserve">A concise mechanistic loop (the report’s core causal hypothesis) is:</w:t>
      </w:r>
    </w:p>
    <w:p>
      <w:pPr>
        <w:pStyle w:val="SourceCode"/>
      </w:pPr>
      <w:r>
        <w:rPr>
          <w:rStyle w:val="VerbatimChar"/>
        </w:rPr>
        <w:t xml:space="preserve">flowchart TD</w:t>
      </w:r>
      <w:r>
        <w:br/>
      </w:r>
      <w:r>
        <w:rPr>
          <w:rStyle w:val="VerbatimChar"/>
        </w:rPr>
        <w:t xml:space="preserve">    A[Credentialed institutional position] --&gt; B[Access to platforms, budgets, HR/legal processes]</w:t>
      </w:r>
      <w:r>
        <w:br/>
      </w:r>
      <w:r>
        <w:rPr>
          <w:rStyle w:val="VerbatimChar"/>
        </w:rPr>
        <w:t xml:space="preserve">    B --&gt; C[Symbolic dissent that is legible &amp; low disruption]</w:t>
      </w:r>
      <w:r>
        <w:br/>
      </w:r>
      <w:r>
        <w:rPr>
          <w:rStyle w:val="VerbatimChar"/>
        </w:rPr>
        <w:t xml:space="preserve">    C --&gt; D[Status rewards: visibility, moral credit, network trust]</w:t>
      </w:r>
      <w:r>
        <w:br/>
      </w:r>
      <w:r>
        <w:rPr>
          <w:rStyle w:val="VerbatimChar"/>
        </w:rPr>
        <w:t xml:space="preserve">    D --&gt; E[Career security and deeper embeddedness]</w:t>
      </w:r>
      <w:r>
        <w:br/>
      </w:r>
      <w:r>
        <w:rPr>
          <w:rStyle w:val="VerbatimChar"/>
        </w:rPr>
        <w:t xml:space="preserve">    E --&gt; B</w:t>
      </w:r>
      <w:r>
        <w:br/>
      </w:r>
      <w:r>
        <w:rPr>
          <w:rStyle w:val="VerbatimChar"/>
        </w:rPr>
        <w:t xml:space="preserve">    C --&gt; F[Boundary policing: language norms, reputational sanctions]</w:t>
      </w:r>
      <w:r>
        <w:br/>
      </w:r>
      <w:r>
        <w:rPr>
          <w:rStyle w:val="VerbatimChar"/>
        </w:rPr>
        <w:t xml:space="preserve">    F --&gt; C</w:t>
      </w:r>
      <w:r>
        <w:br/>
      </w:r>
      <w:r>
        <w:rPr>
          <w:rStyle w:val="VerbatimChar"/>
        </w:rPr>
        <w:t xml:space="preserve">    C --&gt; G[Reduced pressure for material leverage: strikes, budget fights, ownership challenges]</w:t>
      </w:r>
      <w:r>
        <w:br/>
      </w:r>
      <w:r>
        <w:rPr>
          <w:rStyle w:val="VerbatimChar"/>
        </w:rPr>
        <w:t xml:space="preserve">    G --&gt; E</w:t>
      </w:r>
    </w:p>
    <w:p>
      <w:pPr>
        <w:pStyle w:val="FirstParagraph"/>
      </w:pPr>
      <w:r>
        <w:t xml:space="preserve">This loop is consistent with (i) resource mobilization’s focus on costs/rewards and organizational mediation, and (ii) “progressive neoliberal” institutional coalitions that can incorporate recognition politics while maintaining distributive regimes.</w:t>
      </w:r>
      <w:r>
        <w:t xml:space="preserve"> </w:t>
      </w:r>
      <w:hyperlink r:id="rId23">
        <w:r>
          <w:rPr>
            <w:rStyle w:val="Hyperlink"/>
          </w:rPr>
          <w:t xml:space="preserve">[24]</w:t>
        </w:r>
      </w:hyperlink>
    </w:p>
    <w:bookmarkEnd w:id="34"/>
    <w:bookmarkStart w:id="37" w:name="diagnostics-and-falsifiable-indicators"/>
    <w:p>
      <w:pPr>
        <w:pStyle w:val="Heading2"/>
      </w:pPr>
      <w:r>
        <w:t xml:space="preserve">Diagnostics and falsifiable indicators</w:t>
      </w:r>
    </w:p>
    <w:p>
      <w:pPr>
        <w:pStyle w:val="FirstParagraph"/>
      </w:pPr>
      <w:r>
        <w:t xml:space="preserve">To “test” the rebel‑PMC paradox rather than merely illustrate it, the report uses four diagnostics designed to detect whether symbolic rebellion is functioning as</w:t>
      </w:r>
      <w:r>
        <w:t xml:space="preserve"> </w:t>
      </w:r>
      <w:r>
        <w:rPr>
          <w:i/>
          <w:iCs/>
        </w:rPr>
        <w:t xml:space="preserve">substitution</w:t>
      </w:r>
      <w:r>
        <w:t xml:space="preserve"> </w:t>
      </w:r>
      <w:r>
        <w:t xml:space="preserve">for material opposition.</w:t>
      </w:r>
    </w:p>
    <w:p>
      <w:pPr>
        <w:pStyle w:val="BodyText"/>
      </w:pPr>
      <w:r>
        <w:rPr>
          <w:b/>
          <w:bCs/>
        </w:rPr>
        <w:t xml:space="preserve">Cost test.</w:t>
      </w:r>
      <w:r>
        <w:t xml:space="preserve"> </w:t>
      </w:r>
      <w:r>
        <w:t xml:space="preserve">High rebel self‑image paired with low cost is a warning sign. Costs include: income risk, credential risk, legal risk, sustained disruption, or durable loss of access. If participation is largely costless (or professionally advantageous), the paradox is more likely.</w:t>
      </w:r>
      <w:r>
        <w:t xml:space="preserve"> </w:t>
      </w:r>
      <w:hyperlink r:id="rId23">
        <w:r>
          <w:rPr>
            <w:rStyle w:val="Hyperlink"/>
          </w:rPr>
          <w:t xml:space="preserve">[25]</w:t>
        </w:r>
      </w:hyperlink>
    </w:p>
    <w:p>
      <w:pPr>
        <w:pStyle w:val="BodyText"/>
      </w:pPr>
      <w:r>
        <w:rPr>
          <w:b/>
          <w:bCs/>
        </w:rPr>
        <w:t xml:space="preserve">Power‑locus test.</w:t>
      </w:r>
      <w:r>
        <w:t xml:space="preserve"> </w:t>
      </w:r>
      <w:r>
        <w:t xml:space="preserve">Where does activism point? Toward the loci of material power (ownership, capital allocation, labor discipline, state coercion) or toward symbolic proxies (names, language, reputations, representation optics) that can be conceded without redistributing power? Passing the power‑locus test means regularly confronting the former.</w:t>
      </w:r>
      <w:r>
        <w:t xml:space="preserve"> </w:t>
      </w:r>
      <w:hyperlink r:id="rId27">
        <w:r>
          <w:rPr>
            <w:rStyle w:val="Hyperlink"/>
          </w:rPr>
          <w:t xml:space="preserve">[26]</w:t>
        </w:r>
      </w:hyperlink>
    </w:p>
    <w:p>
      <w:pPr>
        <w:pStyle w:val="BodyText"/>
      </w:pPr>
      <w:r>
        <w:rPr>
          <w:b/>
          <w:bCs/>
        </w:rPr>
        <w:t xml:space="preserve">Substitution test.</w:t>
      </w:r>
      <w:r>
        <w:t xml:space="preserve"> </w:t>
      </w:r>
      <w:r>
        <w:t xml:space="preserve">Do symbolic wins correlate with abandonment/demotion of material campaigns (wage bargaining, union rights, budget fights, structural regulation)? Or do they complement them? Substitution requires evidence that symbolic outputs become the primary delivered “success,” with material outcomes unspecified or minimal.</w:t>
      </w:r>
      <w:r>
        <w:t xml:space="preserve"> </w:t>
      </w:r>
      <w:hyperlink r:id="rId35">
        <w:r>
          <w:rPr>
            <w:rStyle w:val="Hyperlink"/>
          </w:rPr>
          <w:t xml:space="preserve">[27]</w:t>
        </w:r>
      </w:hyperlink>
    </w:p>
    <w:p>
      <w:pPr>
        <w:pStyle w:val="BodyText"/>
      </w:pPr>
      <w:r>
        <w:rPr>
          <w:b/>
          <w:bCs/>
        </w:rPr>
        <w:t xml:space="preserve">Institutional comfort test.</w:t>
      </w:r>
      <w:r>
        <w:t xml:space="preserve"> </w:t>
      </w:r>
      <w:r>
        <w:t xml:space="preserve">Do outcomes increase institutional comfort (more roles, committees, trainings, comms, consultancies) while limiting adversarial leverage? Conversely, does activism generate persistent institutional discomfort (e.g., binding contracts, enforceable rights, budget reallocations, constraints on executive discretion)?</w:t>
      </w:r>
      <w:r>
        <w:t xml:space="preserve"> </w:t>
      </w:r>
      <w:hyperlink r:id="rId23">
        <w:r>
          <w:rPr>
            <w:rStyle w:val="Hyperlink"/>
          </w:rPr>
          <w:t xml:space="preserve">[28]</w:t>
        </w:r>
      </w:hyperlink>
    </w:p>
    <w:bookmarkStart w:id="36" w:name="disconfirming-indicators"/>
    <w:p>
      <w:pPr>
        <w:pStyle w:val="Heading3"/>
      </w:pPr>
      <w:r>
        <w:t xml:space="preserve">Disconfirming indicators</w:t>
      </w:r>
    </w:p>
    <w:p>
      <w:pPr>
        <w:pStyle w:val="FirstParagraph"/>
      </w:pPr>
      <w:r>
        <w:t xml:space="preserve">Evidence would</w:t>
      </w:r>
      <w:r>
        <w:t xml:space="preserve"> </w:t>
      </w:r>
      <w:r>
        <w:rPr>
          <w:i/>
          <w:iCs/>
        </w:rPr>
        <w:t xml:space="preserve">disconfirm</w:t>
      </w:r>
      <w:r>
        <w:t xml:space="preserve"> </w:t>
      </w:r>
      <w:r>
        <w:t xml:space="preserve">(or sharply limit) the rebel‑PMC paradox in a given setting if repeated observation shows: (a) consistent willingness to bear high costs; (b) targeting of core power loci; (c) durable material outcomes (wages, budgets, ownership constraints, legal rights) that exceed symbolic concessions; and (d) refusal of institutional absorption (e.g., activists do not mainly convert into managers, consultants, or compliance staff).</w:t>
      </w:r>
      <w:r>
        <w:t xml:space="preserve"> </w:t>
      </w:r>
      <w:hyperlink r:id="rId23">
        <w:r>
          <w:rPr>
            <w:rStyle w:val="Hyperlink"/>
          </w:rPr>
          <w:t xml:space="preserve">[29]</w:t>
        </w:r>
      </w:hyperlink>
    </w:p>
    <w:bookmarkEnd w:id="36"/>
    <w:bookmarkEnd w:id="37"/>
    <w:bookmarkStart w:id="68" w:name="case-studies"/>
    <w:p>
      <w:pPr>
        <w:pStyle w:val="Heading2"/>
      </w:pPr>
      <w:r>
        <w:t xml:space="preserve">Case studies</w:t>
      </w:r>
    </w:p>
    <w:bookmarkStart w:id="44" w:name="X11ae3c4bbf323c21e5b467d0e658ef3c1b78f03"/>
    <w:p>
      <w:pPr>
        <w:pStyle w:val="Heading3"/>
      </w:pPr>
      <w:r>
        <w:t xml:space="preserve">Metropolitan Museum of Art</w:t>
      </w:r>
      <w:hyperlink r:id="rId38">
        <w:r>
          <w:rPr>
            <w:rStyle w:val="Hyperlink"/>
          </w:rPr>
          <w:t xml:space="preserve">[30]</w:t>
        </w:r>
      </w:hyperlink>
      <w:r>
        <w:t xml:space="preserve"> </w:t>
      </w:r>
      <w:r>
        <w:t xml:space="preserve">and punk as institutional commodity</w:t>
      </w:r>
    </w:p>
    <w:p>
      <w:pPr>
        <w:pStyle w:val="FirstParagraph"/>
      </w:pPr>
      <w:r>
        <w:rPr>
          <w:b/>
          <w:bCs/>
        </w:rPr>
        <w:t xml:space="preserve">Background.</w:t>
      </w:r>
      <w:r>
        <w:t xml:space="preserve"> </w:t>
      </w:r>
      <w:r>
        <w:t xml:space="preserve">A useful cultural “laboratory” for the paradox is the institutionalization of punk aesthetics. In 2013, the museum mounted</w:t>
      </w:r>
      <w:r>
        <w:t xml:space="preserve"> </w:t>
      </w:r>
      <w:r>
        <w:rPr>
          <w:i/>
          <w:iCs/>
        </w:rPr>
        <w:t xml:space="preserve">PUNK: Chaos to Couture</w:t>
      </w:r>
      <w:r>
        <w:t xml:space="preserve"> </w:t>
      </w:r>
      <w:r>
        <w:t xml:space="preserve">as a major fashion exhibition, explicitly framed as examining punk’s impact on high fashion and supported by major fashion/media sponsors.</w:t>
      </w:r>
      <w:r>
        <w:t xml:space="preserve"> </w:t>
      </w:r>
      <w:hyperlink r:id="rId39">
        <w:r>
          <w:rPr>
            <w:rStyle w:val="Hyperlink"/>
          </w:rPr>
          <w:t xml:space="preserve">[31]</w:t>
        </w:r>
      </w:hyperlink>
    </w:p>
    <w:p>
      <w:pPr>
        <w:pStyle w:val="BodyText"/>
      </w:pPr>
      <w:r>
        <w:rPr>
          <w:b/>
          <w:bCs/>
        </w:rPr>
        <w:t xml:space="preserve">Actors and institutional positions.</w:t>
      </w:r>
      <w:r>
        <w:t xml:space="preserve"> </w:t>
      </w:r>
      <w:r>
        <w:t xml:space="preserve">The relevant actors are not “punks” as individuals but the institutional field: the museum as an elite cultural gatekeeper; sponsors such as Moda Operandi</w:t>
      </w:r>
      <w:hyperlink r:id="rId40">
        <w:r>
          <w:rPr>
            <w:rStyle w:val="Hyperlink"/>
          </w:rPr>
          <w:t xml:space="preserve">[32]</w:t>
        </w:r>
      </w:hyperlink>
      <w:r>
        <w:t xml:space="preserve"> </w:t>
      </w:r>
      <w:r>
        <w:t xml:space="preserve">and Condé Nast</w:t>
      </w:r>
      <w:hyperlink r:id="rId23">
        <w:r>
          <w:rPr>
            <w:rStyle w:val="Hyperlink"/>
          </w:rPr>
          <w:t xml:space="preserve">[33]</w:t>
        </w:r>
      </w:hyperlink>
      <w:r>
        <w:t xml:space="preserve"> </w:t>
      </w:r>
      <w:r>
        <w:t xml:space="preserve">(noted in official materials and scholarly commentary); and the fashion press ecosystem that amplifies the event.</w:t>
      </w:r>
      <w:r>
        <w:t xml:space="preserve"> </w:t>
      </w:r>
      <w:hyperlink r:id="rId39">
        <w:r>
          <w:rPr>
            <w:rStyle w:val="Hyperlink"/>
          </w:rPr>
          <w:t xml:space="preserve">[34]</w:t>
        </w:r>
      </w:hyperlink>
    </w:p>
    <w:p>
      <w:pPr>
        <w:pStyle w:val="BodyText"/>
      </w:pPr>
      <w:r>
        <w:rPr>
          <w:b/>
          <w:bCs/>
        </w:rPr>
        <w:t xml:space="preserve">Incentives and constraints.</w:t>
      </w:r>
      <w:r>
        <w:t xml:space="preserve"> </w:t>
      </w:r>
      <w:r>
        <w:t xml:space="preserve">Punk’s “rebellion” becomes legible as (i) a market for goods, and (ii) a prestige resource for elite institutions. This aligns with classic subculture theory: Subculture: The Meaning of Style</w:t>
      </w:r>
      <w:hyperlink r:id="rId23">
        <w:r>
          <w:rPr>
            <w:rStyle w:val="Hyperlink"/>
          </w:rPr>
          <w:t xml:space="preserve">[35]</w:t>
        </w:r>
      </w:hyperlink>
      <w:r>
        <w:t xml:space="preserve"> </w:t>
      </w:r>
      <w:r>
        <w:t xml:space="preserve">describes “incorporation/recuperation” processes whereby subcultural signs are converted into commodities and/or reinterpreted ideologically in ways that neutralize threat.</w:t>
      </w:r>
      <w:r>
        <w:t xml:space="preserve"> </w:t>
      </w:r>
      <w:hyperlink r:id="rId41">
        <w:r>
          <w:rPr>
            <w:rStyle w:val="Hyperlink"/>
          </w:rPr>
          <w:t xml:space="preserve">[36]</w:t>
        </w:r>
      </w:hyperlink>
    </w:p>
    <w:p>
      <w:pPr>
        <w:pStyle w:val="BodyText"/>
      </w:pPr>
      <w:r>
        <w:rPr>
          <w:b/>
          <w:bCs/>
        </w:rPr>
        <w:t xml:space="preserve">Tactics.</w:t>
      </w:r>
      <w:r>
        <w:t xml:space="preserve"> </w:t>
      </w:r>
      <w:r>
        <w:t xml:space="preserve">The primary tactic is</w:t>
      </w:r>
      <w:r>
        <w:t xml:space="preserve"> </w:t>
      </w:r>
      <w:r>
        <w:rPr>
          <w:i/>
          <w:iCs/>
        </w:rPr>
        <w:t xml:space="preserve">aesthetic appropriation + institutional framing</w:t>
      </w:r>
      <w:r>
        <w:t xml:space="preserve">: the exhibition and its gala translate punk into curated “impact on fashion,” with sponsorship and celebrity mediation. A scholarly analysis of the exhibition notes the institutionalization and sponsor context and explicitly observes the non‑punk character of the gala/sponsorship environment, while using the case to discuss how punk is remembered and framed.</w:t>
      </w:r>
      <w:r>
        <w:t xml:space="preserve"> </w:t>
      </w:r>
      <w:hyperlink r:id="rId42">
        <w:r>
          <w:rPr>
            <w:rStyle w:val="Hyperlink"/>
          </w:rPr>
          <w:t xml:space="preserve">[37]</w:t>
        </w:r>
      </w:hyperlink>
    </w:p>
    <w:p>
      <w:pPr>
        <w:pStyle w:val="BodyText"/>
      </w:pPr>
      <w:r>
        <w:rPr>
          <w:b/>
          <w:bCs/>
        </w:rPr>
        <w:t xml:space="preserve">Measurable outcomes.</w:t>
      </w:r>
      <w:r>
        <w:t xml:space="preserve"> </w:t>
      </w:r>
      <w:r>
        <w:t xml:space="preserve">Outcomes are overwhelmingly symbolic/material‑for‑institutions but not materially oppositional: museum attendance value, brand adjacency, commodified fashion lines, and reinforcement of punk as a style repertoire. The official press materials explicitly identify sponsorship and the exhibition’s institutional goals, which are consistent with reputational/cultural capital production rather than anti-capitalist disruption.</w:t>
      </w:r>
      <w:r>
        <w:t xml:space="preserve"> </w:t>
      </w:r>
      <w:hyperlink r:id="rId39">
        <w:r>
          <w:rPr>
            <w:rStyle w:val="Hyperlink"/>
          </w:rPr>
          <w:t xml:space="preserve">[38]</w:t>
        </w:r>
      </w:hyperlink>
    </w:p>
    <w:p>
      <w:pPr>
        <w:pStyle w:val="BodyText"/>
      </w:pPr>
      <w:r>
        <w:t xml:space="preserve">A parallel “afterlife of punk space” shows the same process spatially: CBGB</w:t>
      </w:r>
      <w:hyperlink r:id="rId23">
        <w:r>
          <w:rPr>
            <w:rStyle w:val="Hyperlink"/>
          </w:rPr>
          <w:t xml:space="preserve">[39]</w:t>
        </w:r>
      </w:hyperlink>
      <w:r>
        <w:t xml:space="preserve">—long iconic in punk histories—closed after a rent dispute, and its former space became an upscale menswear boutique associated with John Varvatos</w:t>
      </w:r>
      <w:hyperlink r:id="rId23">
        <w:r>
          <w:rPr>
            <w:rStyle w:val="Hyperlink"/>
          </w:rPr>
          <w:t xml:space="preserve">[40]</w:t>
        </w:r>
      </w:hyperlink>
      <w:r>
        <w:t xml:space="preserve">; coverage highlights the preserved flyers/graffiti juxtaposed with luxury pricing.</w:t>
      </w:r>
      <w:r>
        <w:t xml:space="preserve"> </w:t>
      </w:r>
      <w:hyperlink r:id="rId43">
        <w:r>
          <w:rPr>
            <w:rStyle w:val="Hyperlink"/>
          </w:rPr>
          <w:t xml:space="preserve">[41]</w:t>
        </w:r>
      </w:hyperlink>
    </w:p>
    <w:p>
      <w:pPr>
        <w:pStyle w:val="SourceCode"/>
      </w:pPr>
      <w:r>
        <w:rPr>
          <w:rStyle w:val="VerbatimChar"/>
        </w:rPr>
        <w:t xml:space="preserve">timeline</w:t>
      </w:r>
      <w:r>
        <w:br/>
      </w:r>
      <w:r>
        <w:rPr>
          <w:rStyle w:val="VerbatimChar"/>
        </w:rPr>
        <w:t xml:space="preserve">    title Punk institutionalization milestones</w:t>
      </w:r>
      <w:r>
        <w:br/>
      </w:r>
      <w:r>
        <w:rPr>
          <w:rStyle w:val="VerbatimChar"/>
        </w:rPr>
        <w:t xml:space="preserve">    1973 : CBGB opens in Manhattan's Bowery</w:t>
      </w:r>
      <w:r>
        <w:br/>
      </w:r>
      <w:r>
        <w:rPr>
          <w:rStyle w:val="VerbatimChar"/>
        </w:rPr>
        <w:t xml:space="preserve">    2006 : CBGB closes after rent dispute</w:t>
      </w:r>
      <w:r>
        <w:br/>
      </w:r>
      <w:r>
        <w:rPr>
          <w:rStyle w:val="VerbatimChar"/>
        </w:rPr>
        <w:t xml:space="preserve">    2008 : CBGB space becomes John Varvatos boutique</w:t>
      </w:r>
      <w:r>
        <w:br/>
      </w:r>
      <w:r>
        <w:rPr>
          <w:rStyle w:val="VerbatimChar"/>
        </w:rPr>
        <w:t xml:space="preserve">    2013 : Met mounts "PUNK: Chaos to Couture"</w:t>
      </w:r>
    </w:p>
    <w:p>
      <w:r>
        <w:pict>
          <v:rect style="width:0;height:1.5pt" o:hralign="center" o:hrstd="t" o:hr="t"/>
        </w:pict>
      </w:r>
    </w:p>
    <w:bookmarkEnd w:id="44"/>
    <w:bookmarkStart w:id="45" w:name="Xf819f679640cd0d6bad284a58e8aabc10512ca8"/>
    <w:p>
      <w:pPr>
        <w:pStyle w:val="Heading3"/>
      </w:pPr>
      <w:r>
        <w:t xml:space="preserve">Renaming politics at Yale University</w:t>
      </w:r>
      <w:hyperlink r:id="rId25">
        <w:r>
          <w:rPr>
            <w:rStyle w:val="Hyperlink"/>
          </w:rPr>
          <w:t xml:space="preserve">[42]</w:t>
        </w:r>
      </w:hyperlink>
      <w:r>
        <w:t xml:space="preserve">: Calhoun → Grace Murray Hopper</w:t>
      </w:r>
      <w:hyperlink r:id="rId27">
        <w:r>
          <w:rPr>
            <w:rStyle w:val="Hyperlink"/>
          </w:rPr>
          <w:t xml:space="preserve">[43]</w:t>
        </w:r>
      </w:hyperlink>
    </w:p>
    <w:p>
      <w:pPr>
        <w:pStyle w:val="FirstParagraph"/>
      </w:pPr>
      <w:r>
        <w:rPr>
          <w:b/>
          <w:bCs/>
        </w:rPr>
        <w:t xml:space="preserve">Background.</w:t>
      </w:r>
      <w:r>
        <w:t xml:space="preserve"> </w:t>
      </w:r>
      <w:r>
        <w:t xml:space="preserve">Yale’s decision to rename Calhoun College (previously honoring John C. Calhoun, a slavery defender) illustrates how campus conflict can be translated into institutionally managed symbolic reform. Yale’s official announcement describes a formal process: shifting from an initial stance against renaming to adopting renaming principles, convening committees, and ultimately selecting a new honoree.</w:t>
      </w:r>
      <w:r>
        <w:t xml:space="preserve"> </w:t>
      </w:r>
      <w:hyperlink r:id="rId25">
        <w:r>
          <w:rPr>
            <w:rStyle w:val="Hyperlink"/>
          </w:rPr>
          <w:t xml:space="preserve">[44]</w:t>
        </w:r>
      </w:hyperlink>
    </w:p>
    <w:p>
      <w:pPr>
        <w:pStyle w:val="BodyText"/>
      </w:pPr>
      <w:r>
        <w:rPr>
          <w:b/>
          <w:bCs/>
        </w:rPr>
        <w:t xml:space="preserve">Actors and institutional positions.</w:t>
      </w:r>
      <w:r>
        <w:t xml:space="preserve"> </w:t>
      </w:r>
      <w:r>
        <w:t xml:space="preserve">Key actors are the university’s executive leadership, including Peter Salovey</w:t>
      </w:r>
      <w:hyperlink r:id="rId42">
        <w:r>
          <w:rPr>
            <w:rStyle w:val="Hyperlink"/>
          </w:rPr>
          <w:t xml:space="preserve">[45]</w:t>
        </w:r>
      </w:hyperlink>
      <w:r>
        <w:t xml:space="preserve">, and internal committees/advisers appointed to establish principles and apply them. The action occurs inside an elite credentialing institution—one whose legitimacy depends partly on moral authority and public reputation.</w:t>
      </w:r>
      <w:r>
        <w:t xml:space="preserve"> </w:t>
      </w:r>
      <w:hyperlink r:id="rId25">
        <w:r>
          <w:rPr>
            <w:rStyle w:val="Hyperlink"/>
          </w:rPr>
          <w:t xml:space="preserve">[44]</w:t>
        </w:r>
      </w:hyperlink>
    </w:p>
    <w:p>
      <w:pPr>
        <w:pStyle w:val="BodyText"/>
      </w:pPr>
      <w:r>
        <w:rPr>
          <w:b/>
          <w:bCs/>
        </w:rPr>
        <w:t xml:space="preserve">Incentives and constraints.</w:t>
      </w:r>
      <w:r>
        <w:t xml:space="preserve"> </w:t>
      </w:r>
      <w:r>
        <w:t xml:space="preserve">The institution faces competing incentives: (i) addressing student/community demands and external reputational pressures; (ii) maintaining continuity, donor/alumni relations, and procedural legitimacy. The official statement explicitly frames renaming as exceptional and governed by principles designed to avoid a cascade of changes—an example of institutional “scope control.”</w:t>
      </w:r>
      <w:r>
        <w:t xml:space="preserve"> </w:t>
      </w:r>
      <w:hyperlink r:id="rId25">
        <w:r>
          <w:rPr>
            <w:rStyle w:val="Hyperlink"/>
          </w:rPr>
          <w:t xml:space="preserve">[44]</w:t>
        </w:r>
      </w:hyperlink>
    </w:p>
    <w:p>
      <w:pPr>
        <w:pStyle w:val="BodyText"/>
      </w:pPr>
      <w:r>
        <w:rPr>
          <w:b/>
          <w:bCs/>
        </w:rPr>
        <w:t xml:space="preserve">Tactics.</w:t>
      </w:r>
      <w:r>
        <w:t xml:space="preserve"> </w:t>
      </w:r>
      <w:r>
        <w:t xml:space="preserve">The tactical repertoire is administrative: principle‑setting, committee reports, “thoughtful review,” and the symbolism of commemoration. This is a characteristic PMC‑compatible mode: conflict is processed as governance rather than as adversarial struggle over distributions.</w:t>
      </w:r>
      <w:r>
        <w:t xml:space="preserve"> </w:t>
      </w:r>
      <w:hyperlink r:id="rId25">
        <w:r>
          <w:rPr>
            <w:rStyle w:val="Hyperlink"/>
          </w:rPr>
          <w:t xml:space="preserve">[46]</w:t>
        </w:r>
      </w:hyperlink>
    </w:p>
    <w:p>
      <w:pPr>
        <w:pStyle w:val="BodyText"/>
      </w:pPr>
      <w:r>
        <w:rPr>
          <w:b/>
          <w:bCs/>
        </w:rPr>
        <w:t xml:space="preserve">Measurable outcomes.</w:t>
      </w:r>
      <w:r>
        <w:t xml:space="preserve"> </w:t>
      </w:r>
      <w:r>
        <w:t xml:space="preserve">The primary outcome is symbolic but real: Calhoun College is renamed for Grace Hopper, and the institution narrates the change as value‑alignment while also emphasizing not “erasing” history but managing commemoration. No direct distributive change (tuition, wages, endowment policy) is specified in the renaming announcement itself. Where such material reforms occur, they are analytically separable and would need independent evidence; here, the focal instrument is commemoration.</w:t>
      </w:r>
      <w:r>
        <w:t xml:space="preserve"> </w:t>
      </w:r>
      <w:hyperlink r:id="rId25">
        <w:r>
          <w:rPr>
            <w:rStyle w:val="Hyperlink"/>
          </w:rPr>
          <w:t xml:space="preserve">[44]</w:t>
        </w:r>
      </w:hyperlink>
    </w:p>
    <w:p>
      <w:pPr>
        <w:pStyle w:val="SourceCode"/>
      </w:pPr>
      <w:r>
        <w:rPr>
          <w:rStyle w:val="VerbatimChar"/>
        </w:rPr>
        <w:t xml:space="preserve">timeline</w:t>
      </w:r>
      <w:r>
        <w:br/>
      </w:r>
      <w:r>
        <w:rPr>
          <w:rStyle w:val="VerbatimChar"/>
        </w:rPr>
        <w:t xml:space="preserve">    title Yale renaming process (high-level)</w:t>
      </w:r>
      <w:r>
        <w:br/>
      </w:r>
      <w:r>
        <w:rPr>
          <w:rStyle w:val="VerbatimChar"/>
        </w:rPr>
        <w:t xml:space="preserve">    2016 : Yale president announces initial decision to keep Calhoun name (later overridden)</w:t>
      </w:r>
      <w:r>
        <w:br/>
      </w:r>
      <w:r>
        <w:rPr>
          <w:rStyle w:val="VerbatimChar"/>
        </w:rPr>
        <w:t xml:space="preserve">    2016-2017 : Committee develops principles on renaming; advisers apply them</w:t>
      </w:r>
      <w:r>
        <w:br/>
      </w:r>
      <w:r>
        <w:rPr>
          <w:rStyle w:val="VerbatimChar"/>
        </w:rPr>
        <w:t xml:space="preserve">    2017 : Yale announces Calhoun College renamed for Grace Murray Hopper</w:t>
      </w:r>
    </w:p>
    <w:p>
      <w:r>
        <w:pict>
          <v:rect style="width:0;height:1.5pt" o:hralign="center" o:hrstd="t" o:hr="t"/>
        </w:pict>
      </w:r>
    </w:p>
    <w:bookmarkEnd w:id="45"/>
    <w:bookmarkStart w:id="48" w:name="X1ecc32c79898dd675892d54f66dc54df4395b96"/>
    <w:p>
      <w:pPr>
        <w:pStyle w:val="Heading3"/>
      </w:pPr>
      <w:r>
        <w:t xml:space="preserve">University of Michigan</w:t>
      </w:r>
      <w:hyperlink r:id="rId38">
        <w:r>
          <w:rPr>
            <w:rStyle w:val="Hyperlink"/>
          </w:rPr>
          <w:t xml:space="preserve">[47]</w:t>
        </w:r>
      </w:hyperlink>
      <w:r>
        <w:t xml:space="preserve"> </w:t>
      </w:r>
      <w:r>
        <w:t xml:space="preserve">DEI 2.0: bureaucratic legibility, metrics, and rollback</w:t>
      </w:r>
    </w:p>
    <w:p>
      <w:pPr>
        <w:pStyle w:val="FirstParagraph"/>
      </w:pPr>
      <w:r>
        <w:rPr>
          <w:b/>
          <w:bCs/>
        </w:rPr>
        <w:t xml:space="preserve">Background.</w:t>
      </w:r>
      <w:r>
        <w:t xml:space="preserve"> </w:t>
      </w:r>
      <w:r>
        <w:t xml:space="preserve">This case is included to test whether “institutional comfort” dynamics appear when progressive agendas are embedded in administrative planning. The university published DEI 2.0 strategic plan materials that frame DEI as integral to mission and specify goals, rationales, and unit‑level metrics.</w:t>
      </w:r>
      <w:r>
        <w:t xml:space="preserve"> </w:t>
      </w:r>
      <w:hyperlink r:id="rId29">
        <w:r>
          <w:rPr>
            <w:rStyle w:val="Hyperlink"/>
          </w:rPr>
          <w:t xml:space="preserve">[17]</w:t>
        </w:r>
      </w:hyperlink>
    </w:p>
    <w:p>
      <w:pPr>
        <w:pStyle w:val="BodyText"/>
      </w:pPr>
      <w:r>
        <w:rPr>
          <w:b/>
          <w:bCs/>
        </w:rPr>
        <w:t xml:space="preserve">Actors and institutional positions.</w:t>
      </w:r>
      <w:r>
        <w:t xml:space="preserve"> </w:t>
      </w:r>
      <w:r>
        <w:t xml:space="preserve">The key actors are not protestors but administrative units within the president/secretary offices and their planning leads, who translate “equity and inclusion” into operational plans. This is the PMC’s home terrain: institutional planning, HR policy, and metric‑driven governance.</w:t>
      </w:r>
      <w:r>
        <w:t xml:space="preserve"> </w:t>
      </w:r>
      <w:hyperlink r:id="rId29">
        <w:r>
          <w:rPr>
            <w:rStyle w:val="Hyperlink"/>
          </w:rPr>
          <w:t xml:space="preserve">[17]</w:t>
        </w:r>
      </w:hyperlink>
    </w:p>
    <w:p>
      <w:pPr>
        <w:pStyle w:val="BodyText"/>
      </w:pPr>
      <w:r>
        <w:rPr>
          <w:b/>
          <w:bCs/>
        </w:rPr>
        <w:t xml:space="preserve">Incentives and constraints.</w:t>
      </w:r>
      <w:r>
        <w:t xml:space="preserve"> </w:t>
      </w:r>
      <w:r>
        <w:t xml:space="preserve">Administrative DEI programs typically face a “legibility demand”: to justify resources, they must produce auditable outputs. The UM plan documents this directly by specifying metrics such as attendance at DEI events and visitors to DEI webpages.</w:t>
      </w:r>
      <w:r>
        <w:t xml:space="preserve"> </w:t>
      </w:r>
      <w:hyperlink r:id="rId29">
        <w:r>
          <w:rPr>
            <w:rStyle w:val="Hyperlink"/>
          </w:rPr>
          <w:t xml:space="preserve">[17]</w:t>
        </w:r>
      </w:hyperlink>
      <w:r>
        <w:t xml:space="preserve"> </w:t>
      </w:r>
      <w:r>
        <w:t xml:space="preserve">This orientation can tilt efforts toward measurable symbolic outputs rather than deeper power measures (e.g., compensation structures, procurement rules, bargaining regimes), unless those are also formalized as targets.</w:t>
      </w:r>
      <w:r>
        <w:t xml:space="preserve"> </w:t>
      </w:r>
      <w:hyperlink r:id="rId29">
        <w:r>
          <w:rPr>
            <w:rStyle w:val="Hyperlink"/>
          </w:rPr>
          <w:t xml:space="preserve">[48]</w:t>
        </w:r>
      </w:hyperlink>
    </w:p>
    <w:p>
      <w:pPr>
        <w:pStyle w:val="BodyText"/>
      </w:pPr>
      <w:r>
        <w:rPr>
          <w:b/>
          <w:bCs/>
        </w:rPr>
        <w:t xml:space="preserve">Tactics.</w:t>
      </w:r>
      <w:r>
        <w:t xml:space="preserve"> </w:t>
      </w:r>
      <w:r>
        <w:t xml:space="preserve">The plan’s tactics include events, communications, and internal process initiatives. These tactics are institutionally “comfortable” because they can be scaled, audited, and aligned with compliance and reputational goals.</w:t>
      </w:r>
      <w:r>
        <w:t xml:space="preserve"> </w:t>
      </w:r>
      <w:hyperlink r:id="rId29">
        <w:r>
          <w:rPr>
            <w:rStyle w:val="Hyperlink"/>
          </w:rPr>
          <w:t xml:space="preserve">[49]</w:t>
        </w:r>
      </w:hyperlink>
    </w:p>
    <w:p>
      <w:pPr>
        <w:pStyle w:val="BodyText"/>
      </w:pPr>
      <w:r>
        <w:rPr>
          <w:b/>
          <w:bCs/>
        </w:rPr>
        <w:t xml:space="preserve">Measurable outcomes.</w:t>
      </w:r>
      <w:r>
        <w:t xml:space="preserve"> </w:t>
      </w:r>
      <w:r>
        <w:t xml:space="preserve">Two outcome streams are visible in sources:</w:t>
      </w:r>
    </w:p>
    <w:p>
      <w:pPr>
        <w:pStyle w:val="Compact"/>
        <w:numPr>
          <w:ilvl w:val="0"/>
          <w:numId w:val="1002"/>
        </w:numPr>
      </w:pPr>
      <w:r>
        <w:rPr>
          <w:b/>
          <w:bCs/>
        </w:rPr>
        <w:t xml:space="preserve">Resource commitment claims.</w:t>
      </w:r>
      <w:r>
        <w:t xml:space="preserve"> </w:t>
      </w:r>
      <w:r>
        <w:t xml:space="preserve">Reporting notes substantial spending figures for DEI‑related efforts in prior years (including programs categorized under DEI), illustrating that administrative DEI can incorporate material spending—though categorization choices matter.</w:t>
      </w:r>
      <w:r>
        <w:t xml:space="preserve"> </w:t>
      </w:r>
      <w:hyperlink r:id="rId46">
        <w:r>
          <w:rPr>
            <w:rStyle w:val="Hyperlink"/>
          </w:rPr>
          <w:t xml:space="preserve">[50]</w:t>
        </w:r>
      </w:hyperlink>
    </w:p>
    <w:p>
      <w:pPr>
        <w:pStyle w:val="Compact"/>
        <w:numPr>
          <w:ilvl w:val="0"/>
          <w:numId w:val="1002"/>
        </w:numPr>
      </w:pPr>
      <w:r>
        <w:rPr>
          <w:b/>
          <w:bCs/>
        </w:rPr>
        <w:t xml:space="preserve">Policy reversal/rollback.</w:t>
      </w:r>
      <w:r>
        <w:t xml:space="preserve"> </w:t>
      </w:r>
      <w:r>
        <w:t xml:space="preserve">Reuters reports the university’s decision to close DEI offices and discontinue the DEI 2.0 umbrella plan, citing federal executive orders and funding warnings as context, and describing a transfer of some student‑facing services to other offices.</w:t>
      </w:r>
      <w:r>
        <w:t xml:space="preserve"> </w:t>
      </w:r>
      <w:hyperlink r:id="rId47">
        <w:r>
          <w:rPr>
            <w:rStyle w:val="Hyperlink"/>
          </w:rPr>
          <w:t xml:space="preserve">[51]</w:t>
        </w:r>
      </w:hyperlink>
    </w:p>
    <w:p>
      <w:pPr>
        <w:pStyle w:val="FirstParagraph"/>
      </w:pPr>
      <w:r>
        <w:t xml:space="preserve">Analytically, this case shows a vulnerability of “institutionalized rebellion”: when legitimacy strategies are formal programs, they can be rescinded by shifts in political opportunity structures—often without the kind of mass leverage that labor contracts or statutory rights can provide.</w:t>
      </w:r>
      <w:r>
        <w:t xml:space="preserve"> </w:t>
      </w:r>
      <w:hyperlink r:id="rId23">
        <w:r>
          <w:rPr>
            <w:rStyle w:val="Hyperlink"/>
          </w:rPr>
          <w:t xml:space="preserve">[52]</w:t>
        </w:r>
      </w:hyperlink>
    </w:p>
    <w:p>
      <w:pPr>
        <w:pStyle w:val="SourceCode"/>
      </w:pPr>
      <w:r>
        <w:rPr>
          <w:rStyle w:val="VerbatimChar"/>
        </w:rPr>
        <w:t xml:space="preserve">timeline</w:t>
      </w:r>
      <w:r>
        <w:br/>
      </w:r>
      <w:r>
        <w:rPr>
          <w:rStyle w:val="VerbatimChar"/>
        </w:rPr>
        <w:t xml:space="preserve">    title University of Michigan DEI 2.0 arc (source-visible markers)</w:t>
      </w:r>
      <w:r>
        <w:br/>
      </w:r>
      <w:r>
        <w:rPr>
          <w:rStyle w:val="VerbatimChar"/>
        </w:rPr>
        <w:t xml:space="preserve">    2016 : University launches major DEI initiative (context for later spending reports)</w:t>
      </w:r>
      <w:r>
        <w:br/>
      </w:r>
      <w:r>
        <w:rPr>
          <w:rStyle w:val="VerbatimChar"/>
        </w:rPr>
        <w:t xml:space="preserve">    2023 : DEI 2.0 planning documents published for units (FY2024 plan)</w:t>
      </w:r>
      <w:r>
        <w:br/>
      </w:r>
      <w:r>
        <w:rPr>
          <w:rStyle w:val="VerbatimChar"/>
        </w:rPr>
        <w:t xml:space="preserve">    2024 : DEI scrutiny prompts policy changes (e.g., hiring practice debates reported)</w:t>
      </w:r>
      <w:r>
        <w:br/>
      </w:r>
      <w:r>
        <w:rPr>
          <w:rStyle w:val="VerbatimChar"/>
        </w:rPr>
        <w:t xml:space="preserve">    2025 : Reuters reports DEI office closure and discontinuation of DEI 2.0 umbrella plan</w:t>
      </w:r>
    </w:p>
    <w:p>
      <w:r>
        <w:pict>
          <v:rect style="width:0;height:1.5pt" o:hralign="center" o:hrstd="t" o:hr="t"/>
        </w:pict>
      </w:r>
    </w:p>
    <w:bookmarkEnd w:id="48"/>
    <w:bookmarkStart w:id="53" w:name="X8f75138917d8d8903224dc27be3cc6e3526d01e"/>
    <w:p>
      <w:pPr>
        <w:pStyle w:val="Heading3"/>
      </w:pPr>
      <w:r>
        <w:t xml:space="preserve">Avaaz Foundation</w:t>
      </w:r>
      <w:hyperlink r:id="rId25">
        <w:r>
          <w:rPr>
            <w:rStyle w:val="Hyperlink"/>
          </w:rPr>
          <w:t xml:space="preserve">[53]</w:t>
        </w:r>
      </w:hyperlink>
      <w:r>
        <w:t xml:space="preserve"> </w:t>
      </w:r>
      <w:r>
        <w:t xml:space="preserve">and the professionalized clicktivism model</w:t>
      </w:r>
    </w:p>
    <w:p>
      <w:pPr>
        <w:pStyle w:val="FirstParagraph"/>
      </w:pPr>
      <w:r>
        <w:rPr>
          <w:b/>
          <w:bCs/>
        </w:rPr>
        <w:t xml:space="preserve">Background.</w:t>
      </w:r>
      <w:r>
        <w:t xml:space="preserve"> </w:t>
      </w:r>
      <w:r>
        <w:t xml:space="preserve">Avaaz is a high‑visibility example of digitally mediated advocacy that explicitly claims mass membership and a model of rapid aggregation of small actions into collective force. In a 2023 policy document, Avaaz describes itself as launched in 2007, with “almost 70 million” members; it emphasizes “all‑member polls” setting priorities, a member‑funded model, and a cap on the size of donations.</w:t>
      </w:r>
      <w:r>
        <w:t xml:space="preserve"> </w:t>
      </w:r>
      <w:hyperlink r:id="rId38">
        <w:r>
          <w:rPr>
            <w:rStyle w:val="Hyperlink"/>
          </w:rPr>
          <w:t xml:space="preserve">[54]</w:t>
        </w:r>
      </w:hyperlink>
    </w:p>
    <w:p>
      <w:pPr>
        <w:pStyle w:val="BodyText"/>
      </w:pPr>
      <w:r>
        <w:rPr>
          <w:b/>
          <w:bCs/>
        </w:rPr>
        <w:t xml:space="preserve">Actors and institutional positions.</w:t>
      </w:r>
      <w:r>
        <w:t xml:space="preserve"> </w:t>
      </w:r>
      <w:r>
        <w:t xml:space="preserve">The salient actors are: professional staff coordinating campaigns across languages/regions, a nonprofit governance structure, and a mass email‑list “membership” whose participation is often low‑time and low‑risk (signing, sharing, small donations). This maps closely onto resource mobilization’s emphasis on cost-reduction, mobilization infrastructures, and “conscience constituencies.”</w:t>
      </w:r>
      <w:r>
        <w:t xml:space="preserve"> </w:t>
      </w:r>
      <w:hyperlink r:id="rId23">
        <w:r>
          <w:rPr>
            <w:rStyle w:val="Hyperlink"/>
          </w:rPr>
          <w:t xml:space="preserve">[55]</w:t>
        </w:r>
      </w:hyperlink>
    </w:p>
    <w:p>
      <w:pPr>
        <w:pStyle w:val="BodyText"/>
      </w:pPr>
      <w:r>
        <w:rPr>
          <w:b/>
          <w:bCs/>
        </w:rPr>
        <w:t xml:space="preserve">Incentives and constraints.</w:t>
      </w:r>
      <w:r>
        <w:t xml:space="preserve"> </w:t>
      </w:r>
      <w:r>
        <w:t xml:space="preserve">Digitally mediated advocacy has strong incentives to select tactics that optimize (i) attention capture, (ii) list growth/retention, (iii) low friction participation, and (iv) reputational legitimacy with media and policy elites. That can bias campaigns toward symbolic pressure (petitions, statements, shareable narratives) rather than longer-horizon, high-conflict organizing.</w:t>
      </w:r>
      <w:r>
        <w:t xml:space="preserve"> </w:t>
      </w:r>
      <w:hyperlink r:id="rId49">
        <w:r>
          <w:rPr>
            <w:rStyle w:val="Hyperlink"/>
          </w:rPr>
          <w:t xml:space="preserve">[56]</w:t>
        </w:r>
      </w:hyperlink>
    </w:p>
    <w:p>
      <w:pPr>
        <w:pStyle w:val="BodyText"/>
      </w:pPr>
      <w:r>
        <w:rPr>
          <w:b/>
          <w:bCs/>
        </w:rPr>
        <w:t xml:space="preserve">Tactics.</w:t>
      </w:r>
      <w:r>
        <w:t xml:space="preserve"> </w:t>
      </w:r>
      <w:r>
        <w:t xml:space="preserve">Avaaz lists a broad repertoire—petitions, lobbying, organizing offline protests/events, and funding campaigns/litigation—while stressing the internet-organizing model.</w:t>
      </w:r>
      <w:r>
        <w:t xml:space="preserve"> </w:t>
      </w:r>
      <w:hyperlink r:id="rId38">
        <w:r>
          <w:rPr>
            <w:rStyle w:val="Hyperlink"/>
          </w:rPr>
          <w:t xml:space="preserve">[54]</w:t>
        </w:r>
      </w:hyperlink>
      <w:r>
        <w:t xml:space="preserve"> </w:t>
      </w:r>
      <w:r>
        <w:t xml:space="preserve">The key analytic question for the rebel‑PMC paradox is not whether these tactics ever matter, but whether the dominant equilibrium systematically favors low-cost symbolic action whose success is measured in attention rather than enforceable material change. Research on “slacktivism” debates and symbolic vs substantive online action treats this as a central empirical tension.</w:t>
      </w:r>
      <w:r>
        <w:t xml:space="preserve"> </w:t>
      </w:r>
      <w:hyperlink r:id="rId50">
        <w:r>
          <w:rPr>
            <w:rStyle w:val="Hyperlink"/>
          </w:rPr>
          <w:t xml:space="preserve">[57]</w:t>
        </w:r>
      </w:hyperlink>
    </w:p>
    <w:p>
      <w:pPr>
        <w:pStyle w:val="BodyText"/>
      </w:pPr>
      <w:r>
        <w:rPr>
          <w:b/>
          <w:bCs/>
        </w:rPr>
        <w:t xml:space="preserve">Measurable outcomes.</w:t>
      </w:r>
      <w:r>
        <w:t xml:space="preserve"> </w:t>
      </w:r>
      <w:r>
        <w:t xml:space="preserve">Financial disclosures offer a “professionalization” signal. Avaaz’s IRS Form 990 materials show expenses and governance notes appropriate to a professional nonprofit organization (e.g., audited financial statements and operational expenses in the tens of millions).</w:t>
      </w:r>
      <w:r>
        <w:t xml:space="preserve"> </w:t>
      </w:r>
      <w:hyperlink r:id="rId51">
        <w:r>
          <w:rPr>
            <w:rStyle w:val="Hyperlink"/>
          </w:rPr>
          <w:t xml:space="preserve">[58]</w:t>
        </w:r>
      </w:hyperlink>
      <w:r>
        <w:t xml:space="preserve"> </w:t>
      </w:r>
      <w:r>
        <w:t xml:space="preserve">This is not inherently problematic; it is exactly what a professionalized advocacy SMO looks like. But it also means the organization’s survival depends on maintaining legitimacy, donor trust, and operational continuity—classic mechanisms highlighted in NPIC critiques that argue nonprofits can “manage dissent” and moderate demands to fit funder/state/market constraints.</w:t>
      </w:r>
      <w:r>
        <w:t xml:space="preserve"> </w:t>
      </w:r>
      <w:hyperlink r:id="rId52">
        <w:r>
          <w:rPr>
            <w:rStyle w:val="Hyperlink"/>
          </w:rPr>
          <w:t xml:space="preserve">[59]</w:t>
        </w:r>
      </w:hyperlink>
    </w:p>
    <w:p>
      <w:pPr>
        <w:pStyle w:val="SourceCode"/>
      </w:pPr>
      <w:r>
        <w:rPr>
          <w:rStyle w:val="VerbatimChar"/>
        </w:rPr>
        <w:t xml:space="preserve">timeline</w:t>
      </w:r>
      <w:r>
        <w:br/>
      </w:r>
      <w:r>
        <w:rPr>
          <w:rStyle w:val="VerbatimChar"/>
        </w:rPr>
        <w:t xml:space="preserve">    title Avaaz model markers (from self-descriptions and filings)</w:t>
      </w:r>
      <w:r>
        <w:br/>
      </w:r>
      <w:r>
        <w:rPr>
          <w:rStyle w:val="VerbatimChar"/>
        </w:rPr>
        <w:t xml:space="preserve">    2007 : Avaaz launches (self-description)</w:t>
      </w:r>
      <w:r>
        <w:br/>
      </w:r>
      <w:r>
        <w:rPr>
          <w:rStyle w:val="VerbatimChar"/>
        </w:rPr>
        <w:t xml:space="preserve">    2023 : Avaaz describes ~70M membership and all-member polls for priorities</w:t>
      </w:r>
      <w:r>
        <w:br/>
      </w:r>
      <w:r>
        <w:rPr>
          <w:rStyle w:val="VerbatimChar"/>
        </w:rPr>
        <w:t xml:space="preserve">    2023 : Form 990 reports operational scale and governance notes</w:t>
      </w:r>
    </w:p>
    <w:p>
      <w:r>
        <w:pict>
          <v:rect style="width:0;height:1.5pt" o:hralign="center" o:hrstd="t" o:hr="t"/>
        </w:pict>
      </w:r>
    </w:p>
    <w:bookmarkEnd w:id="53"/>
    <w:bookmarkStart w:id="57" w:name="X70b78552e2d90b911097b709981e04120d166ea"/>
    <w:p>
      <w:pPr>
        <w:pStyle w:val="Heading3"/>
      </w:pPr>
      <w:r>
        <w:t xml:space="preserve">Starbucks</w:t>
      </w:r>
      <w:hyperlink r:id="rId43">
        <w:r>
          <w:rPr>
            <w:rStyle w:val="Hyperlink"/>
          </w:rPr>
          <w:t xml:space="preserve">[60]</w:t>
        </w:r>
      </w:hyperlink>
      <w:r>
        <w:t xml:space="preserve"> </w:t>
      </w:r>
      <w:r>
        <w:t xml:space="preserve">racial-bias training and “third place” governance</w:t>
      </w:r>
    </w:p>
    <w:p>
      <w:pPr>
        <w:pStyle w:val="FirstParagraph"/>
      </w:pPr>
      <w:r>
        <w:rPr>
          <w:b/>
          <w:bCs/>
        </w:rPr>
        <w:t xml:space="preserve">Background.</w:t>
      </w:r>
      <w:r>
        <w:t xml:space="preserve"> </w:t>
      </w:r>
      <w:r>
        <w:t xml:space="preserve">The 2018 Philadelphia incident (two Black men arrested while waiting in a Starbucks) triggered a corporate crisis response that became a template example of reputational governance and DEI-as-risk-management. Starbucks announced it would close more than 8,000 company-owned U.S. stores for racial-bias education, targeting nearly 175,000 employees and integrating the training into onboarding; the announcement also named prominent advisors and framed the response as reaffirming “humanity and inclusion.”</w:t>
      </w:r>
      <w:r>
        <w:t xml:space="preserve"> </w:t>
      </w:r>
      <w:hyperlink r:id="rId22">
        <w:r>
          <w:rPr>
            <w:rStyle w:val="Hyperlink"/>
          </w:rPr>
          <w:t xml:space="preserve">[61]</w:t>
        </w:r>
      </w:hyperlink>
    </w:p>
    <w:p>
      <w:pPr>
        <w:pStyle w:val="BodyText"/>
      </w:pPr>
      <w:r>
        <w:rPr>
          <w:b/>
          <w:bCs/>
        </w:rPr>
        <w:t xml:space="preserve">Actors and institutional positions.</w:t>
      </w:r>
      <w:r>
        <w:t xml:space="preserve"> </w:t>
      </w:r>
      <w:r>
        <w:t xml:space="preserve">Executive leadership, corporate HR/training designers, and public-relations infrastructure define the action space. The “activism” here is partially external (public pressure) but the implementation is internalized as a corporate program, with tightly controlled scope and messaging.</w:t>
      </w:r>
      <w:r>
        <w:t xml:space="preserve"> </w:t>
      </w:r>
      <w:hyperlink r:id="rId22">
        <w:r>
          <w:rPr>
            <w:rStyle w:val="Hyperlink"/>
          </w:rPr>
          <w:t xml:space="preserve">[62]</w:t>
        </w:r>
      </w:hyperlink>
    </w:p>
    <w:p>
      <w:pPr>
        <w:pStyle w:val="BodyText"/>
      </w:pPr>
      <w:r>
        <w:rPr>
          <w:b/>
          <w:bCs/>
        </w:rPr>
        <w:t xml:space="preserve">Incentives and constraints.</w:t>
      </w:r>
      <w:r>
        <w:t xml:space="preserve"> </w:t>
      </w:r>
      <w:r>
        <w:t xml:space="preserve">The incentive is to protect brand legitimacy and reduce legal/reputational risk at minimal disruption to the business model. This is aligned with scholarship criticizing “business case” framings of diversity: organizational diversity efforts are often justified and constrained through performance/legitimacy logics rather than justice/distribution logics.</w:t>
      </w:r>
      <w:r>
        <w:t xml:space="preserve"> </w:t>
      </w:r>
      <w:hyperlink r:id="rId54">
        <w:r>
          <w:rPr>
            <w:rStyle w:val="Hyperlink"/>
          </w:rPr>
          <w:t xml:space="preserve">[63]</w:t>
        </w:r>
      </w:hyperlink>
    </w:p>
    <w:p>
      <w:pPr>
        <w:pStyle w:val="BodyText"/>
      </w:pPr>
      <w:r>
        <w:rPr>
          <w:b/>
          <w:bCs/>
        </w:rPr>
        <w:t xml:space="preserve">Tactics.</w:t>
      </w:r>
      <w:r>
        <w:t xml:space="preserve"> </w:t>
      </w:r>
      <w:r>
        <w:t xml:space="preserve">The tactics were (i) one-day mass training, (ii) public commitments and expert involvement, and (iii) policy framing around inclusivity. Third‑party reporting describes Starbucks’ “Third Place Policy” as allowing people to use spaces/restrooms regardless of purchase (within behavior limits), a legible and public-facing rule change.</w:t>
      </w:r>
      <w:r>
        <w:t xml:space="preserve"> </w:t>
      </w:r>
      <w:hyperlink r:id="rId26">
        <w:r>
          <w:rPr>
            <w:rStyle w:val="Hyperlink"/>
          </w:rPr>
          <w:t xml:space="preserve">[64]</w:t>
        </w:r>
      </w:hyperlink>
    </w:p>
    <w:p>
      <w:pPr>
        <w:pStyle w:val="BodyText"/>
      </w:pPr>
      <w:r>
        <w:rPr>
          <w:b/>
          <w:bCs/>
        </w:rPr>
        <w:t xml:space="preserve">Measurable outcomes.</w:t>
      </w:r>
      <w:r>
        <w:t xml:space="preserve"> </w:t>
      </w:r>
      <w:r>
        <w:t xml:space="preserve">Several measurable outputs are clear:</w:t>
      </w:r>
    </w:p>
    <w:p>
      <w:pPr>
        <w:pStyle w:val="Compact"/>
        <w:numPr>
          <w:ilvl w:val="0"/>
          <w:numId w:val="1003"/>
        </w:numPr>
      </w:pPr>
      <w:r>
        <w:t xml:space="preserve">“8,000+ stores closed” and “~175,000 employees trained” are concrete operational outputs, but they are not the same as structural redistribution.</w:t>
      </w:r>
      <w:r>
        <w:t xml:space="preserve"> </w:t>
      </w:r>
      <w:hyperlink r:id="rId22">
        <w:r>
          <w:rPr>
            <w:rStyle w:val="Hyperlink"/>
          </w:rPr>
          <w:t xml:space="preserve">[62]</w:t>
        </w:r>
      </w:hyperlink>
    </w:p>
    <w:p>
      <w:pPr>
        <w:pStyle w:val="Compact"/>
        <w:numPr>
          <w:ilvl w:val="0"/>
          <w:numId w:val="1003"/>
        </w:numPr>
      </w:pPr>
      <w:r>
        <w:t xml:space="preserve">The individuals arrested reached a settlement with the city described as a symbolic $1 payment each plus a commitment to fund a youth entrepreneur program; coverage reports this as symbolic restitution plus a bounded programmatic response.</w:t>
      </w:r>
      <w:r>
        <w:t xml:space="preserve"> </w:t>
      </w:r>
      <w:hyperlink r:id="rId55">
        <w:r>
          <w:rPr>
            <w:rStyle w:val="Hyperlink"/>
          </w:rPr>
          <w:t xml:space="preserve">[65]</w:t>
        </w:r>
      </w:hyperlink>
    </w:p>
    <w:p>
      <w:pPr>
        <w:pStyle w:val="Compact"/>
        <w:numPr>
          <w:ilvl w:val="0"/>
          <w:numId w:val="1003"/>
        </w:numPr>
      </w:pPr>
      <w:r>
        <w:t xml:space="preserve">Notably for the substitution test, Starbucks later reversed its open-door policy and required purchases for staying/using restrooms in North America (reported for 2025), suggesting that “values governance” can be contingent and reversible when business pressures shift.</w:t>
      </w:r>
      <w:r>
        <w:t xml:space="preserve"> </w:t>
      </w:r>
      <w:hyperlink r:id="rId56">
        <w:r>
          <w:rPr>
            <w:rStyle w:val="Hyperlink"/>
          </w:rPr>
          <w:t xml:space="preserve">[66]</w:t>
        </w:r>
      </w:hyperlink>
    </w:p>
    <w:p>
      <w:pPr>
        <w:pStyle w:val="SourceCode"/>
      </w:pPr>
      <w:r>
        <w:rPr>
          <w:rStyle w:val="VerbatimChar"/>
        </w:rPr>
        <w:t xml:space="preserve">timeline</w:t>
      </w:r>
      <w:r>
        <w:br/>
      </w:r>
      <w:r>
        <w:rPr>
          <w:rStyle w:val="VerbatimChar"/>
        </w:rPr>
        <w:t xml:space="preserve">    title Starbucks DEI crisis-response arc</w:t>
      </w:r>
      <w:r>
        <w:br/>
      </w:r>
      <w:r>
        <w:rPr>
          <w:rStyle w:val="VerbatimChar"/>
        </w:rPr>
        <w:t xml:space="preserve">    2018-04 : Philadelphia incident triggers national backlash</w:t>
      </w:r>
      <w:r>
        <w:br/>
      </w:r>
      <w:r>
        <w:rPr>
          <w:rStyle w:val="VerbatimChar"/>
        </w:rPr>
        <w:t xml:space="preserve">    2018-04 : Starbucks announces nationwide store closures for bias education</w:t>
      </w:r>
      <w:r>
        <w:br/>
      </w:r>
      <w:r>
        <w:rPr>
          <w:rStyle w:val="VerbatimChar"/>
        </w:rPr>
        <w:t xml:space="preserve">    2018-05 : Stores close for training (~175k employees)</w:t>
      </w:r>
      <w:r>
        <w:br/>
      </w:r>
      <w:r>
        <w:rPr>
          <w:rStyle w:val="VerbatimChar"/>
        </w:rPr>
        <w:t xml:space="preserve">    2018-05 : "Third Place Policy" reported as purchase-not-required access framing</w:t>
      </w:r>
      <w:r>
        <w:br/>
      </w:r>
      <w:r>
        <w:rPr>
          <w:rStyle w:val="VerbatimChar"/>
        </w:rPr>
        <w:t xml:space="preserve">    2025-01 : Reporting describes reversal: purchase required for staying/using restrooms</w:t>
      </w:r>
    </w:p>
    <w:p>
      <w:r>
        <w:pict>
          <v:rect style="width:0;height:1.5pt" o:hralign="center" o:hrstd="t" o:hr="t"/>
        </w:pict>
      </w:r>
    </w:p>
    <w:bookmarkEnd w:id="57"/>
    <w:bookmarkStart w:id="63" w:name="X2cd3a72d1f0d13c1b15df6290af2f046ee469dc"/>
    <w:p>
      <w:pPr>
        <w:pStyle w:val="Heading3"/>
      </w:pPr>
      <w:r>
        <w:t xml:space="preserve">Internal boundary policing at The New York Times</w:t>
      </w:r>
      <w:hyperlink r:id="rId42">
        <w:r>
          <w:rPr>
            <w:rStyle w:val="Hyperlink"/>
          </w:rPr>
          <w:t xml:space="preserve">[67]</w:t>
        </w:r>
      </w:hyperlink>
      <w:r>
        <w:t xml:space="preserve"> </w:t>
      </w:r>
      <w:r>
        <w:t xml:space="preserve">after the Tom Cotton</w:t>
      </w:r>
      <w:hyperlink r:id="rId30">
        <w:r>
          <w:rPr>
            <w:rStyle w:val="Hyperlink"/>
          </w:rPr>
          <w:t xml:space="preserve">[68]</w:t>
        </w:r>
      </w:hyperlink>
      <w:r>
        <w:t xml:space="preserve"> </w:t>
      </w:r>
      <w:r>
        <w:t xml:space="preserve">op-ed</w:t>
      </w:r>
    </w:p>
    <w:p>
      <w:pPr>
        <w:pStyle w:val="FirstParagraph"/>
      </w:pPr>
      <w:r>
        <w:rPr>
          <w:b/>
          <w:bCs/>
        </w:rPr>
        <w:t xml:space="preserve">Background.</w:t>
      </w:r>
      <w:r>
        <w:t xml:space="preserve"> </w:t>
      </w:r>
      <w:r>
        <w:t xml:space="preserve">In June 2020, the Times published Cotton’s opinion piece “Send in the Troops,” which advocated military deployment to quell unrest; Cotton’s office reposted the piece, making the core text accessible.</w:t>
      </w:r>
      <w:r>
        <w:t xml:space="preserve"> </w:t>
      </w:r>
      <w:hyperlink r:id="rId58">
        <w:r>
          <w:rPr>
            <w:rStyle w:val="Hyperlink"/>
          </w:rPr>
          <w:t xml:space="preserve">[69]</w:t>
        </w:r>
      </w:hyperlink>
      <w:r>
        <w:t xml:space="preserve"> </w:t>
      </w:r>
      <w:r>
        <w:t xml:space="preserve">The publication triggered intense internal and external backlash.</w:t>
      </w:r>
    </w:p>
    <w:p>
      <w:pPr>
        <w:pStyle w:val="BodyText"/>
      </w:pPr>
      <w:r>
        <w:rPr>
          <w:b/>
          <w:bCs/>
        </w:rPr>
        <w:t xml:space="preserve">Actors and institutional positions.</w:t>
      </w:r>
      <w:r>
        <w:t xml:space="preserve"> </w:t>
      </w:r>
      <w:r>
        <w:t xml:space="preserve">The core actors include the newsroom staff as internal stakeholders; leadership within the opinion operation, including James Bennet</w:t>
      </w:r>
      <w:hyperlink r:id="rId23">
        <w:r>
          <w:rPr>
            <w:rStyle w:val="Hyperlink"/>
          </w:rPr>
          <w:t xml:space="preserve">[70]</w:t>
        </w:r>
      </w:hyperlink>
      <w:r>
        <w:t xml:space="preserve">; and the publisher, A. G. Sulzberger</w:t>
      </w:r>
      <w:hyperlink r:id="rId22">
        <w:r>
          <w:rPr>
            <w:rStyle w:val="Hyperlink"/>
          </w:rPr>
          <w:t xml:space="preserve">[71]</w:t>
        </w:r>
      </w:hyperlink>
      <w:r>
        <w:t xml:space="preserve"> </w:t>
      </w:r>
      <w:r>
        <w:t xml:space="preserve">(as later discussed in an interview about internal battles and the Cotton controversy).</w:t>
      </w:r>
      <w:r>
        <w:t xml:space="preserve"> </w:t>
      </w:r>
      <w:hyperlink r:id="rId59">
        <w:r>
          <w:rPr>
            <w:rStyle w:val="Hyperlink"/>
          </w:rPr>
          <w:t xml:space="preserve">[72]</w:t>
        </w:r>
      </w:hyperlink>
    </w:p>
    <w:p>
      <w:pPr>
        <w:pStyle w:val="BodyText"/>
      </w:pPr>
      <w:r>
        <w:rPr>
          <w:b/>
          <w:bCs/>
        </w:rPr>
        <w:t xml:space="preserve">Incentives and constraints.</w:t>
      </w:r>
      <w:r>
        <w:t xml:space="preserve"> </w:t>
      </w:r>
      <w:r>
        <w:t xml:space="preserve">The institution faces dual legitimacy constraints: (i) credibility and standards in opinion journalism, and (ii) internal workforce legitimacy (especially claims that editorial choices endanger staff or violate organizational values). The key point for the rebel‑PMC paradox is that the conflict is adjudicated through</w:t>
      </w:r>
      <w:r>
        <w:t xml:space="preserve"> </w:t>
      </w:r>
      <w:r>
        <w:rPr>
          <w:i/>
          <w:iCs/>
        </w:rPr>
        <w:t xml:space="preserve">internal governance</w:t>
      </w:r>
      <w:r>
        <w:t xml:space="preserve"> </w:t>
      </w:r>
      <w:r>
        <w:t xml:space="preserve">mechanisms (Slack rebellions, standards reviews, leadership changes), not through external mass politics.</w:t>
      </w:r>
      <w:r>
        <w:t xml:space="preserve"> </w:t>
      </w:r>
      <w:hyperlink r:id="rId60">
        <w:r>
          <w:rPr>
            <w:rStyle w:val="Hyperlink"/>
          </w:rPr>
          <w:t xml:space="preserve">[73]</w:t>
        </w:r>
      </w:hyperlink>
    </w:p>
    <w:p>
      <w:pPr>
        <w:pStyle w:val="BodyText"/>
      </w:pPr>
      <w:r>
        <w:rPr>
          <w:b/>
          <w:bCs/>
        </w:rPr>
        <w:t xml:space="preserve">Tactics.</w:t>
      </w:r>
      <w:r>
        <w:t xml:space="preserve"> </w:t>
      </w:r>
      <w:r>
        <w:t xml:space="preserve">The tactical repertoire is reputational/administrative: internal protest, public statements, and process reform. Reporting quotes the Times’ spokeswoman: a “rushed editorial process” led to publication of an op‑ed that “did not meet our standards,” with planned changes including expanded fact-checking and fewer op‑eds.</w:t>
      </w:r>
      <w:r>
        <w:t xml:space="preserve"> </w:t>
      </w:r>
      <w:hyperlink r:id="rId61">
        <w:r>
          <w:rPr>
            <w:rStyle w:val="Hyperlink"/>
          </w:rPr>
          <w:t xml:space="preserve">[74]</w:t>
        </w:r>
      </w:hyperlink>
    </w:p>
    <w:p>
      <w:pPr>
        <w:pStyle w:val="BodyText"/>
      </w:pPr>
      <w:r>
        <w:rPr>
          <w:b/>
          <w:bCs/>
        </w:rPr>
        <w:t xml:space="preserve">Measurable outcomes.</w:t>
      </w:r>
      <w:r>
        <w:t xml:space="preserve"> </w:t>
      </w:r>
      <w:r>
        <w:t xml:space="preserve">The measurable outcomes are largely symbolic/organizational rather than distributive: Bennet resigned; processes for editing/fact-checking were reportedly revisited; and the episode became a marker of internal cultural power and generational conflict.</w:t>
      </w:r>
      <w:r>
        <w:t xml:space="preserve"> </w:t>
      </w:r>
      <w:hyperlink r:id="rId59">
        <w:r>
          <w:rPr>
            <w:rStyle w:val="Hyperlink"/>
          </w:rPr>
          <w:t xml:space="preserve">[75]</w:t>
        </w:r>
      </w:hyperlink>
      <w:r>
        <w:t xml:space="preserve"> </w:t>
      </w:r>
      <w:r>
        <w:t xml:space="preserve">Material outcomes in the sense of wages, ownership, or coercive state capacity are not central here; the power locus is internal editorial governance and reputational legitimacy.</w:t>
      </w:r>
      <w:r>
        <w:t xml:space="preserve"> </w:t>
      </w:r>
      <w:hyperlink r:id="rId62">
        <w:r>
          <w:rPr>
            <w:rStyle w:val="Hyperlink"/>
          </w:rPr>
          <w:t xml:space="preserve">[76]</w:t>
        </w:r>
      </w:hyperlink>
    </w:p>
    <w:p>
      <w:pPr>
        <w:pStyle w:val="SourceCode"/>
      </w:pPr>
      <w:r>
        <w:rPr>
          <w:rStyle w:val="VerbatimChar"/>
        </w:rPr>
        <w:t xml:space="preserve">timeline</w:t>
      </w:r>
      <w:r>
        <w:br/>
      </w:r>
      <w:r>
        <w:rPr>
          <w:rStyle w:val="VerbatimChar"/>
        </w:rPr>
        <w:t xml:space="preserve">    title NYT op-ed governance crisis</w:t>
      </w:r>
      <w:r>
        <w:br/>
      </w:r>
      <w:r>
        <w:rPr>
          <w:rStyle w:val="VerbatimChar"/>
        </w:rPr>
        <w:t xml:space="preserve">    2020-06-03 : Tom Cotton op-ed published ("Send in the Troops")</w:t>
      </w:r>
      <w:r>
        <w:br/>
      </w:r>
      <w:r>
        <w:rPr>
          <w:rStyle w:val="VerbatimChar"/>
        </w:rPr>
        <w:t xml:space="preserve">    2020-06-04 : Times says op-ed did not meet standards; process reforms discussed</w:t>
      </w:r>
      <w:r>
        <w:br/>
      </w:r>
      <w:r>
        <w:rPr>
          <w:rStyle w:val="VerbatimChar"/>
        </w:rPr>
        <w:t xml:space="preserve">    2020-06-07 : Opinion editor James Bennet resigns amid fallout</w:t>
      </w:r>
      <w:r>
        <w:br/>
      </w:r>
      <w:r>
        <w:rPr>
          <w:rStyle w:val="VerbatimChar"/>
        </w:rPr>
        <w:t xml:space="preserve">    2022-2023 : Publisher interviews reflect on internal battles &amp; the episode</w:t>
      </w:r>
    </w:p>
    <w:p>
      <w:r>
        <w:pict>
          <v:rect style="width:0;height:1.5pt" o:hralign="center" o:hrstd="t" o:hr="t"/>
        </w:pict>
      </w:r>
    </w:p>
    <w:bookmarkEnd w:id="63"/>
    <w:bookmarkStart w:id="67" w:name="X9c2e217304673890253df57f954d98493667299"/>
    <w:p>
      <w:pPr>
        <w:pStyle w:val="Heading3"/>
      </w:pPr>
      <w:r>
        <w:t xml:space="preserve">Labor contestation and material leverage through National Labor Relations Board</w:t>
      </w:r>
      <w:hyperlink r:id="rId23">
        <w:r>
          <w:rPr>
            <w:rStyle w:val="Hyperlink"/>
          </w:rPr>
          <w:t xml:space="preserve">[77]</w:t>
        </w:r>
      </w:hyperlink>
      <w:r>
        <w:t xml:space="preserve"> </w:t>
      </w:r>
      <w:r>
        <w:t xml:space="preserve">elections and Workers United</w:t>
      </w:r>
      <w:hyperlink r:id="rId39">
        <w:r>
          <w:rPr>
            <w:rStyle w:val="Hyperlink"/>
          </w:rPr>
          <w:t xml:space="preserve">[78]</w:t>
        </w:r>
      </w:hyperlink>
      <w:r>
        <w:t xml:space="preserve"> </w:t>
      </w:r>
      <w:r>
        <w:t xml:space="preserve">organizing</w:t>
      </w:r>
    </w:p>
    <w:p>
      <w:pPr>
        <w:pStyle w:val="FirstParagraph"/>
      </w:pPr>
      <w:r>
        <w:rPr>
          <w:b/>
          <w:bCs/>
        </w:rPr>
        <w:t xml:space="preserve">Background.</w:t>
      </w:r>
      <w:r>
        <w:t xml:space="preserve"> </w:t>
      </w:r>
      <w:r>
        <w:t xml:space="preserve">This case is designed as a</w:t>
      </w:r>
      <w:r>
        <w:t xml:space="preserve"> </w:t>
      </w:r>
      <w:r>
        <w:rPr>
          <w:i/>
          <w:iCs/>
        </w:rPr>
        <w:t xml:space="preserve">contrast case</w:t>
      </w:r>
      <w:r>
        <w:t xml:space="preserve"> </w:t>
      </w:r>
      <w:r>
        <w:t xml:space="preserve">that can potentially disconfirm “symbolic substitution,” because labor organizing—when it succeeds—creates enforceable bargaining rights and can impose costs on capital/management.</w:t>
      </w:r>
    </w:p>
    <w:p>
      <w:pPr>
        <w:pStyle w:val="BodyText"/>
      </w:pPr>
      <w:r>
        <w:rPr>
          <w:b/>
          <w:bCs/>
        </w:rPr>
        <w:t xml:space="preserve">Actors and institutional positions.</w:t>
      </w:r>
      <w:r>
        <w:t xml:space="preserve"> </w:t>
      </w:r>
      <w:r>
        <w:t xml:space="preserve">The key actors are store-level workers (baristas), the union, and the NLRB as the formal institutional mechanism for representation elections. Unlike many symbolic contests, this arena is structured around legally defined rights and adjudicable votes.</w:t>
      </w:r>
      <w:r>
        <w:t xml:space="preserve"> </w:t>
      </w:r>
      <w:hyperlink r:id="rId64">
        <w:r>
          <w:rPr>
            <w:rStyle w:val="Hyperlink"/>
          </w:rPr>
          <w:t xml:space="preserve">[79]</w:t>
        </w:r>
      </w:hyperlink>
    </w:p>
    <w:p>
      <w:pPr>
        <w:pStyle w:val="BodyText"/>
      </w:pPr>
      <w:r>
        <w:rPr>
          <w:b/>
          <w:bCs/>
        </w:rPr>
        <w:t xml:space="preserve">Incentives and constraints.</w:t>
      </w:r>
      <w:r>
        <w:t xml:space="preserve"> </w:t>
      </w:r>
      <w:r>
        <w:t xml:space="preserve">The cost test is structurally higher: union drives often face retaliation risks, prolonged timelines, and legal conflict. Institutions have incentives to resist because recognition can constrain managerial discretion and raise labor costs.</w:t>
      </w:r>
      <w:r>
        <w:t xml:space="preserve"> </w:t>
      </w:r>
      <w:hyperlink r:id="rId65">
        <w:r>
          <w:rPr>
            <w:rStyle w:val="Hyperlink"/>
          </w:rPr>
          <w:t xml:space="preserve">[80]</w:t>
        </w:r>
      </w:hyperlink>
    </w:p>
    <w:p>
      <w:pPr>
        <w:pStyle w:val="BodyText"/>
      </w:pPr>
      <w:r>
        <w:rPr>
          <w:b/>
          <w:bCs/>
        </w:rPr>
        <w:t xml:space="preserve">Tactics.</w:t>
      </w:r>
      <w:r>
        <w:t xml:space="preserve"> </w:t>
      </w:r>
      <w:r>
        <w:t xml:space="preserve">The observable tactics include filing petitions, running elections, and—when bargaining stalls—strikes. The NLRB Region 3 release documents the December 9, 2021 ballot counts in Buffalo-area stores, including vote totals (e.g., Elmwood: 19 for the petitioner, 8 against).</w:t>
      </w:r>
      <w:r>
        <w:t xml:space="preserve"> </w:t>
      </w:r>
      <w:hyperlink r:id="rId64">
        <w:r>
          <w:rPr>
            <w:rStyle w:val="Hyperlink"/>
          </w:rPr>
          <w:t xml:space="preserve">[81]</w:t>
        </w:r>
      </w:hyperlink>
      <w:r>
        <w:t xml:space="preserve"> </w:t>
      </w:r>
      <w:r>
        <w:t xml:space="preserve">Union-side communications frame the win as the first unionized company-owned U.S. store.</w:t>
      </w:r>
      <w:r>
        <w:t xml:space="preserve"> </w:t>
      </w:r>
      <w:hyperlink r:id="rId66">
        <w:r>
          <w:rPr>
            <w:rStyle w:val="Hyperlink"/>
          </w:rPr>
          <w:t xml:space="preserve">[82]</w:t>
        </w:r>
      </w:hyperlink>
    </w:p>
    <w:p>
      <w:pPr>
        <w:pStyle w:val="BodyText"/>
      </w:pPr>
      <w:r>
        <w:rPr>
          <w:b/>
          <w:bCs/>
        </w:rPr>
        <w:t xml:space="preserve">Measurable outcomes.</w:t>
      </w:r>
      <w:r>
        <w:t xml:space="preserve"> </w:t>
      </w:r>
      <w:r>
        <w:t xml:space="preserve">The most measurable outcome is the formal change in representation status via elections. Longer-run distributive outcomes (a first contract, wage/scheduling changes) are contested; Reuters reports extended strikes and limited disruption relative to total store counts, highlighting both the material leverage attempt and constraints on its impact.</w:t>
      </w:r>
      <w:r>
        <w:t xml:space="preserve"> </w:t>
      </w:r>
      <w:hyperlink r:id="rId40">
        <w:r>
          <w:rPr>
            <w:rStyle w:val="Hyperlink"/>
          </w:rPr>
          <w:t xml:space="preserve">[83]</w:t>
        </w:r>
      </w:hyperlink>
    </w:p>
    <w:p>
      <w:pPr>
        <w:pStyle w:val="BodyText"/>
      </w:pPr>
      <w:r>
        <w:t xml:space="preserve">In the rebel‑PMC framework, this case helps identify what “non‑substituted” material opposition looks like: enforceable institutional leverage, higher costs, and direct targeting of a core power locus (labor discipline and compensation). It also provides a sharp internal comparison to Starbucks’ earlier DEI crisis management, which was reputationally legible and reversible.</w:t>
      </w:r>
      <w:r>
        <w:t xml:space="preserve"> </w:t>
      </w:r>
      <w:hyperlink r:id="rId22">
        <w:r>
          <w:rPr>
            <w:rStyle w:val="Hyperlink"/>
          </w:rPr>
          <w:t xml:space="preserve">[84]</w:t>
        </w:r>
      </w:hyperlink>
    </w:p>
    <w:p>
      <w:pPr>
        <w:pStyle w:val="SourceCode"/>
      </w:pPr>
      <w:r>
        <w:rPr>
          <w:rStyle w:val="VerbatimChar"/>
        </w:rPr>
        <w:t xml:space="preserve">timeline</w:t>
      </w:r>
      <w:r>
        <w:br/>
      </w:r>
      <w:r>
        <w:rPr>
          <w:rStyle w:val="VerbatimChar"/>
        </w:rPr>
        <w:t xml:space="preserve">    title Starbucks labor organizing markers (source-visible)</w:t>
      </w:r>
      <w:r>
        <w:br/>
      </w:r>
      <w:r>
        <w:rPr>
          <w:rStyle w:val="VerbatimChar"/>
        </w:rPr>
        <w:t xml:space="preserve">    2021-12-09 : NLRB Region 3 reports ballot counts in Buffalo-area stores</w:t>
      </w:r>
      <w:r>
        <w:br/>
      </w:r>
      <w:r>
        <w:rPr>
          <w:rStyle w:val="VerbatimChar"/>
        </w:rPr>
        <w:t xml:space="preserve">    2022-2024 : Union expansion beyond initial wins; bargaining timelines reported by union</w:t>
      </w:r>
      <w:r>
        <w:br/>
      </w:r>
      <w:r>
        <w:rPr>
          <w:rStyle w:val="VerbatimChar"/>
        </w:rPr>
        <w:t xml:space="preserve">    2025-11 to 2025-12 : Reuters/AP report expanding strikes amid stalled negotiations</w:t>
      </w:r>
    </w:p>
    <w:bookmarkEnd w:id="67"/>
    <w:bookmarkEnd w:id="68"/>
    <w:bookmarkStart w:id="72" w:name="X57c6c588a2c638ca9046a8f91fbef1a025d1ef4"/>
    <w:p>
      <w:pPr>
        <w:pStyle w:val="Heading2"/>
      </w:pPr>
      <w:r>
        <w:t xml:space="preserve">Comparative synthesis and evidence limits</w:t>
      </w:r>
    </w:p>
    <w:bookmarkStart w:id="69" w:name="cross-case-comparison-tables"/>
    <w:p>
      <w:pPr>
        <w:pStyle w:val="Heading3"/>
      </w:pPr>
      <w:r>
        <w:t xml:space="preserve">Cross-case comparison tables</w:t>
      </w:r>
    </w:p>
    <w:p>
      <w:pPr>
        <w:pStyle w:val="FirstParagraph"/>
      </w:pPr>
      <w:r>
        <w:t xml:space="preserve">The tables below summarize the diagnostics. Ratings are qualitative (High/Medium/Low) and derived from the documented mechanisms and outcomes in cited sources; where an item is not supported by available sources, it is marked</w:t>
      </w:r>
      <w:r>
        <w:t xml:space="preserve"> </w:t>
      </w:r>
      <w:r>
        <w:rPr>
          <w:i/>
          <w:iCs/>
        </w:rPr>
        <w:t xml:space="preserve">unspecified</w:t>
      </w:r>
      <w:r>
        <w:t xml:space="preserve"> </w:t>
      </w:r>
      <w:r>
        <w:t xml:space="preserve">rather than inferred.</w:t>
      </w:r>
    </w:p>
    <w:p>
      <w:pPr>
        <w:pStyle w:val="BodyText"/>
      </w:pPr>
      <w:r>
        <w:rPr>
          <w:b/>
          <w:bCs/>
        </w:rPr>
        <w:t xml:space="preserve">Institutional alignment and outcome profile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Case (domain)</w:t>
            </w:r>
          </w:p>
        </w:tc>
        <w:tc>
          <w:tcPr/>
          <w:p>
            <w:pPr>
              <w:pStyle w:val="Compact"/>
            </w:pPr>
            <w:r>
              <w:t xml:space="preserve">Primary institutional embed</w:t>
            </w:r>
          </w:p>
        </w:tc>
        <w:tc>
          <w:tcPr/>
          <w:p>
            <w:pPr>
              <w:pStyle w:val="Compact"/>
            </w:pPr>
            <w:r>
              <w:t xml:space="preserve">Economic alignment</w:t>
            </w:r>
          </w:p>
        </w:tc>
        <w:tc>
          <w:tcPr/>
          <w:p>
            <w:pPr>
              <w:pStyle w:val="Compact"/>
            </w:pPr>
            <w:r>
              <w:t xml:space="preserve">Status/epistemic alignment</w:t>
            </w:r>
          </w:p>
        </w:tc>
        <w:tc>
          <w:tcPr/>
          <w:p>
            <w:pPr>
              <w:pStyle w:val="Compact"/>
            </w:pPr>
            <w:r>
              <w:t xml:space="preserve">Administrative alignment</w:t>
            </w:r>
          </w:p>
        </w:tc>
        <w:tc>
          <w:tcPr/>
          <w:p>
            <w:pPr>
              <w:pStyle w:val="Compact"/>
            </w:pPr>
            <w:r>
              <w:t xml:space="preserve">Typical cost borne (participants)</w:t>
            </w:r>
          </w:p>
        </w:tc>
        <w:tc>
          <w:tcPr/>
          <w:p>
            <w:pPr>
              <w:pStyle w:val="Compact"/>
            </w:pPr>
            <w:r>
              <w:t xml:space="preserve">Primary target</w:t>
            </w:r>
          </w:p>
        </w:tc>
        <w:tc>
          <w:tcPr/>
          <w:p>
            <w:pPr>
              <w:pStyle w:val="Compact"/>
            </w:pPr>
            <w:r>
              <w:t xml:space="preserve">Outcome profile</w:t>
            </w:r>
          </w:p>
        </w:tc>
      </w:tr>
      <w:tr>
        <w:tc>
          <w:tcPr/>
          <w:p>
            <w:pPr>
              <w:pStyle w:val="Compact"/>
            </w:pPr>
            <w:r>
              <w:t xml:space="preserve">Punk institutionalization (culture)</w:t>
            </w:r>
          </w:p>
        </w:tc>
        <w:tc>
          <w:tcPr/>
          <w:p>
            <w:pPr>
              <w:pStyle w:val="Compact"/>
            </w:pPr>
            <w:r>
              <w:t xml:space="preserve">Elite museum + fashion/media sponsors</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Low</w:t>
            </w:r>
          </w:p>
        </w:tc>
        <w:tc>
          <w:tcPr/>
          <w:p>
            <w:pPr>
              <w:pStyle w:val="Compact"/>
            </w:pPr>
            <w:r>
              <w:t xml:space="preserve">Aesthetics/meaning</w:t>
            </w:r>
          </w:p>
        </w:tc>
        <w:tc>
          <w:tcPr/>
          <w:p>
            <w:pPr>
              <w:pStyle w:val="Compact"/>
            </w:pPr>
            <w:r>
              <w:t xml:space="preserve">Mostly symbolic (commodified rebellion)</w:t>
            </w:r>
          </w:p>
        </w:tc>
      </w:tr>
      <w:tr>
        <w:tc>
          <w:tcPr/>
          <w:p>
            <w:pPr>
              <w:pStyle w:val="Compact"/>
            </w:pPr>
            <w:r>
              <w:t xml:space="preserve">Yale renaming (academia-symbolic)</w:t>
            </w:r>
          </w:p>
        </w:tc>
        <w:tc>
          <w:tcPr/>
          <w:p>
            <w:pPr>
              <w:pStyle w:val="Compact"/>
            </w:pPr>
            <w:r>
              <w:t xml:space="preserve">University governance</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Low–Medium</w:t>
            </w:r>
          </w:p>
        </w:tc>
        <w:tc>
          <w:tcPr/>
          <w:p>
            <w:pPr>
              <w:pStyle w:val="Compact"/>
            </w:pPr>
            <w:r>
              <w:t xml:space="preserve">Commemoration</w:t>
            </w:r>
          </w:p>
        </w:tc>
        <w:tc>
          <w:tcPr/>
          <w:p>
            <w:pPr>
              <w:pStyle w:val="Compact"/>
            </w:pPr>
            <w:r>
              <w:t xml:space="preserve">Mostly symbolic (renaming; committee legitimacy)</w:t>
            </w:r>
          </w:p>
        </w:tc>
      </w:tr>
      <w:tr>
        <w:tc>
          <w:tcPr/>
          <w:p>
            <w:pPr>
              <w:pStyle w:val="Compact"/>
            </w:pPr>
            <w:r>
              <w:t xml:space="preserve">UMich DEI 2.0 (academia-admin)</w:t>
            </w:r>
          </w:p>
        </w:tc>
        <w:tc>
          <w:tcPr/>
          <w:p>
            <w:pPr>
              <w:pStyle w:val="Compact"/>
            </w:pPr>
            <w:r>
              <w:t xml:space="preserve">University administration</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t xml:space="preserve">Internal climate/process</w:t>
            </w:r>
          </w:p>
        </w:tc>
        <w:tc>
          <w:tcPr/>
          <w:p>
            <w:pPr>
              <w:pStyle w:val="Compact"/>
            </w:pPr>
            <w:r>
              <w:t xml:space="preserve">Mixed; legible metrics; later rollback</w:t>
            </w:r>
          </w:p>
        </w:tc>
      </w:tr>
      <w:tr>
        <w:tc>
          <w:tcPr/>
          <w:p>
            <w:pPr>
              <w:pStyle w:val="Compact"/>
            </w:pPr>
            <w:r>
              <w:t xml:space="preserve">Avaaz clicktivism (NGO/media)</w:t>
            </w:r>
          </w:p>
        </w:tc>
        <w:tc>
          <w:tcPr/>
          <w:p>
            <w:pPr>
              <w:pStyle w:val="Compact"/>
            </w:pPr>
            <w:r>
              <w:t xml:space="preserve">Professional nonprofit + digital platforms</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t xml:space="preserve">Opinion climates / elite agendas</w:t>
            </w:r>
          </w:p>
        </w:tc>
        <w:tc>
          <w:tcPr/>
          <w:p>
            <w:pPr>
              <w:pStyle w:val="Compact"/>
            </w:pPr>
            <w:r>
              <w:t xml:space="preserve">Often symbolic; material impacts vary/unspecified</w:t>
            </w:r>
          </w:p>
        </w:tc>
      </w:tr>
      <w:tr>
        <w:tc>
          <w:tcPr/>
          <w:p>
            <w:pPr>
              <w:pStyle w:val="Compact"/>
            </w:pPr>
            <w:r>
              <w:t xml:space="preserve">Starbucks bias training (corporate DEI)</w:t>
            </w:r>
          </w:p>
        </w:tc>
        <w:tc>
          <w:tcPr/>
          <w:p>
            <w:pPr>
              <w:pStyle w:val="Compact"/>
            </w:pPr>
            <w:r>
              <w:t xml:space="preserve">Corporate HR/PR</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Low</w:t>
            </w:r>
          </w:p>
        </w:tc>
        <w:tc>
          <w:tcPr/>
          <w:p>
            <w:pPr>
              <w:pStyle w:val="Compact"/>
            </w:pPr>
            <w:r>
              <w:t xml:space="preserve">Brand legitimacy / inclusion optics</w:t>
            </w:r>
          </w:p>
        </w:tc>
        <w:tc>
          <w:tcPr/>
          <w:p>
            <w:pPr>
              <w:pStyle w:val="Compact"/>
            </w:pPr>
            <w:r>
              <w:t xml:space="preserve">Symbolic-heavy; some policy changes; reversibility shown</w:t>
            </w:r>
          </w:p>
        </w:tc>
      </w:tr>
      <w:tr>
        <w:tc>
          <w:tcPr/>
          <w:p>
            <w:pPr>
              <w:pStyle w:val="Compact"/>
            </w:pPr>
            <w:r>
              <w:t xml:space="preserve">NYT op-ed controversy (media)</w:t>
            </w:r>
          </w:p>
        </w:tc>
        <w:tc>
          <w:tcPr/>
          <w:p>
            <w:pPr>
              <w:pStyle w:val="Compact"/>
            </w:pPr>
            <w:r>
              <w:t xml:space="preserve">Editorial institution</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Low (for staff); High (for some leaders)</w:t>
            </w:r>
          </w:p>
        </w:tc>
        <w:tc>
          <w:tcPr/>
          <w:p>
            <w:pPr>
              <w:pStyle w:val="Compact"/>
            </w:pPr>
            <w:r>
              <w:t xml:space="preserve">Internal standards/status order</w:t>
            </w:r>
          </w:p>
        </w:tc>
        <w:tc>
          <w:tcPr/>
          <w:p>
            <w:pPr>
              <w:pStyle w:val="Compact"/>
            </w:pPr>
            <w:r>
              <w:t xml:space="preserve">Symbolic-heavy (process/leadership change)</w:t>
            </w:r>
          </w:p>
        </w:tc>
      </w:tr>
      <w:tr>
        <w:tc>
          <w:tcPr/>
          <w:p>
            <w:pPr>
              <w:pStyle w:val="Compact"/>
            </w:pPr>
            <w:r>
              <w:t xml:space="preserve">Starbucks union elections (labor)</w:t>
            </w:r>
          </w:p>
        </w:tc>
        <w:tc>
          <w:tcPr/>
          <w:p>
            <w:pPr>
              <w:pStyle w:val="Compact"/>
            </w:pPr>
            <w:r>
              <w:t xml:space="preserve">Labor law institutions (NLRB)</w:t>
            </w:r>
          </w:p>
        </w:tc>
        <w:tc>
          <w:tcPr/>
          <w:p>
            <w:pPr>
              <w:pStyle w:val="Compact"/>
            </w:pPr>
            <w:r>
              <w:t xml:space="preserve">Low (conflictual)</w:t>
            </w:r>
          </w:p>
        </w:tc>
        <w:tc>
          <w:tcPr/>
          <w:p>
            <w:pPr>
              <w:pStyle w:val="Compact"/>
            </w:pPr>
            <w:r>
              <w:t xml:space="preserve">Medium</w:t>
            </w:r>
          </w:p>
        </w:tc>
        <w:tc>
          <w:tcPr/>
          <w:p>
            <w:pPr>
              <w:pStyle w:val="Compact"/>
            </w:pPr>
            <w:r>
              <w:t xml:space="preserve">Medium</w:t>
            </w:r>
          </w:p>
        </w:tc>
        <w:tc>
          <w:tcPr/>
          <w:p>
            <w:pPr>
              <w:pStyle w:val="Compact"/>
            </w:pPr>
            <w:r>
              <w:t xml:space="preserve">High</w:t>
            </w:r>
          </w:p>
        </w:tc>
        <w:tc>
          <w:tcPr/>
          <w:p>
            <w:pPr>
              <w:pStyle w:val="Compact"/>
            </w:pPr>
            <w:r>
              <w:t xml:space="preserve">Labor discipline/pay/scheduling</w:t>
            </w:r>
          </w:p>
        </w:tc>
        <w:tc>
          <w:tcPr/>
          <w:p>
            <w:pPr>
              <w:pStyle w:val="Compact"/>
            </w:pPr>
            <w:r>
              <w:t xml:space="preserve">Material-heavy (representation rights; bargaining conflict)</w:t>
            </w:r>
          </w:p>
        </w:tc>
      </w:tr>
    </w:tbl>
    <w:p>
      <w:pPr>
        <w:pStyle w:val="BodyText"/>
      </w:pPr>
      <w:r>
        <w:t xml:space="preserve">Support for key factual elements: Met sponsorship and “not particularly punk” institutionalization context; Yale’s committee/principles process; UMich plan metrics and later DEI shutdown; Avaaz membership and model; Starbucks training scale and later reversal; NYT standards statement and leadership changes; NLRB election totals and strike reporting.</w:t>
      </w:r>
      <w:r>
        <w:t xml:space="preserve"> </w:t>
      </w:r>
      <w:hyperlink r:id="rId39">
        <w:r>
          <w:rPr>
            <w:rStyle w:val="Hyperlink"/>
          </w:rPr>
          <w:t xml:space="preserve">[85]</w:t>
        </w:r>
      </w:hyperlink>
    </w:p>
    <w:p>
      <w:pPr>
        <w:pStyle w:val="BodyText"/>
      </w:pPr>
      <w:r>
        <w:rPr>
          <w:b/>
          <w:bCs/>
        </w:rPr>
        <w:t xml:space="preserve">Diagnostic test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Cost test</w:t>
            </w:r>
          </w:p>
        </w:tc>
        <w:tc>
          <w:tcPr/>
          <w:p>
            <w:pPr>
              <w:pStyle w:val="Compact"/>
            </w:pPr>
            <w:r>
              <w:t xml:space="preserve">Power‑locus test</w:t>
            </w:r>
          </w:p>
        </w:tc>
        <w:tc>
          <w:tcPr/>
          <w:p>
            <w:pPr>
              <w:pStyle w:val="Compact"/>
            </w:pPr>
            <w:r>
              <w:t xml:space="preserve">Substitution test</w:t>
            </w:r>
          </w:p>
        </w:tc>
        <w:tc>
          <w:tcPr/>
          <w:p>
            <w:pPr>
              <w:pStyle w:val="Compact"/>
            </w:pPr>
            <w:r>
              <w:t xml:space="preserve">Institutional comfort test</w:t>
            </w:r>
          </w:p>
        </w:tc>
      </w:tr>
      <w:tr>
        <w:tc>
          <w:tcPr/>
          <w:p>
            <w:pPr>
              <w:pStyle w:val="Compact"/>
            </w:pPr>
            <w:r>
              <w:t xml:space="preserve">Punk institutionalization</w:t>
            </w:r>
          </w:p>
        </w:tc>
        <w:tc>
          <w:tcPr/>
          <w:p>
            <w:pPr>
              <w:pStyle w:val="Compact"/>
            </w:pPr>
            <w:r>
              <w:t xml:space="preserve">Fails (low cost consumption; high commodification)</w:t>
            </w:r>
          </w:p>
        </w:tc>
        <w:tc>
          <w:tcPr/>
          <w:p>
            <w:pPr>
              <w:pStyle w:val="Compact"/>
            </w:pPr>
            <w:r>
              <w:t xml:space="preserve">Fails (targets aesthetics more than capital)</w:t>
            </w:r>
          </w:p>
        </w:tc>
        <w:tc>
          <w:tcPr/>
          <w:p>
            <w:pPr>
              <w:pStyle w:val="Compact"/>
            </w:pPr>
            <w:r>
              <w:t xml:space="preserve">Passes (rebellion becomes style)</w:t>
            </w:r>
          </w:p>
        </w:tc>
        <w:tc>
          <w:tcPr/>
          <w:p>
            <w:pPr>
              <w:pStyle w:val="Compact"/>
            </w:pPr>
            <w:r>
              <w:t xml:space="preserve">Passes (highly comfortable for elites)</w:t>
            </w:r>
          </w:p>
        </w:tc>
      </w:tr>
      <w:tr>
        <w:tc>
          <w:tcPr/>
          <w:p>
            <w:pPr>
              <w:pStyle w:val="Compact"/>
            </w:pPr>
            <w:r>
              <w:t xml:space="preserve">Yale renaming</w:t>
            </w:r>
          </w:p>
        </w:tc>
        <w:tc>
          <w:tcPr/>
          <w:p>
            <w:pPr>
              <w:pStyle w:val="Compact"/>
            </w:pPr>
            <w:r>
              <w:t xml:space="preserve">Mixed</w:t>
            </w:r>
          </w:p>
        </w:tc>
        <w:tc>
          <w:tcPr/>
          <w:p>
            <w:pPr>
              <w:pStyle w:val="Compact"/>
            </w:pPr>
            <w:r>
              <w:t xml:space="preserve">Mixed–fails (symbolic target)</w:t>
            </w:r>
          </w:p>
        </w:tc>
        <w:tc>
          <w:tcPr/>
          <w:p>
            <w:pPr>
              <w:pStyle w:val="Compact"/>
            </w:pPr>
            <w:r>
              <w:t xml:space="preserve">Passes (symbolic win dominates evidence)</w:t>
            </w:r>
          </w:p>
        </w:tc>
        <w:tc>
          <w:tcPr/>
          <w:p>
            <w:pPr>
              <w:pStyle w:val="Compact"/>
            </w:pPr>
            <w:r>
              <w:t xml:space="preserve">Passes (committee/process governance)</w:t>
            </w:r>
          </w:p>
        </w:tc>
      </w:tr>
      <w:tr>
        <w:tc>
          <w:tcPr/>
          <w:p>
            <w:pPr>
              <w:pStyle w:val="Compact"/>
            </w:pPr>
            <w:r>
              <w:t xml:space="preserve">UMich DEI 2.0</w:t>
            </w:r>
          </w:p>
        </w:tc>
        <w:tc>
          <w:tcPr/>
          <w:p>
            <w:pPr>
              <w:pStyle w:val="Compact"/>
            </w:pPr>
            <w:r>
              <w:t xml:space="preserve">Mixed</w:t>
            </w:r>
          </w:p>
        </w:tc>
        <w:tc>
          <w:tcPr/>
          <w:p>
            <w:pPr>
              <w:pStyle w:val="Compact"/>
            </w:pPr>
            <w:r>
              <w:t xml:space="preserve">Mixed (internal governance focus)</w:t>
            </w:r>
          </w:p>
        </w:tc>
        <w:tc>
          <w:tcPr/>
          <w:p>
            <w:pPr>
              <w:pStyle w:val="Compact"/>
            </w:pPr>
            <w:r>
              <w:t xml:space="preserve">Mixed</w:t>
            </w:r>
          </w:p>
        </w:tc>
        <w:tc>
          <w:tcPr/>
          <w:p>
            <w:pPr>
              <w:pStyle w:val="Compact"/>
            </w:pPr>
            <w:r>
              <w:t xml:space="preserve">Passes (metricized bureaucracy; reversible)</w:t>
            </w:r>
          </w:p>
        </w:tc>
      </w:tr>
      <w:tr>
        <w:tc>
          <w:tcPr/>
          <w:p>
            <w:pPr>
              <w:pStyle w:val="Compact"/>
            </w:pPr>
            <w:r>
              <w:t xml:space="preserve">Avaaz model</w:t>
            </w:r>
          </w:p>
        </w:tc>
        <w:tc>
          <w:tcPr/>
          <w:p>
            <w:pPr>
              <w:pStyle w:val="Compact"/>
            </w:pPr>
            <w:r>
              <w:t xml:space="preserve">Fails (low participation cost)</w:t>
            </w:r>
          </w:p>
        </w:tc>
        <w:tc>
          <w:tcPr/>
          <w:p>
            <w:pPr>
              <w:pStyle w:val="Compact"/>
            </w:pPr>
            <w:r>
              <w:t xml:space="preserve">Mixed (targets vary; often agenda-setting)</w:t>
            </w:r>
          </w:p>
        </w:tc>
        <w:tc>
          <w:tcPr/>
          <w:p>
            <w:pPr>
              <w:pStyle w:val="Compact"/>
            </w:pPr>
            <w:r>
              <w:t xml:space="preserve">Mixed–passes</w:t>
            </w:r>
          </w:p>
        </w:tc>
        <w:tc>
          <w:tcPr/>
          <w:p>
            <w:pPr>
              <w:pStyle w:val="Compact"/>
            </w:pPr>
            <w:r>
              <w:t xml:space="preserve">Passes (professionalized NGO field)</w:t>
            </w:r>
          </w:p>
        </w:tc>
      </w:tr>
      <w:tr>
        <w:tc>
          <w:tcPr/>
          <w:p>
            <w:pPr>
              <w:pStyle w:val="Compact"/>
            </w:pPr>
            <w:r>
              <w:t xml:space="preserve">Starbucks DEI</w:t>
            </w:r>
          </w:p>
        </w:tc>
        <w:tc>
          <w:tcPr/>
          <w:p>
            <w:pPr>
              <w:pStyle w:val="Compact"/>
            </w:pPr>
            <w:r>
              <w:t xml:space="preserve">Mixed (company bears bounded costs; participants low)</w:t>
            </w:r>
          </w:p>
        </w:tc>
        <w:tc>
          <w:tcPr/>
          <w:p>
            <w:pPr>
              <w:pStyle w:val="Compact"/>
            </w:pPr>
            <w:r>
              <w:t xml:space="preserve">Fails (risk/brand governance)</w:t>
            </w:r>
          </w:p>
        </w:tc>
        <w:tc>
          <w:tcPr/>
          <w:p>
            <w:pPr>
              <w:pStyle w:val="Compact"/>
            </w:pPr>
            <w:r>
              <w:t xml:space="preserve">Passes (symbolic-heavy response)</w:t>
            </w:r>
          </w:p>
        </w:tc>
        <w:tc>
          <w:tcPr/>
          <w:p>
            <w:pPr>
              <w:pStyle w:val="Compact"/>
            </w:pPr>
            <w:r>
              <w:t xml:space="preserve">Passes (HR/legal/PR legibility; reversibility)</w:t>
            </w:r>
          </w:p>
        </w:tc>
      </w:tr>
      <w:tr>
        <w:tc>
          <w:tcPr/>
          <w:p>
            <w:pPr>
              <w:pStyle w:val="Compact"/>
            </w:pPr>
            <w:r>
              <w:t xml:space="preserve">NYT op-ed</w:t>
            </w:r>
          </w:p>
        </w:tc>
        <w:tc>
          <w:tcPr/>
          <w:p>
            <w:pPr>
              <w:pStyle w:val="Compact"/>
            </w:pPr>
            <w:r>
              <w:t xml:space="preserve">Mixed (low for most; high for a few)</w:t>
            </w:r>
          </w:p>
        </w:tc>
        <w:tc>
          <w:tcPr/>
          <w:p>
            <w:pPr>
              <w:pStyle w:val="Compact"/>
            </w:pPr>
            <w:r>
              <w:t xml:space="preserve">Fails (internal status/governance)</w:t>
            </w:r>
          </w:p>
        </w:tc>
        <w:tc>
          <w:tcPr/>
          <w:p>
            <w:pPr>
              <w:pStyle w:val="Compact"/>
            </w:pPr>
            <w:r>
              <w:t xml:space="preserve">Passes</w:t>
            </w:r>
          </w:p>
        </w:tc>
        <w:tc>
          <w:tcPr/>
          <w:p>
            <w:pPr>
              <w:pStyle w:val="Compact"/>
            </w:pPr>
            <w:r>
              <w:t xml:space="preserve">Passes (process reform; reputational governance)</w:t>
            </w:r>
          </w:p>
        </w:tc>
      </w:tr>
      <w:tr>
        <w:tc>
          <w:tcPr/>
          <w:p>
            <w:pPr>
              <w:pStyle w:val="Compact"/>
            </w:pPr>
            <w:r>
              <w:t xml:space="preserve">Starbucks union drive</w:t>
            </w:r>
          </w:p>
        </w:tc>
        <w:tc>
          <w:tcPr/>
          <w:p>
            <w:pPr>
              <w:pStyle w:val="Compact"/>
            </w:pPr>
            <w:r>
              <w:t xml:space="preserve">Passes (high cost conflict)</w:t>
            </w:r>
          </w:p>
        </w:tc>
        <w:tc>
          <w:tcPr/>
          <w:p>
            <w:pPr>
              <w:pStyle w:val="Compact"/>
            </w:pPr>
            <w:r>
              <w:t xml:space="preserve">Passes (labor power locus)</w:t>
            </w:r>
          </w:p>
        </w:tc>
        <w:tc>
          <w:tcPr/>
          <w:p>
            <w:pPr>
              <w:pStyle w:val="Compact"/>
            </w:pPr>
            <w:r>
              <w:t xml:space="preserve">Fails (does not substitute; it is material)</w:t>
            </w:r>
          </w:p>
        </w:tc>
        <w:tc>
          <w:tcPr/>
          <w:p>
            <w:pPr>
              <w:pStyle w:val="Compact"/>
            </w:pPr>
            <w:r>
              <w:t xml:space="preserve">Fails (institutional discomfort by design)</w:t>
            </w:r>
          </w:p>
        </w:tc>
      </w:tr>
    </w:tbl>
    <w:p>
      <w:pPr>
        <w:pStyle w:val="BodyText"/>
      </w:pPr>
      <w:r>
        <w:t xml:space="preserve">The pattern that most strongly supports the rebel‑PMC paradox is the prevalence of</w:t>
      </w:r>
      <w:r>
        <w:t xml:space="preserve"> </w:t>
      </w:r>
      <w:r>
        <w:rPr>
          <w:b/>
          <w:bCs/>
        </w:rPr>
        <w:t xml:space="preserve">institutional comfort</w:t>
      </w:r>
      <w:r>
        <w:t xml:space="preserve"> </w:t>
      </w:r>
      <w:r>
        <w:t xml:space="preserve">in symbolic disputes: problems are framed as governance, training, commemoration, and standards—highly compatible with institutional self‑reproduction.</w:t>
      </w:r>
      <w:r>
        <w:t xml:space="preserve"> </w:t>
      </w:r>
      <w:hyperlink r:id="rId23">
        <w:r>
          <w:rPr>
            <w:rStyle w:val="Hyperlink"/>
          </w:rPr>
          <w:t xml:space="preserve">[28]</w:t>
        </w:r>
      </w:hyperlink>
    </w:p>
    <w:bookmarkEnd w:id="69"/>
    <w:bookmarkStart w:id="70" w:name="Xdf03a7c024a8fcc726edb4b8d0234953979e76d"/>
    <w:p>
      <w:pPr>
        <w:pStyle w:val="Heading3"/>
      </w:pPr>
      <w:r>
        <w:t xml:space="preserve">Comparative chart of symbolic vs material outcomes</w:t>
      </w:r>
    </w:p>
    <w:p>
      <w:pPr>
        <w:pStyle w:val="FirstParagraph"/>
      </w:pPr>
      <w:r>
        <w:t xml:space="preserve">The following chart operationalizes a</w:t>
      </w:r>
      <w:r>
        <w:t xml:space="preserve"> </w:t>
      </w:r>
      <w:r>
        <w:rPr>
          <w:i/>
          <w:iCs/>
        </w:rPr>
        <w:t xml:space="preserve">purely illustrative</w:t>
      </w:r>
      <w:r>
        <w:t xml:space="preserve"> </w:t>
      </w:r>
      <w:r>
        <w:t xml:space="preserve">coding: each case is assigned a symbolic/material share based on the dominant</w:t>
      </w:r>
      <w:r>
        <w:t xml:space="preserve"> </w:t>
      </w:r>
      <w:r>
        <w:rPr>
          <w:i/>
          <w:iCs/>
        </w:rPr>
        <w:t xml:space="preserve">documented</w:t>
      </w:r>
      <w:r>
        <w:t xml:space="preserve"> </w:t>
      </w:r>
      <w:r>
        <w:t xml:space="preserve">outcomes (e.g., policy statements, trainings, renamings, resignations) versus enforceable material leverage (e.g., representation election outcomes, bargaining/strike actions). This is an analytic aid, not a claim of precise measurement.</w:t>
      </w:r>
    </w:p>
    <w:p>
      <w:pPr>
        <w:pStyle w:val="BodyText"/>
      </w:pPr>
      <w:r>
        <w:t xml:space="preserve">Illustrative symbolic vs material outcome mix</w:t>
      </w:r>
      <w:r>
        <w:br/>
      </w:r>
    </w:p>
    <w:p>
      <w:pPr>
        <w:pStyle w:val="BodyText"/>
      </w:pPr>
      <w:r>
        <w:t xml:space="preserve">A complementary aggregate view of the same illustrative coding:</w:t>
      </w:r>
    </w:p>
    <w:p>
      <w:pPr>
        <w:pStyle w:val="SourceCode"/>
      </w:pPr>
      <w:r>
        <w:rPr>
          <w:rStyle w:val="VerbatimChar"/>
        </w:rPr>
        <w:t xml:space="preserve">pie title Aggregate outcome mix (illustrative across cases)</w:t>
      </w:r>
      <w:r>
        <w:br/>
      </w:r>
      <w:r>
        <w:rPr>
          <w:rStyle w:val="VerbatimChar"/>
        </w:rPr>
        <w:t xml:space="preserve">    "Symbolic outcomes" : 70</w:t>
      </w:r>
      <w:r>
        <w:br/>
      </w:r>
      <w:r>
        <w:rPr>
          <w:rStyle w:val="VerbatimChar"/>
        </w:rPr>
        <w:t xml:space="preserve">    "Material outcomes" : 30</w:t>
      </w:r>
    </w:p>
    <w:bookmarkEnd w:id="70"/>
    <w:bookmarkStart w:id="71" w:name="Xc182a6587dcb3137027360ff663777842ac99c1"/>
    <w:p>
      <w:pPr>
        <w:pStyle w:val="Heading3"/>
      </w:pPr>
      <w:r>
        <w:t xml:space="preserve">Steelman counterarguments and limits of evidence</w:t>
      </w:r>
    </w:p>
    <w:p>
      <w:pPr>
        <w:pStyle w:val="FirstParagraph"/>
      </w:pPr>
      <w:r>
        <w:t xml:space="preserve">A strong steelman of “symbolic rebellion” is that symbolism and norms are not epiphenomenal: legitimacy, discourse, and cultural framing can shift what is politically possible; symbolic concessions can be first-mover signals that enable later material change. Resource mobilization theory itself does not dismiss symbolic action; it emphasizes how movements choose tactics under constraints and how organizations interact with authorities and publics.</w:t>
      </w:r>
      <w:r>
        <w:t xml:space="preserve"> </w:t>
      </w:r>
      <w:hyperlink r:id="rId23">
        <w:r>
          <w:rPr>
            <w:rStyle w:val="Hyperlink"/>
          </w:rPr>
          <w:t xml:space="preserve">[29]</w:t>
        </w:r>
      </w:hyperlink>
    </w:p>
    <w:p>
      <w:pPr>
        <w:pStyle w:val="BodyText"/>
      </w:pPr>
      <w:r>
        <w:t xml:space="preserve">A second steelman is that DEI and institutional reforms can include material redistribution (scholarships, hiring changes, workplace policies) and can improve lived experience even without “revolution.” For example, university DEI planning documents include commitments that can be operationalized, and reporting indicates some DEI‑categorized spending included student aid programs; dismissing all such spending as “symbolic” would be analytically wrong.</w:t>
      </w:r>
      <w:r>
        <w:t xml:space="preserve"> </w:t>
      </w:r>
      <w:hyperlink r:id="rId29">
        <w:r>
          <w:rPr>
            <w:rStyle w:val="Hyperlink"/>
          </w:rPr>
          <w:t xml:space="preserve">[86]</w:t>
        </w:r>
      </w:hyperlink>
    </w:p>
    <w:p>
      <w:pPr>
        <w:pStyle w:val="BodyText"/>
      </w:pPr>
      <w:r>
        <w:t xml:space="preserve">A third steelman is epistemic humility: many case outcomes are hard to attribute causally. For Avaaz, the report can document the model and finances and the “low‑friction” premise, but specific causal links between petitions and policy changes are often under‑specified in accessible sources; therefore, claims about “avoidance of structural change” must be treated as</w:t>
      </w:r>
      <w:r>
        <w:t xml:space="preserve"> </w:t>
      </w:r>
      <w:r>
        <w:rPr>
          <w:i/>
          <w:iCs/>
        </w:rPr>
        <w:t xml:space="preserve">plausibility claims</w:t>
      </w:r>
      <w:r>
        <w:t xml:space="preserve"> </w:t>
      </w:r>
      <w:r>
        <w:t xml:space="preserve">rather than definitive proofs unless a specific campaign is traced through policy counterfactuals.</w:t>
      </w:r>
      <w:r>
        <w:t xml:space="preserve"> </w:t>
      </w:r>
      <w:hyperlink r:id="rId38">
        <w:r>
          <w:rPr>
            <w:rStyle w:val="Hyperlink"/>
          </w:rPr>
          <w:t xml:space="preserve">[87]</w:t>
        </w:r>
      </w:hyperlink>
    </w:p>
    <w:p>
      <w:pPr>
        <w:pStyle w:val="BodyText"/>
      </w:pPr>
      <w:r>
        <w:t xml:space="preserve">Finally, the framework should not be universalized as “all leftists.” The report’s unit of analysis is</w:t>
      </w:r>
      <w:r>
        <w:t xml:space="preserve"> </w:t>
      </w:r>
      <w:r>
        <w:rPr>
          <w:i/>
          <w:iCs/>
        </w:rPr>
        <w:t xml:space="preserve">institutional patterns</w:t>
      </w:r>
      <w:r>
        <w:t xml:space="preserve"> </w:t>
      </w:r>
      <w:r>
        <w:t xml:space="preserve">and</w:t>
      </w:r>
      <w:r>
        <w:t xml:space="preserve"> </w:t>
      </w:r>
      <w:r>
        <w:rPr>
          <w:i/>
          <w:iCs/>
        </w:rPr>
        <w:t xml:space="preserve">tactical equilibria</w:t>
      </w:r>
      <w:r>
        <w:t xml:space="preserve">, not the sincerity or moral worth of individuals. The contrast case (labor organizing) demonstrates that high-cost, materially focused contention exists within the same broad cultural moment and even within the same corporation—showing that substitution is a contingent outcome, not an iron law.</w:t>
      </w:r>
      <w:r>
        <w:t xml:space="preserve"> </w:t>
      </w:r>
      <w:hyperlink r:id="rId64">
        <w:r>
          <w:rPr>
            <w:rStyle w:val="Hyperlink"/>
          </w:rPr>
          <w:t xml:space="preserve">[88]</w:t>
        </w:r>
      </w:hyperlink>
    </w:p>
    <w:bookmarkEnd w:id="71"/>
    <w:bookmarkEnd w:id="72"/>
    <w:bookmarkEnd w:id="73"/>
    <w:bookmarkEnd w:id="74"/>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r>
        <w:t xml:space="preserve">https://libcom.org/article/professional-managerial-class-barbara-and-john-ehrenreich</w:t>
      </w:r>
    </w:p>
    <w:p>
      <w:pPr>
        <w:pStyle w:val="BodyText"/>
      </w:pPr>
      <w:hyperlink r:id="rId21">
        <w:r>
          <w:rPr>
            <w:rStyle w:val="Hyperlink"/>
          </w:rPr>
          <w:t xml:space="preserve">https://libcom.org/article/professional-managerial-class-barbara-and-john-ehrenreich</w:t>
        </w:r>
      </w:hyperlink>
    </w:p>
    <w:p>
      <w:pPr>
        <w:pStyle w:val="BodyText"/>
      </w:pPr>
      <w:hyperlink r:id="rId22">
        <w:r>
          <w:rPr>
            <w:rStyle w:val="Hyperlink"/>
          </w:rPr>
          <w:t xml:space="preserve">[2]</w:t>
        </w:r>
      </w:hyperlink>
      <w:r>
        <w:t xml:space="preserve"> </w:t>
      </w:r>
      <w:hyperlink r:id="rId22">
        <w:r>
          <w:rPr>
            <w:rStyle w:val="Hyperlink"/>
          </w:rPr>
          <w:t xml:space="preserve">[61]</w:t>
        </w:r>
      </w:hyperlink>
      <w:r>
        <w:t xml:space="preserve"> </w:t>
      </w:r>
      <w:hyperlink r:id="rId22">
        <w:r>
          <w:rPr>
            <w:rStyle w:val="Hyperlink"/>
          </w:rPr>
          <w:t xml:space="preserve">[62]</w:t>
        </w:r>
      </w:hyperlink>
      <w:r>
        <w:t xml:space="preserve"> </w:t>
      </w:r>
      <w:hyperlink r:id="rId22">
        <w:r>
          <w:rPr>
            <w:rStyle w:val="Hyperlink"/>
          </w:rPr>
          <w:t xml:space="preserve">[71]</w:t>
        </w:r>
      </w:hyperlink>
      <w:r>
        <w:t xml:space="preserve"> </w:t>
      </w:r>
      <w:hyperlink r:id="rId22">
        <w:r>
          <w:rPr>
            <w:rStyle w:val="Hyperlink"/>
          </w:rPr>
          <w:t xml:space="preserve">[84]</w:t>
        </w:r>
      </w:hyperlink>
      <w:r>
        <w:t xml:space="preserve"> </w:t>
      </w:r>
      <w:r>
        <w:t xml:space="preserve">https://investor.starbucks.com/news/financial-releases/news-details/2018/Starbucks-to-Close-All-Stores-Nationwide-for-Racial-Bias-Education-onMay-29/default.aspx</w:t>
      </w:r>
    </w:p>
    <w:p>
      <w:pPr>
        <w:pStyle w:val="BodyText"/>
      </w:pPr>
      <w:hyperlink r:id="rId22">
        <w:r>
          <w:rPr>
            <w:rStyle w:val="Hyperlink"/>
          </w:rPr>
          <w:t xml:space="preserve">https://investor.starbucks.com/news/financial-releases/news-details/2018/Starbucks-to-Close-All-Stores-Nationwide-for-Racial-Bias-Education-onMay-29/default.aspx</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[10]</w:t>
        </w:r>
      </w:hyperlink>
      <w:r>
        <w:t xml:space="preserve"> </w:t>
      </w:r>
      <w:hyperlink r:id="rId23">
        <w:r>
          <w:rPr>
            <w:rStyle w:val="Hyperlink"/>
          </w:rPr>
          <w:t xml:space="preserve">[11]</w:t>
        </w:r>
      </w:hyperlink>
      <w:r>
        <w:t xml:space="preserve"> </w:t>
      </w:r>
      <w:hyperlink r:id="rId23">
        <w:r>
          <w:rPr>
            <w:rStyle w:val="Hyperlink"/>
          </w:rPr>
          <w:t xml:space="preserve">[15]</w:t>
        </w:r>
      </w:hyperlink>
      <w:r>
        <w:t xml:space="preserve"> </w:t>
      </w:r>
      <w:hyperlink r:id="rId23">
        <w:r>
          <w:rPr>
            <w:rStyle w:val="Hyperlink"/>
          </w:rPr>
          <w:t xml:space="preserve">[16]</w:t>
        </w:r>
      </w:hyperlink>
      <w:r>
        <w:t xml:space="preserve"> </w:t>
      </w:r>
      <w:hyperlink r:id="rId23">
        <w:r>
          <w:rPr>
            <w:rStyle w:val="Hyperlink"/>
          </w:rPr>
          <w:t xml:space="preserve">[18]</w:t>
        </w:r>
      </w:hyperlink>
      <w:r>
        <w:t xml:space="preserve"> </w:t>
      </w:r>
      <w:hyperlink r:id="rId23">
        <w:r>
          <w:rPr>
            <w:rStyle w:val="Hyperlink"/>
          </w:rPr>
          <w:t xml:space="preserve">[24]</w:t>
        </w:r>
      </w:hyperlink>
      <w:r>
        <w:t xml:space="preserve"> </w:t>
      </w:r>
      <w:hyperlink r:id="rId23">
        <w:r>
          <w:rPr>
            <w:rStyle w:val="Hyperlink"/>
          </w:rPr>
          <w:t xml:space="preserve">[25]</w:t>
        </w:r>
      </w:hyperlink>
      <w:r>
        <w:t xml:space="preserve"> </w:t>
      </w:r>
      <w:hyperlink r:id="rId23">
        <w:r>
          <w:rPr>
            <w:rStyle w:val="Hyperlink"/>
          </w:rPr>
          <w:t xml:space="preserve">[28]</w:t>
        </w:r>
      </w:hyperlink>
      <w:r>
        <w:t xml:space="preserve"> </w:t>
      </w:r>
      <w:hyperlink r:id="rId23">
        <w:r>
          <w:rPr>
            <w:rStyle w:val="Hyperlink"/>
          </w:rPr>
          <w:t xml:space="preserve">[29]</w:t>
        </w:r>
      </w:hyperlink>
      <w:r>
        <w:t xml:space="preserve"> </w:t>
      </w:r>
      <w:hyperlink r:id="rId23">
        <w:r>
          <w:rPr>
            <w:rStyle w:val="Hyperlink"/>
          </w:rPr>
          <w:t xml:space="preserve">[33]</w:t>
        </w:r>
      </w:hyperlink>
      <w:r>
        <w:t xml:space="preserve"> </w:t>
      </w:r>
      <w:hyperlink r:id="rId23">
        <w:r>
          <w:rPr>
            <w:rStyle w:val="Hyperlink"/>
          </w:rPr>
          <w:t xml:space="preserve">[35]</w:t>
        </w:r>
      </w:hyperlink>
      <w:r>
        <w:t xml:space="preserve"> </w:t>
      </w:r>
      <w:hyperlink r:id="rId23">
        <w:r>
          <w:rPr>
            <w:rStyle w:val="Hyperlink"/>
          </w:rPr>
          <w:t xml:space="preserve">[39]</w:t>
        </w:r>
      </w:hyperlink>
      <w:r>
        <w:t xml:space="preserve"> </w:t>
      </w:r>
      <w:hyperlink r:id="rId23">
        <w:r>
          <w:rPr>
            <w:rStyle w:val="Hyperlink"/>
          </w:rPr>
          <w:t xml:space="preserve">[40]</w:t>
        </w:r>
      </w:hyperlink>
      <w:r>
        <w:t xml:space="preserve"> </w:t>
      </w:r>
      <w:hyperlink r:id="rId23">
        <w:r>
          <w:rPr>
            <w:rStyle w:val="Hyperlink"/>
          </w:rPr>
          <w:t xml:space="preserve">[52]</w:t>
        </w:r>
      </w:hyperlink>
      <w:r>
        <w:t xml:space="preserve"> </w:t>
      </w:r>
      <w:hyperlink r:id="rId23">
        <w:r>
          <w:rPr>
            <w:rStyle w:val="Hyperlink"/>
          </w:rPr>
          <w:t xml:space="preserve">[55]</w:t>
        </w:r>
      </w:hyperlink>
      <w:r>
        <w:t xml:space="preserve"> </w:t>
      </w:r>
      <w:hyperlink r:id="rId23">
        <w:r>
          <w:rPr>
            <w:rStyle w:val="Hyperlink"/>
          </w:rPr>
          <w:t xml:space="preserve">[70]</w:t>
        </w:r>
      </w:hyperlink>
      <w:r>
        <w:t xml:space="preserve"> </w:t>
      </w:r>
      <w:hyperlink r:id="rId23">
        <w:r>
          <w:rPr>
            <w:rStyle w:val="Hyperlink"/>
          </w:rPr>
          <w:t xml:space="preserve">[77]</w:t>
        </w:r>
      </w:hyperlink>
      <w:r>
        <w:t xml:space="preserve"> </w:t>
      </w:r>
      <w:r>
        <w:t xml:space="preserve">https://users.ssc.wisc.edu/~peoliver/SOC924/Articles/McCarthyZald1977.pdf</w:t>
      </w:r>
    </w:p>
    <w:p>
      <w:pPr>
        <w:pStyle w:val="BodyText"/>
      </w:pPr>
      <w:hyperlink r:id="rId23">
        <w:r>
          <w:rPr>
            <w:rStyle w:val="Hyperlink"/>
          </w:rPr>
          <w:t xml:space="preserve">https://users.ssc.wisc.edu/~peoliver/SOC924/Articles/McCarthyZald1977.pdf</w:t>
        </w:r>
      </w:hyperlink>
    </w:p>
    <w:p>
      <w:pPr>
        <w:pStyle w:val="BodyText"/>
      </w:pPr>
      <w:hyperlink r:id="rId25">
        <w:r>
          <w:rPr>
            <w:rStyle w:val="Hyperlink"/>
          </w:rPr>
          <w:t xml:space="preserve">[5]</w:t>
        </w:r>
      </w:hyperlink>
      <w:r>
        <w:t xml:space="preserve"> </w:t>
      </w:r>
      <w:hyperlink r:id="rId25">
        <w:r>
          <w:rPr>
            <w:rStyle w:val="Hyperlink"/>
          </w:rPr>
          <w:t xml:space="preserve">[8]</w:t>
        </w:r>
      </w:hyperlink>
      <w:r>
        <w:t xml:space="preserve"> </w:t>
      </w:r>
      <w:hyperlink r:id="rId25">
        <w:r>
          <w:rPr>
            <w:rStyle w:val="Hyperlink"/>
          </w:rPr>
          <w:t xml:space="preserve">[12]</w:t>
        </w:r>
      </w:hyperlink>
      <w:r>
        <w:t xml:space="preserve"> </w:t>
      </w:r>
      <w:hyperlink r:id="rId25">
        <w:r>
          <w:rPr>
            <w:rStyle w:val="Hyperlink"/>
          </w:rPr>
          <w:t xml:space="preserve">[42]</w:t>
        </w:r>
      </w:hyperlink>
      <w:r>
        <w:t xml:space="preserve"> </w:t>
      </w:r>
      <w:hyperlink r:id="rId25">
        <w:r>
          <w:rPr>
            <w:rStyle w:val="Hyperlink"/>
          </w:rPr>
          <w:t xml:space="preserve">[44]</w:t>
        </w:r>
      </w:hyperlink>
      <w:r>
        <w:t xml:space="preserve"> </w:t>
      </w:r>
      <w:hyperlink r:id="rId25">
        <w:r>
          <w:rPr>
            <w:rStyle w:val="Hyperlink"/>
          </w:rPr>
          <w:t xml:space="preserve">[46]</w:t>
        </w:r>
      </w:hyperlink>
      <w:r>
        <w:t xml:space="preserve"> </w:t>
      </w:r>
      <w:hyperlink r:id="rId25">
        <w:r>
          <w:rPr>
            <w:rStyle w:val="Hyperlink"/>
          </w:rPr>
          <w:t xml:space="preserve">[53]</w:t>
        </w:r>
      </w:hyperlink>
      <w:r>
        <w:t xml:space="preserve"> </w:t>
      </w:r>
      <w:r>
        <w:t xml:space="preserve">https://news.yale.edu/2017/02/11/yale-change-calhoun-college-s-name-honor-grace-murray-hopper-0</w:t>
      </w:r>
    </w:p>
    <w:p>
      <w:pPr>
        <w:pStyle w:val="BodyText"/>
      </w:pPr>
      <w:hyperlink r:id="rId25">
        <w:r>
          <w:rPr>
            <w:rStyle w:val="Hyperlink"/>
          </w:rPr>
          <w:t xml:space="preserve">https://news.yale.edu/2017/02/11/yale-change-calhoun-college-s-name-honor-grace-murray-hopper-0</w:t>
        </w:r>
      </w:hyperlink>
    </w:p>
    <w:p>
      <w:pPr>
        <w:pStyle w:val="BodyText"/>
      </w:pPr>
      <w:hyperlink r:id="rId26">
        <w:r>
          <w:rPr>
            <w:rStyle w:val="Hyperlink"/>
          </w:rPr>
          <w:t xml:space="preserve">[9]</w:t>
        </w:r>
      </w:hyperlink>
      <w:r>
        <w:t xml:space="preserve"> </w:t>
      </w:r>
      <w:hyperlink r:id="rId26">
        <w:r>
          <w:rPr>
            <w:rStyle w:val="Hyperlink"/>
          </w:rPr>
          <w:t xml:space="preserve">[64]</w:t>
        </w:r>
      </w:hyperlink>
      <w:r>
        <w:t xml:space="preserve"> </w:t>
      </w:r>
      <w:r>
        <w:t xml:space="preserve">https://www.eater.com/2018/5/21/17375806/starbucks-no-purchase-policy-third-place-bathrooms</w:t>
      </w:r>
    </w:p>
    <w:p>
      <w:pPr>
        <w:pStyle w:val="BodyText"/>
      </w:pPr>
      <w:hyperlink r:id="rId26">
        <w:r>
          <w:rPr>
            <w:rStyle w:val="Hyperlink"/>
          </w:rPr>
          <w:t xml:space="preserve">https://www.eater.com/2018/5/21/17375806/starbucks-no-purchase-policy-third-place-bathrooms</w:t>
        </w:r>
      </w:hyperlink>
    </w:p>
    <w:p>
      <w:pPr>
        <w:pStyle w:val="BodyText"/>
      </w:pPr>
      <w:hyperlink r:id="rId27">
        <w:r>
          <w:rPr>
            <w:rStyle w:val="Hyperlink"/>
          </w:rPr>
          <w:t xml:space="preserve">[13]</w:t>
        </w:r>
      </w:hyperlink>
      <w:r>
        <w:t xml:space="preserve"> </w:t>
      </w:r>
      <w:hyperlink r:id="rId27">
        <w:r>
          <w:rPr>
            <w:rStyle w:val="Hyperlink"/>
          </w:rPr>
          <w:t xml:space="preserve">[14]</w:t>
        </w:r>
      </w:hyperlink>
      <w:r>
        <w:t xml:space="preserve"> </w:t>
      </w:r>
      <w:hyperlink r:id="rId27">
        <w:r>
          <w:rPr>
            <w:rStyle w:val="Hyperlink"/>
          </w:rPr>
          <w:t xml:space="preserve">[26]</w:t>
        </w:r>
      </w:hyperlink>
      <w:r>
        <w:t xml:space="preserve"> </w:t>
      </w:r>
      <w:hyperlink r:id="rId27">
        <w:r>
          <w:rPr>
            <w:rStyle w:val="Hyperlink"/>
          </w:rPr>
          <w:t xml:space="preserve">[43]</w:t>
        </w:r>
      </w:hyperlink>
      <w:r>
        <w:t xml:space="preserve"> </w:t>
      </w:r>
      <w:r>
        <w:t xml:space="preserve">https://americanaffairsjournal.org/2017/11/progressive-neoliberalism-trump-beyond/</w:t>
      </w:r>
    </w:p>
    <w:p>
      <w:pPr>
        <w:pStyle w:val="BodyText"/>
      </w:pPr>
      <w:hyperlink r:id="rId27">
        <w:r>
          <w:rPr>
            <w:rStyle w:val="Hyperlink"/>
          </w:rPr>
          <w:t xml:space="preserve">https://americanaffairsjournal.org/2017/11/progressive-neoliberalism-trump-beyond/</w:t>
        </w:r>
      </w:hyperlink>
    </w:p>
    <w:p>
      <w:pPr>
        <w:pStyle w:val="BodyText"/>
      </w:pPr>
      <w:hyperlink r:id="rId29">
        <w:r>
          <w:rPr>
            <w:rStyle w:val="Hyperlink"/>
          </w:rPr>
          <w:t xml:space="preserve">[17]</w:t>
        </w:r>
      </w:hyperlink>
      <w:r>
        <w:t xml:space="preserve"> </w:t>
      </w:r>
      <w:hyperlink r:id="rId29">
        <w:r>
          <w:rPr>
            <w:rStyle w:val="Hyperlink"/>
          </w:rPr>
          <w:t xml:space="preserve">[48]</w:t>
        </w:r>
      </w:hyperlink>
      <w:r>
        <w:t xml:space="preserve"> </w:t>
      </w:r>
      <w:hyperlink r:id="rId29">
        <w:r>
          <w:rPr>
            <w:rStyle w:val="Hyperlink"/>
          </w:rPr>
          <w:t xml:space="preserve">[49]</w:t>
        </w:r>
      </w:hyperlink>
      <w:r>
        <w:t xml:space="preserve"> </w:t>
      </w:r>
      <w:hyperlink r:id="rId29">
        <w:r>
          <w:rPr>
            <w:rStyle w:val="Hyperlink"/>
          </w:rPr>
          <w:t xml:space="preserve">[86]</w:t>
        </w:r>
      </w:hyperlink>
      <w:r>
        <w:t xml:space="preserve"> </w:t>
      </w:r>
      <w:r>
        <w:t xml:space="preserve">https://cdn.serc.carleton.edu/files/ASCN/webinars/2024/STEMseries/office-of-the-president-and-vp-secretary-university_dei-2.0-plan-fi.pdf</w:t>
      </w:r>
    </w:p>
    <w:p>
      <w:pPr>
        <w:pStyle w:val="BodyText"/>
      </w:pPr>
      <w:hyperlink r:id="rId29">
        <w:r>
          <w:rPr>
            <w:rStyle w:val="Hyperlink"/>
          </w:rPr>
          <w:t xml:space="preserve">https://cdn.serc.carleton.edu/files/ASCN/webinars/2024/STEMseries/office-of-the-president-and-vp-secretary-university_dei-2.0-plan-fi.pdf</w:t>
        </w:r>
      </w:hyperlink>
    </w:p>
    <w:p>
      <w:pPr>
        <w:pStyle w:val="BodyText"/>
      </w:pPr>
      <w:hyperlink r:id="rId30">
        <w:r>
          <w:rPr>
            <w:rStyle w:val="Hyperlink"/>
          </w:rPr>
          <w:t xml:space="preserve">[19]</w:t>
        </w:r>
      </w:hyperlink>
      <w:r>
        <w:t xml:space="preserve"> </w:t>
      </w:r>
      <w:hyperlink r:id="rId30">
        <w:r>
          <w:rPr>
            <w:rStyle w:val="Hyperlink"/>
          </w:rPr>
          <w:t xml:space="preserve">[68]</w:t>
        </w:r>
      </w:hyperlink>
      <w:r>
        <w:t xml:space="preserve"> </w:t>
      </w:r>
      <w:r>
        <w:t xml:space="preserve">https://ndg.asc.upenn.edu/wp-content/uploads/2017/08/Ideology-motivated-reasoning.pdf</w:t>
      </w:r>
    </w:p>
    <w:p>
      <w:pPr>
        <w:pStyle w:val="BodyText"/>
      </w:pPr>
      <w:hyperlink r:id="rId30">
        <w:r>
          <w:rPr>
            <w:rStyle w:val="Hyperlink"/>
          </w:rPr>
          <w:t xml:space="preserve">https://ndg.asc.upenn.edu/wp-content/uploads/2017/08/Ideology-motivated-reasoning.pdf</w:t>
        </w:r>
      </w:hyperlink>
    </w:p>
    <w:p>
      <w:pPr>
        <w:pStyle w:val="BodyText"/>
      </w:pPr>
      <w:hyperlink r:id="rId31">
        <w:r>
          <w:rPr>
            <w:rStyle w:val="Hyperlink"/>
          </w:rPr>
          <w:t xml:space="preserve">[20]</w:t>
        </w:r>
      </w:hyperlink>
      <w:r>
        <w:t xml:space="preserve"> </w:t>
      </w:r>
      <w:hyperlink r:id="rId31">
        <w:r>
          <w:rPr>
            <w:rStyle w:val="Hyperlink"/>
          </w:rPr>
          <w:t xml:space="preserve">[23]</w:t>
        </w:r>
      </w:hyperlink>
      <w:r>
        <w:t xml:space="preserve"> </w:t>
      </w:r>
      <w:r>
        <w:t xml:space="preserve">https://chicagounbound.uchicago.edu/law_and_economics/542/</w:t>
      </w:r>
    </w:p>
    <w:p>
      <w:pPr>
        <w:pStyle w:val="BodyText"/>
      </w:pPr>
      <w:hyperlink r:id="rId31">
        <w:r>
          <w:rPr>
            <w:rStyle w:val="Hyperlink"/>
          </w:rPr>
          <w:t xml:space="preserve">https://chicagounbound.uchicago.edu/law_and_economics/542/</w:t>
        </w:r>
      </w:hyperlink>
    </w:p>
    <w:p>
      <w:pPr>
        <w:pStyle w:val="BodyText"/>
      </w:pPr>
      <w:hyperlink r:id="rId32">
        <w:r>
          <w:rPr>
            <w:rStyle w:val="Hyperlink"/>
          </w:rPr>
          <w:t xml:space="preserve">[21]</w:t>
        </w:r>
      </w:hyperlink>
      <w:r>
        <w:t xml:space="preserve"> </w:t>
      </w:r>
      <w:r>
        <w:t xml:space="preserve">https://onlinelibrary.wiley.com/doi/abs/10.1111/j.1460-2466.1974.tb00367.x</w:t>
      </w:r>
    </w:p>
    <w:p>
      <w:pPr>
        <w:pStyle w:val="BodyText"/>
      </w:pPr>
      <w:hyperlink r:id="rId32">
        <w:r>
          <w:rPr>
            <w:rStyle w:val="Hyperlink"/>
          </w:rPr>
          <w:t xml:space="preserve">https://onlinelibrary.wiley.com/doi/abs/10.1111/j.1460-2466.1974.tb00367.x</w:t>
        </w:r>
      </w:hyperlink>
    </w:p>
    <w:p>
      <w:pPr>
        <w:pStyle w:val="BodyText"/>
      </w:pPr>
      <w:hyperlink r:id="rId33">
        <w:r>
          <w:rPr>
            <w:rStyle w:val="Hyperlink"/>
          </w:rPr>
          <w:t xml:space="preserve">[22]</w:t>
        </w:r>
      </w:hyperlink>
      <w:r>
        <w:t xml:space="preserve"> </w:t>
      </w:r>
      <w:r>
        <w:t xml:space="preserve">https://www.thecut.com/2012/09/next-year-at-the-met-punk-chaos-to-couture.html</w:t>
      </w:r>
    </w:p>
    <w:p>
      <w:pPr>
        <w:pStyle w:val="BodyText"/>
      </w:pPr>
      <w:hyperlink r:id="rId33">
        <w:r>
          <w:rPr>
            <w:rStyle w:val="Hyperlink"/>
          </w:rPr>
          <w:t xml:space="preserve">https://www.thecut.com/2012/09/next-year-at-the-met-punk-chaos-to-couture.html</w:t>
        </w:r>
      </w:hyperlink>
    </w:p>
    <w:p>
      <w:pPr>
        <w:pStyle w:val="BodyText"/>
      </w:pPr>
      <w:hyperlink r:id="rId35">
        <w:r>
          <w:rPr>
            <w:rStyle w:val="Hyperlink"/>
          </w:rPr>
          <w:t xml:space="preserve">[27]</w:t>
        </w:r>
      </w:hyperlink>
      <w:r>
        <w:t xml:space="preserve"> </w:t>
      </w:r>
      <w:r>
        <w:t xml:space="preserve">https://books.google.com/books/about/Diminished_Democracy.html?id=jbBWNLkChrIC</w:t>
      </w:r>
    </w:p>
    <w:p>
      <w:pPr>
        <w:pStyle w:val="BodyText"/>
      </w:pPr>
      <w:hyperlink r:id="rId35">
        <w:r>
          <w:rPr>
            <w:rStyle w:val="Hyperlink"/>
          </w:rPr>
          <w:t xml:space="preserve">https://books.google.com/books/about/Diminished_Democracy.html?id=jbBWNLkChrIC</w:t>
        </w:r>
      </w:hyperlink>
    </w:p>
    <w:p>
      <w:pPr>
        <w:pStyle w:val="BodyText"/>
      </w:pPr>
      <w:hyperlink r:id="rId38">
        <w:r>
          <w:rPr>
            <w:rStyle w:val="Hyperlink"/>
          </w:rPr>
          <w:t xml:space="preserve">[30]</w:t>
        </w:r>
      </w:hyperlink>
      <w:r>
        <w:t xml:space="preserve"> </w:t>
      </w:r>
      <w:hyperlink r:id="rId38">
        <w:r>
          <w:rPr>
            <w:rStyle w:val="Hyperlink"/>
          </w:rPr>
          <w:t xml:space="preserve">[47]</w:t>
        </w:r>
      </w:hyperlink>
      <w:r>
        <w:t xml:space="preserve"> </w:t>
      </w:r>
      <w:hyperlink r:id="rId38">
        <w:r>
          <w:rPr>
            <w:rStyle w:val="Hyperlink"/>
          </w:rPr>
          <w:t xml:space="preserve">[54]</w:t>
        </w:r>
      </w:hyperlink>
      <w:r>
        <w:t xml:space="preserve"> </w:t>
      </w:r>
      <w:hyperlink r:id="rId38">
        <w:r>
          <w:rPr>
            <w:rStyle w:val="Hyperlink"/>
          </w:rPr>
          <w:t xml:space="preserve">[87]</w:t>
        </w:r>
      </w:hyperlink>
      <w:r>
        <w:t xml:space="preserve"> </w:t>
      </w:r>
      <w:r>
        <w:t xml:space="preserve">https://avaazimages.avaaz.org/Avaaz%20-%2064th%20GEF%20council%20meeting%20paper%20%28June%202023%29.pdf</w:t>
      </w:r>
    </w:p>
    <w:p>
      <w:pPr>
        <w:pStyle w:val="BodyText"/>
      </w:pPr>
      <w:hyperlink r:id="rId38">
        <w:r>
          <w:rPr>
            <w:rStyle w:val="Hyperlink"/>
          </w:rPr>
          <w:t xml:space="preserve">https://avaazimages.avaaz.org/Avaaz%20-%2064th%20GEF%20council%20meeting%20paper%20%28June%202023%29.pdf</w:t>
        </w:r>
      </w:hyperlink>
    </w:p>
    <w:p>
      <w:pPr>
        <w:pStyle w:val="BodyText"/>
      </w:pPr>
      <w:hyperlink r:id="rId39">
        <w:r>
          <w:rPr>
            <w:rStyle w:val="Hyperlink"/>
          </w:rPr>
          <w:t xml:space="preserve">[31]</w:t>
        </w:r>
      </w:hyperlink>
      <w:r>
        <w:t xml:space="preserve"> </w:t>
      </w:r>
      <w:hyperlink r:id="rId39">
        <w:r>
          <w:rPr>
            <w:rStyle w:val="Hyperlink"/>
          </w:rPr>
          <w:t xml:space="preserve">[34]</w:t>
        </w:r>
      </w:hyperlink>
      <w:r>
        <w:t xml:space="preserve"> </w:t>
      </w:r>
      <w:hyperlink r:id="rId39">
        <w:r>
          <w:rPr>
            <w:rStyle w:val="Hyperlink"/>
          </w:rPr>
          <w:t xml:space="preserve">[38]</w:t>
        </w:r>
      </w:hyperlink>
      <w:r>
        <w:t xml:space="preserve"> </w:t>
      </w:r>
      <w:hyperlink r:id="rId39">
        <w:r>
          <w:rPr>
            <w:rStyle w:val="Hyperlink"/>
          </w:rPr>
          <w:t xml:space="preserve">[78]</w:t>
        </w:r>
      </w:hyperlink>
      <w:r>
        <w:t xml:space="preserve"> </w:t>
      </w:r>
      <w:hyperlink r:id="rId39">
        <w:r>
          <w:rPr>
            <w:rStyle w:val="Hyperlink"/>
          </w:rPr>
          <w:t xml:space="preserve">[85]</w:t>
        </w:r>
      </w:hyperlink>
      <w:r>
        <w:t xml:space="preserve"> </w:t>
      </w:r>
      <w:r>
        <w:t xml:space="preserve">https://www.metmuseum.org/press-releases/punk-chaos-to-couture-2012-exhibitions</w:t>
      </w:r>
    </w:p>
    <w:p>
      <w:pPr>
        <w:pStyle w:val="BodyText"/>
      </w:pPr>
      <w:hyperlink r:id="rId39">
        <w:r>
          <w:rPr>
            <w:rStyle w:val="Hyperlink"/>
          </w:rPr>
          <w:t xml:space="preserve">https://www.metmuseum.org/press-releases/punk-chaos-to-couture-2012-exhibitions</w:t>
        </w:r>
      </w:hyperlink>
    </w:p>
    <w:p>
      <w:pPr>
        <w:pStyle w:val="BodyText"/>
      </w:pPr>
      <w:hyperlink r:id="rId40">
        <w:r>
          <w:rPr>
            <w:rStyle w:val="Hyperlink"/>
          </w:rPr>
          <w:t xml:space="preserve">[32]</w:t>
        </w:r>
      </w:hyperlink>
      <w:r>
        <w:t xml:space="preserve"> </w:t>
      </w:r>
      <w:hyperlink r:id="rId40">
        <w:r>
          <w:rPr>
            <w:rStyle w:val="Hyperlink"/>
          </w:rPr>
          <w:t xml:space="preserve">[83]</w:t>
        </w:r>
      </w:hyperlink>
      <w:r>
        <w:t xml:space="preserve"> </w:t>
      </w:r>
      <w:r>
        <w:t xml:space="preserve">https://www.reuters.com/business/world-at-work/starbucks-workers-union-expand-month-long-strike-more-cities-2025-12-11/</w:t>
      </w:r>
    </w:p>
    <w:p>
      <w:pPr>
        <w:pStyle w:val="BodyText"/>
      </w:pPr>
      <w:hyperlink r:id="rId40">
        <w:r>
          <w:rPr>
            <w:rStyle w:val="Hyperlink"/>
          </w:rPr>
          <w:t xml:space="preserve">https://www.reuters.com/business/world-at-work/starbucks-workers-union-expand-month-long-strike-more-cities-2025-12-11/</w:t>
        </w:r>
      </w:hyperlink>
    </w:p>
    <w:p>
      <w:pPr>
        <w:pStyle w:val="BodyText"/>
      </w:pPr>
      <w:hyperlink r:id="rId41">
        <w:r>
          <w:rPr>
            <w:rStyle w:val="Hyperlink"/>
          </w:rPr>
          <w:t xml:space="preserve">[36]</w:t>
        </w:r>
      </w:hyperlink>
      <w:r>
        <w:t xml:space="preserve"> </w:t>
      </w:r>
      <w:r>
        <w:t xml:space="preserve">https://www.kinoppete.org/PDFs/Dick%20Hebdige%20-%20Subculture%20Chapter%206.pdf</w:t>
      </w:r>
    </w:p>
    <w:p>
      <w:pPr>
        <w:pStyle w:val="BodyText"/>
      </w:pPr>
      <w:hyperlink r:id="rId41">
        <w:r>
          <w:rPr>
            <w:rStyle w:val="Hyperlink"/>
          </w:rPr>
          <w:t xml:space="preserve">https://www.kinoppete.org/PDFs/Dick%20Hebdige%20-%20Subculture%20Chapter%206.pdf</w:t>
        </w:r>
      </w:hyperlink>
    </w:p>
    <w:p>
      <w:pPr>
        <w:pStyle w:val="BodyText"/>
      </w:pPr>
      <w:hyperlink r:id="rId42">
        <w:r>
          <w:rPr>
            <w:rStyle w:val="Hyperlink"/>
          </w:rPr>
          <w:t xml:space="preserve">[37]</w:t>
        </w:r>
      </w:hyperlink>
      <w:r>
        <w:t xml:space="preserve"> </w:t>
      </w:r>
      <w:hyperlink r:id="rId42">
        <w:r>
          <w:rPr>
            <w:rStyle w:val="Hyperlink"/>
          </w:rPr>
          <w:t xml:space="preserve">[45]</w:t>
        </w:r>
      </w:hyperlink>
      <w:r>
        <w:t xml:space="preserve"> </w:t>
      </w:r>
      <w:hyperlink r:id="rId42">
        <w:r>
          <w:rPr>
            <w:rStyle w:val="Hyperlink"/>
          </w:rPr>
          <w:t xml:space="preserve">[67]</w:t>
        </w:r>
      </w:hyperlink>
      <w:r>
        <w:t xml:space="preserve"> </w:t>
      </w:r>
      <w:r>
        <w:t xml:space="preserve">https://ualresearchonline.arts.ac.uk/id/eprint/13327/1/PUNK%207.2_2_art_Weiner%20FINAL.pdf</w:t>
      </w:r>
    </w:p>
    <w:p>
      <w:pPr>
        <w:pStyle w:val="BodyText"/>
      </w:pPr>
      <w:hyperlink r:id="rId42">
        <w:r>
          <w:rPr>
            <w:rStyle w:val="Hyperlink"/>
          </w:rPr>
          <w:t xml:space="preserve">https://ualresearchonline.arts.ac.uk/id/eprint/13327/1/PUNK%207.2_2_art_Weiner%20FINAL.pdf</w:t>
        </w:r>
      </w:hyperlink>
    </w:p>
    <w:p>
      <w:pPr>
        <w:pStyle w:val="BodyText"/>
      </w:pPr>
      <w:hyperlink r:id="rId43">
        <w:r>
          <w:rPr>
            <w:rStyle w:val="Hyperlink"/>
          </w:rPr>
          <w:t xml:space="preserve">[41]</w:t>
        </w:r>
      </w:hyperlink>
      <w:r>
        <w:t xml:space="preserve"> </w:t>
      </w:r>
      <w:hyperlink r:id="rId43">
        <w:r>
          <w:rPr>
            <w:rStyle w:val="Hyperlink"/>
          </w:rPr>
          <w:t xml:space="preserve">[60]</w:t>
        </w:r>
      </w:hyperlink>
      <w:r>
        <w:t xml:space="preserve"> </w:t>
      </w:r>
      <w:r>
        <w:t xml:space="preserve">https://abcnews.go.com/Travel/Vacation/story?id=4605322&amp;page=1</w:t>
      </w:r>
    </w:p>
    <w:p>
      <w:pPr>
        <w:pStyle w:val="BodyText"/>
      </w:pPr>
      <w:hyperlink r:id="rId43">
        <w:r>
          <w:rPr>
            <w:rStyle w:val="Hyperlink"/>
          </w:rPr>
          <w:t xml:space="preserve">https://abcnews.go.com/Travel/Vacation/story?id=4605322&amp;page=1</w:t>
        </w:r>
      </w:hyperlink>
    </w:p>
    <w:p>
      <w:pPr>
        <w:pStyle w:val="BodyText"/>
      </w:pPr>
      <w:hyperlink r:id="rId46">
        <w:r>
          <w:rPr>
            <w:rStyle w:val="Hyperlink"/>
          </w:rPr>
          <w:t xml:space="preserve">[50]</w:t>
        </w:r>
      </w:hyperlink>
      <w:r>
        <w:t xml:space="preserve"> </w:t>
      </w:r>
      <w:r>
        <w:t xml:space="preserve">https://bridgemi.com/talent-education/facing-dei-scrutiny-university-michigan-abandons-diversity-statements-hiring/</w:t>
      </w:r>
    </w:p>
    <w:p>
      <w:pPr>
        <w:pStyle w:val="BodyText"/>
      </w:pPr>
      <w:hyperlink r:id="rId46">
        <w:r>
          <w:rPr>
            <w:rStyle w:val="Hyperlink"/>
          </w:rPr>
          <w:t xml:space="preserve">https://bridgemi.com/talent-education/facing-dei-scrutiny-university-michigan-abandons-diversity-statements-hiring/</w:t>
        </w:r>
      </w:hyperlink>
    </w:p>
    <w:p>
      <w:pPr>
        <w:pStyle w:val="BodyText"/>
      </w:pPr>
      <w:hyperlink r:id="rId47">
        <w:r>
          <w:rPr>
            <w:rStyle w:val="Hyperlink"/>
          </w:rPr>
          <w:t xml:space="preserve">[51]</w:t>
        </w:r>
      </w:hyperlink>
      <w:r>
        <w:t xml:space="preserve"> </w:t>
      </w:r>
      <w:r>
        <w:t xml:space="preserve">https://www.reuters.com/world/us/university-michigan-shuts-dei-office-citing-trump-orders-funding-warning-2025-03-28/</w:t>
      </w:r>
    </w:p>
    <w:p>
      <w:pPr>
        <w:pStyle w:val="BodyText"/>
      </w:pPr>
      <w:hyperlink r:id="rId47">
        <w:r>
          <w:rPr>
            <w:rStyle w:val="Hyperlink"/>
          </w:rPr>
          <w:t xml:space="preserve">https://www.reuters.com/world/us/university-michigan-shuts-dei-office-citing-trump-orders-funding-warning-2025-03-28/</w:t>
        </w:r>
      </w:hyperlink>
    </w:p>
    <w:p>
      <w:pPr>
        <w:pStyle w:val="BodyText"/>
      </w:pPr>
      <w:hyperlink r:id="rId49">
        <w:r>
          <w:rPr>
            <w:rStyle w:val="Hyperlink"/>
          </w:rPr>
          <w:t xml:space="preserve">[56]</w:t>
        </w:r>
      </w:hyperlink>
      <w:r>
        <w:t xml:space="preserve"> </w:t>
      </w:r>
      <w:r>
        <w:t xml:space="preserve">https://www.newyorker.com/magazine/2010/10/04/small-change-malcolm-gladwell</w:t>
      </w:r>
    </w:p>
    <w:p>
      <w:pPr>
        <w:pStyle w:val="BodyText"/>
      </w:pPr>
      <w:hyperlink r:id="rId49">
        <w:r>
          <w:rPr>
            <w:rStyle w:val="Hyperlink"/>
          </w:rPr>
          <w:t xml:space="preserve">https://www.newyorker.com/magazine/2010/10/04/small-change-malcolm-gladwell</w:t>
        </w:r>
      </w:hyperlink>
    </w:p>
    <w:p>
      <w:pPr>
        <w:pStyle w:val="BodyText"/>
      </w:pPr>
      <w:hyperlink r:id="rId50">
        <w:r>
          <w:rPr>
            <w:rStyle w:val="Hyperlink"/>
          </w:rPr>
          <w:t xml:space="preserve">[57]</w:t>
        </w:r>
      </w:hyperlink>
      <w:r>
        <w:t xml:space="preserve"> </w:t>
      </w:r>
      <w:r>
        <w:t xml:space="preserve">https://jcss.ut.ac.ir/article_93911.html</w:t>
      </w:r>
    </w:p>
    <w:p>
      <w:pPr>
        <w:pStyle w:val="BodyText"/>
      </w:pPr>
      <w:hyperlink r:id="rId50">
        <w:r>
          <w:rPr>
            <w:rStyle w:val="Hyperlink"/>
          </w:rPr>
          <w:t xml:space="preserve">https://jcss.ut.ac.ir/article_93911.html</w:t>
        </w:r>
      </w:hyperlink>
    </w:p>
    <w:p>
      <w:pPr>
        <w:pStyle w:val="BodyText"/>
      </w:pPr>
      <w:hyperlink r:id="rId51">
        <w:r>
          <w:rPr>
            <w:rStyle w:val="Hyperlink"/>
          </w:rPr>
          <w:t xml:space="preserve">[58]</w:t>
        </w:r>
      </w:hyperlink>
      <w:r>
        <w:t xml:space="preserve"> </w:t>
      </w:r>
      <w:r>
        <w:t xml:space="preserve">https://images.avaaz.org/Avaaz%20Foundation%20-%202023%20Form%20990.pdf</w:t>
      </w:r>
    </w:p>
    <w:p>
      <w:pPr>
        <w:pStyle w:val="BodyText"/>
      </w:pPr>
      <w:hyperlink r:id="rId51">
        <w:r>
          <w:rPr>
            <w:rStyle w:val="Hyperlink"/>
          </w:rPr>
          <w:t xml:space="preserve">https://images.avaaz.org/Avaaz%20Foundation%20-%202023%20Form%20990.pdf</w:t>
        </w:r>
      </w:hyperlink>
    </w:p>
    <w:p>
      <w:pPr>
        <w:pStyle w:val="BodyText"/>
      </w:pPr>
      <w:hyperlink r:id="rId52">
        <w:r>
          <w:rPr>
            <w:rStyle w:val="Hyperlink"/>
          </w:rPr>
          <w:t xml:space="preserve">[59]</w:t>
        </w:r>
      </w:hyperlink>
      <w:r>
        <w:t xml:space="preserve"> </w:t>
      </w:r>
      <w:r>
        <w:t xml:space="preserve">https://www.mdpi.com/2076-0760/12/10/549</w:t>
      </w:r>
    </w:p>
    <w:p>
      <w:pPr>
        <w:pStyle w:val="BodyText"/>
      </w:pPr>
      <w:hyperlink r:id="rId52">
        <w:r>
          <w:rPr>
            <w:rStyle w:val="Hyperlink"/>
          </w:rPr>
          <w:t xml:space="preserve">https://www.mdpi.com/2076-0760/12/10/549</w:t>
        </w:r>
      </w:hyperlink>
    </w:p>
    <w:p>
      <w:pPr>
        <w:pStyle w:val="BodyText"/>
      </w:pPr>
      <w:hyperlink r:id="rId54">
        <w:r>
          <w:rPr>
            <w:rStyle w:val="Hyperlink"/>
          </w:rPr>
          <w:t xml:space="preserve">[63]</w:t>
        </w:r>
      </w:hyperlink>
      <w:r>
        <w:t xml:space="preserve"> </w:t>
      </w:r>
      <w:r>
        <w:t xml:space="preserve">https://www.harvardbusiness.org/wp-content/uploads/2021/06/2020_11_getting-serious-about-diversity-enough-already-with-the-business-case.pdf</w:t>
      </w:r>
    </w:p>
    <w:p>
      <w:pPr>
        <w:pStyle w:val="BodyText"/>
      </w:pPr>
      <w:hyperlink r:id="rId54">
        <w:r>
          <w:rPr>
            <w:rStyle w:val="Hyperlink"/>
          </w:rPr>
          <w:t xml:space="preserve">https://www.harvardbusiness.org/wp-content/uploads/2021/06/2020_11_getting-serious-about-diversity-enough-already-with-the-business-case.pdf</w:t>
        </w:r>
      </w:hyperlink>
    </w:p>
    <w:p>
      <w:pPr>
        <w:pStyle w:val="BodyText"/>
      </w:pPr>
      <w:hyperlink r:id="rId55">
        <w:r>
          <w:rPr>
            <w:rStyle w:val="Hyperlink"/>
          </w:rPr>
          <w:t xml:space="preserve">[65]</w:t>
        </w:r>
      </w:hyperlink>
      <w:r>
        <w:t xml:space="preserve"> </w:t>
      </w:r>
      <w:r>
        <w:t xml:space="preserve">https://abcnews.go.com/GMA/News/black-men-arrested-phila-starbucks-settle-city-200k/story?id=54893753</w:t>
      </w:r>
    </w:p>
    <w:p>
      <w:pPr>
        <w:pStyle w:val="BodyText"/>
      </w:pPr>
      <w:hyperlink r:id="rId55">
        <w:r>
          <w:rPr>
            <w:rStyle w:val="Hyperlink"/>
          </w:rPr>
          <w:t xml:space="preserve">https://abcnews.go.com/GMA/News/black-men-arrested-phila-starbucks-settle-city-200k/story?id=54893753</w:t>
        </w:r>
      </w:hyperlink>
    </w:p>
    <w:p>
      <w:pPr>
        <w:pStyle w:val="BodyText"/>
      </w:pPr>
      <w:hyperlink r:id="rId56">
        <w:r>
          <w:rPr>
            <w:rStyle w:val="Hyperlink"/>
          </w:rPr>
          <w:t xml:space="preserve">[66]</w:t>
        </w:r>
      </w:hyperlink>
      <w:r>
        <w:t xml:space="preserve"> </w:t>
      </w:r>
      <w:r>
        <w:t xml:space="preserve">https://www.cbsnews.com/news/starbucks-open-door-policy-reversal-purchase-now-required/</w:t>
      </w:r>
    </w:p>
    <w:p>
      <w:pPr>
        <w:pStyle w:val="BodyText"/>
      </w:pPr>
      <w:hyperlink r:id="rId56">
        <w:r>
          <w:rPr>
            <w:rStyle w:val="Hyperlink"/>
          </w:rPr>
          <w:t xml:space="preserve">https://www.cbsnews.com/news/starbucks-open-door-policy-reversal-purchase-now-required/</w:t>
        </w:r>
      </w:hyperlink>
    </w:p>
    <w:p>
      <w:pPr>
        <w:pStyle w:val="BodyText"/>
      </w:pPr>
      <w:hyperlink r:id="rId58">
        <w:r>
          <w:rPr>
            <w:rStyle w:val="Hyperlink"/>
          </w:rPr>
          <w:t xml:space="preserve">[69]</w:t>
        </w:r>
      </w:hyperlink>
      <w:r>
        <w:t xml:space="preserve"> </w:t>
      </w:r>
      <w:r>
        <w:t xml:space="preserve">https://www.cotton.senate.gov/news/press-releases/send-in-the-troops</w:t>
      </w:r>
    </w:p>
    <w:p>
      <w:pPr>
        <w:pStyle w:val="BodyText"/>
      </w:pPr>
      <w:hyperlink r:id="rId58">
        <w:r>
          <w:rPr>
            <w:rStyle w:val="Hyperlink"/>
          </w:rPr>
          <w:t xml:space="preserve">https://www.cotton.senate.gov/news/press-releases/send-in-the-troops</w:t>
        </w:r>
      </w:hyperlink>
    </w:p>
    <w:p>
      <w:pPr>
        <w:pStyle w:val="BodyText"/>
      </w:pPr>
      <w:hyperlink r:id="rId59">
        <w:r>
          <w:rPr>
            <w:rStyle w:val="Hyperlink"/>
          </w:rPr>
          <w:t xml:space="preserve">[72]</w:t>
        </w:r>
      </w:hyperlink>
      <w:r>
        <w:t xml:space="preserve"> </w:t>
      </w:r>
      <w:hyperlink r:id="rId59">
        <w:r>
          <w:rPr>
            <w:rStyle w:val="Hyperlink"/>
          </w:rPr>
          <w:t xml:space="preserve">[75]</w:t>
        </w:r>
      </w:hyperlink>
      <w:r>
        <w:t xml:space="preserve"> </w:t>
      </w:r>
      <w:r>
        <w:t xml:space="preserve">https://www.axios.com/2020/06/07/james-bennet-new-york-times-tom-cotton</w:t>
      </w:r>
    </w:p>
    <w:p>
      <w:pPr>
        <w:pStyle w:val="BodyText"/>
      </w:pPr>
      <w:hyperlink r:id="rId59">
        <w:r>
          <w:rPr>
            <w:rStyle w:val="Hyperlink"/>
          </w:rPr>
          <w:t xml:space="preserve">https://www.axios.com/2020/06/07/james-bennet-new-york-times-tom-cotton</w:t>
        </w:r>
      </w:hyperlink>
    </w:p>
    <w:p>
      <w:pPr>
        <w:pStyle w:val="BodyText"/>
      </w:pPr>
      <w:hyperlink r:id="rId60">
        <w:r>
          <w:rPr>
            <w:rStyle w:val="Hyperlink"/>
          </w:rPr>
          <w:t xml:space="preserve">[73]</w:t>
        </w:r>
      </w:hyperlink>
      <w:r>
        <w:t xml:space="preserve"> </w:t>
      </w:r>
      <w:r>
        <w:t xml:space="preserve">https://www.vanityfair.com/news/2020/06/nyt-generational-watershed-as-james-bennet-resigns</w:t>
      </w:r>
    </w:p>
    <w:p>
      <w:pPr>
        <w:pStyle w:val="BodyText"/>
      </w:pPr>
      <w:hyperlink r:id="rId60">
        <w:r>
          <w:rPr>
            <w:rStyle w:val="Hyperlink"/>
          </w:rPr>
          <w:t xml:space="preserve">https://www.vanityfair.com/news/2020/06/nyt-generational-watershed-as-james-bennet-resigns</w:t>
        </w:r>
      </w:hyperlink>
    </w:p>
    <w:p>
      <w:pPr>
        <w:pStyle w:val="BodyText"/>
      </w:pPr>
      <w:hyperlink r:id="rId61">
        <w:r>
          <w:rPr>
            <w:rStyle w:val="Hyperlink"/>
          </w:rPr>
          <w:t xml:space="preserve">[74]</w:t>
        </w:r>
      </w:hyperlink>
      <w:r>
        <w:t xml:space="preserve"> </w:t>
      </w:r>
      <w:r>
        <w:t xml:space="preserve">https://www.theguardian.com/media/2020/jun/05/new-york-times-says-tom-cotton-opinion-piece-did-not-meet-editorial-standards</w:t>
      </w:r>
    </w:p>
    <w:p>
      <w:pPr>
        <w:pStyle w:val="BodyText"/>
      </w:pPr>
      <w:hyperlink r:id="rId61">
        <w:r>
          <w:rPr>
            <w:rStyle w:val="Hyperlink"/>
          </w:rPr>
          <w:t xml:space="preserve">https://www.theguardian.com/media/2020/jun/05/new-york-times-says-tom-cotton-opinion-piece-did-not-meet-editorial-standards</w:t>
        </w:r>
      </w:hyperlink>
    </w:p>
    <w:p>
      <w:pPr>
        <w:pStyle w:val="BodyText"/>
      </w:pPr>
      <w:hyperlink r:id="rId62">
        <w:r>
          <w:rPr>
            <w:rStyle w:val="Hyperlink"/>
          </w:rPr>
          <w:t xml:space="preserve">[76]</w:t>
        </w:r>
      </w:hyperlink>
      <w:r>
        <w:t xml:space="preserve"> </w:t>
      </w:r>
      <w:r>
        <w:t xml:space="preserve">https://www.newyorker.com/culture/the-new-yorker-interview/a-g-sulzberger-on-the-battles-within-and-against-the-new-york-times</w:t>
      </w:r>
    </w:p>
    <w:p>
      <w:pPr>
        <w:pStyle w:val="BodyText"/>
      </w:pPr>
      <w:hyperlink r:id="rId62">
        <w:r>
          <w:rPr>
            <w:rStyle w:val="Hyperlink"/>
          </w:rPr>
          <w:t xml:space="preserve">https://www.newyorker.com/culture/the-new-yorker-interview/a-g-sulzberger-on-the-battles-within-and-against-the-new-york-times</w:t>
        </w:r>
      </w:hyperlink>
    </w:p>
    <w:p>
      <w:pPr>
        <w:pStyle w:val="BodyText"/>
      </w:pPr>
      <w:hyperlink r:id="rId64">
        <w:r>
          <w:rPr>
            <w:rStyle w:val="Hyperlink"/>
          </w:rPr>
          <w:t xml:space="preserve">[79]</w:t>
        </w:r>
      </w:hyperlink>
      <w:r>
        <w:t xml:space="preserve"> </w:t>
      </w:r>
      <w:hyperlink r:id="rId64">
        <w:r>
          <w:rPr>
            <w:rStyle w:val="Hyperlink"/>
          </w:rPr>
          <w:t xml:space="preserve">[81]</w:t>
        </w:r>
      </w:hyperlink>
      <w:r>
        <w:t xml:space="preserve"> </w:t>
      </w:r>
      <w:hyperlink r:id="rId64">
        <w:r>
          <w:rPr>
            <w:rStyle w:val="Hyperlink"/>
          </w:rPr>
          <w:t xml:space="preserve">[88]</w:t>
        </w:r>
      </w:hyperlink>
      <w:r>
        <w:t xml:space="preserve"> </w:t>
      </w:r>
      <w:r>
        <w:t xml:space="preserve">https://www.nlrb.gov/news-outreach/region-03-buffalo/nlrb-region-3-buffalo-announces-results-of-starbucks-ballot-count</w:t>
      </w:r>
    </w:p>
    <w:p>
      <w:pPr>
        <w:pStyle w:val="BodyText"/>
      </w:pPr>
      <w:hyperlink r:id="rId64">
        <w:r>
          <w:rPr>
            <w:rStyle w:val="Hyperlink"/>
          </w:rPr>
          <w:t xml:space="preserve">https://www.nlrb.gov/news-outreach/region-03-buffalo/nlrb-region-3-buffalo-announces-results-of-starbucks-ballot-count</w:t>
        </w:r>
      </w:hyperlink>
    </w:p>
    <w:p>
      <w:pPr>
        <w:pStyle w:val="BodyText"/>
      </w:pPr>
      <w:hyperlink r:id="rId65">
        <w:r>
          <w:rPr>
            <w:rStyle w:val="Hyperlink"/>
          </w:rPr>
          <w:t xml:space="preserve">[80]</w:t>
        </w:r>
      </w:hyperlink>
      <w:r>
        <w:t xml:space="preserve"> </w:t>
      </w:r>
      <w:r>
        <w:t xml:space="preserve">https://www.reuters.com/business/starbucks-loses-bid-stave-off-labor-union-buffalo-new-york-2021-12-09/</w:t>
      </w:r>
    </w:p>
    <w:p>
      <w:pPr>
        <w:pStyle w:val="BodyText"/>
      </w:pPr>
      <w:hyperlink r:id="rId65">
        <w:r>
          <w:rPr>
            <w:rStyle w:val="Hyperlink"/>
          </w:rPr>
          <w:t xml:space="preserve">https://www.reuters.com/business/starbucks-loses-bid-stave-off-labor-union-buffalo-new-york-2021-12-09/</w:t>
        </w:r>
      </w:hyperlink>
    </w:p>
    <w:p>
      <w:pPr>
        <w:pStyle w:val="BodyText"/>
      </w:pPr>
      <w:hyperlink r:id="rId66">
        <w:r>
          <w:rPr>
            <w:rStyle w:val="Hyperlink"/>
          </w:rPr>
          <w:t xml:space="preserve">[82]</w:t>
        </w:r>
      </w:hyperlink>
      <w:r>
        <w:t xml:space="preserve"> </w:t>
      </w:r>
      <w:r>
        <w:t xml:space="preserve">https://workersunited.org/news-events/workers-united-news/starbucks-partners-workers-united-win-first-unionized-starbucks-in-u-s</w:t>
      </w:r>
    </w:p>
    <w:p>
      <w:pPr>
        <w:pStyle w:val="BodyText"/>
      </w:pPr>
      <w:hyperlink r:id="rId66">
        <w:r>
          <w:rPr>
            <w:rStyle w:val="Hyperlink"/>
          </w:rPr>
          <w:t xml:space="preserve">https://workersunited.org/news-events/workers-united-news/starbucks-partners-workers-united-win-first-unionized-starbucks-in-u-s</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abcnews.go.com/GMA/News/black-men-arrested-phila-starbucks-settle-city-200k/story?id=54893753" TargetMode="External" /><Relationship Type="http://schemas.openxmlformats.org/officeDocument/2006/relationships/hyperlink" Id="rId43" Target="https://abcnews.go.com/Travel/Vacation/story?id=4605322&amp;page=1" TargetMode="External" /><Relationship Type="http://schemas.openxmlformats.org/officeDocument/2006/relationships/hyperlink" Id="rId27" Target="https://americanaffairsjournal.org/2017/11/progressive-neoliberalism-trump-beyond/" TargetMode="External" /><Relationship Type="http://schemas.openxmlformats.org/officeDocument/2006/relationships/hyperlink" Id="rId38" Target="https://avaazimages.avaaz.org/Avaaz%20-%2064th%20GEF%20council%20meeting%20paper%20%28June%202023%29.pdf" TargetMode="External" /><Relationship Type="http://schemas.openxmlformats.org/officeDocument/2006/relationships/hyperlink" Id="rId35" Target="https://books.google.com/books/about/Diminished_Democracy.html?id=jbBWNLkChrIC" TargetMode="External" /><Relationship Type="http://schemas.openxmlformats.org/officeDocument/2006/relationships/hyperlink" Id="rId46" Target="https://bridgemi.com/talent-education/facing-dei-scrutiny-university-michigan-abandons-diversity-statements-hiring/" TargetMode="External" /><Relationship Type="http://schemas.openxmlformats.org/officeDocument/2006/relationships/hyperlink" Id="rId29" Target="https://cdn.serc.carleton.edu/files/ASCN/webinars/2024/STEMseries/office-of-the-president-and-vp-secretary-university_dei-2.0-plan-fi.pdf" TargetMode="External" /><Relationship Type="http://schemas.openxmlformats.org/officeDocument/2006/relationships/hyperlink" Id="rId31" Target="https://chicagounbound.uchicago.edu/law_and_economics/542/" TargetMode="External" /><Relationship Type="http://schemas.openxmlformats.org/officeDocument/2006/relationships/hyperlink" Id="rId51" Target="https://images.avaaz.org/Avaaz%20Foundation%20-%202023%20Form%20990.pdf" TargetMode="External" /><Relationship Type="http://schemas.openxmlformats.org/officeDocument/2006/relationships/hyperlink" Id="rId22" Target="https://investor.starbucks.com/news/financial-releases/news-details/2018/Starbucks-to-Close-All-Stores-Nationwide-for-Racial-Bias-Education-onMay-29/default.aspx" TargetMode="External" /><Relationship Type="http://schemas.openxmlformats.org/officeDocument/2006/relationships/hyperlink" Id="rId50" Target="https://jcss.ut.ac.ir/article_93911.html" TargetMode="External" /><Relationship Type="http://schemas.openxmlformats.org/officeDocument/2006/relationships/hyperlink" Id="rId21" Target="https://libcom.org/article/professional-managerial-class-barbara-and-john-ehrenreich" TargetMode="External" /><Relationship Type="http://schemas.openxmlformats.org/officeDocument/2006/relationships/hyperlink" Id="rId30" Target="https://ndg.asc.upenn.edu/wp-content/uploads/2017/08/Ideology-motivated-reasoning.pdf" TargetMode="External" /><Relationship Type="http://schemas.openxmlformats.org/officeDocument/2006/relationships/hyperlink" Id="rId25" Target="https://news.yale.edu/2017/02/11/yale-change-calhoun-college-s-name-honor-grace-murray-hopper-0" TargetMode="External" /><Relationship Type="http://schemas.openxmlformats.org/officeDocument/2006/relationships/hyperlink" Id="rId32" Target="https://onlinelibrary.wiley.com/doi/abs/10.1111/j.1460-2466.1974.tb00367.x" TargetMode="External" /><Relationship Type="http://schemas.openxmlformats.org/officeDocument/2006/relationships/hyperlink" Id="rId42" Target="https://ualresearchonline.arts.ac.uk/id/eprint/13327/1/PUNK%207.2_2_art_Weiner%20FINAL.pdf" TargetMode="External" /><Relationship Type="http://schemas.openxmlformats.org/officeDocument/2006/relationships/hyperlink" Id="rId23" Target="https://users.ssc.wisc.edu/~peoliver/SOC924/Articles/McCarthyZald1977.pdf" TargetMode="External" /><Relationship Type="http://schemas.openxmlformats.org/officeDocument/2006/relationships/hyperlink" Id="rId66" Target="https://workersunited.org/news-events/workers-united-news/starbucks-partners-workers-united-win-first-unionized-starbucks-in-u-s" TargetMode="External" /><Relationship Type="http://schemas.openxmlformats.org/officeDocument/2006/relationships/hyperlink" Id="rId59" Target="https://www.axios.com/2020/06/07/james-bennet-new-york-times-tom-cotton" TargetMode="External" /><Relationship Type="http://schemas.openxmlformats.org/officeDocument/2006/relationships/hyperlink" Id="rId56" Target="https://www.cbsnews.com/news/starbucks-open-door-policy-reversal-purchase-now-required/" TargetMode="External" /><Relationship Type="http://schemas.openxmlformats.org/officeDocument/2006/relationships/hyperlink" Id="rId58" Target="https://www.cotton.senate.gov/news/press-releases/send-in-the-troops" TargetMode="External" /><Relationship Type="http://schemas.openxmlformats.org/officeDocument/2006/relationships/hyperlink" Id="rId26" Target="https://www.eater.com/2018/5/21/17375806/starbucks-no-purchase-policy-third-place-bathrooms" TargetMode="External" /><Relationship Type="http://schemas.openxmlformats.org/officeDocument/2006/relationships/hyperlink" Id="rId54" Target="https://www.harvardbusiness.org/wp-content/uploads/2021/06/2020_11_getting-serious-about-diversity-enough-already-with-the-business-case.pdf" TargetMode="External" /><Relationship Type="http://schemas.openxmlformats.org/officeDocument/2006/relationships/hyperlink" Id="rId41" Target="https://www.kinoppete.org/PDFs/Dick%20Hebdige%20-%20Subculture%20Chapter%206.pdf" TargetMode="External" /><Relationship Type="http://schemas.openxmlformats.org/officeDocument/2006/relationships/hyperlink" Id="rId52" Target="https://www.mdpi.com/2076-0760/12/10/549" TargetMode="External" /><Relationship Type="http://schemas.openxmlformats.org/officeDocument/2006/relationships/hyperlink" Id="rId39" Target="https://www.metmuseum.org/press-releases/punk-chaos-to-couture-2012-exhibitions" TargetMode="External" /><Relationship Type="http://schemas.openxmlformats.org/officeDocument/2006/relationships/hyperlink" Id="rId62" Target="https://www.newyorker.com/culture/the-new-yorker-interview/a-g-sulzberger-on-the-battles-within-and-against-the-new-york-times" TargetMode="External" /><Relationship Type="http://schemas.openxmlformats.org/officeDocument/2006/relationships/hyperlink" Id="rId49" Target="https://www.newyorker.com/magazine/2010/10/04/small-change-malcolm-gladwell" TargetMode="External" /><Relationship Type="http://schemas.openxmlformats.org/officeDocument/2006/relationships/hyperlink" Id="rId64" Target="https://www.nlrb.gov/news-outreach/region-03-buffalo/nlrb-region-3-buffalo-announces-results-of-starbucks-ballot-count" TargetMode="External" /><Relationship Type="http://schemas.openxmlformats.org/officeDocument/2006/relationships/hyperlink" Id="rId65" Target="https://www.reuters.com/business/starbucks-loses-bid-stave-off-labor-union-buffalo-new-york-2021-12-09/" TargetMode="External" /><Relationship Type="http://schemas.openxmlformats.org/officeDocument/2006/relationships/hyperlink" Id="rId40" Target="https://www.reuters.com/business/world-at-work/starbucks-workers-union-expand-month-long-strike-more-cities-2025-12-11/" TargetMode="External" /><Relationship Type="http://schemas.openxmlformats.org/officeDocument/2006/relationships/hyperlink" Id="rId47" Target="https://www.reuters.com/world/us/university-michigan-shuts-dei-office-citing-trump-orders-funding-warning-2025-03-28/" TargetMode="External" /><Relationship Type="http://schemas.openxmlformats.org/officeDocument/2006/relationships/hyperlink" Id="rId33" Target="https://www.thecut.com/2012/09/next-year-at-the-met-punk-chaos-to-couture.html" TargetMode="External" /><Relationship Type="http://schemas.openxmlformats.org/officeDocument/2006/relationships/hyperlink" Id="rId61" Target="https://www.theguardian.com/media/2020/jun/05/new-york-times-says-tom-cotton-opinion-piece-did-not-meet-editorial-standards" TargetMode="External" /><Relationship Type="http://schemas.openxmlformats.org/officeDocument/2006/relationships/hyperlink" Id="rId60" Target="https://www.vanityfair.com/news/2020/06/nyt-generational-watershed-as-james-bennet-resigns" TargetMode="External" /></Relationships>
</file>

<file path=word/_rels/footnotes.xml.rels><?xml version="1.0" encoding="UTF-8"?><Relationships xmlns="http://schemas.openxmlformats.org/package/2006/relationships"><Relationship Type="http://schemas.openxmlformats.org/officeDocument/2006/relationships/hyperlink" Id="rId55" Target="https://abcnews.go.com/GMA/News/black-men-arrested-phila-starbucks-settle-city-200k/story?id=54893753" TargetMode="External" /><Relationship Type="http://schemas.openxmlformats.org/officeDocument/2006/relationships/hyperlink" Id="rId43" Target="https://abcnews.go.com/Travel/Vacation/story?id=4605322&amp;page=1" TargetMode="External" /><Relationship Type="http://schemas.openxmlformats.org/officeDocument/2006/relationships/hyperlink" Id="rId27" Target="https://americanaffairsjournal.org/2017/11/progressive-neoliberalism-trump-beyond/" TargetMode="External" /><Relationship Type="http://schemas.openxmlformats.org/officeDocument/2006/relationships/hyperlink" Id="rId38" Target="https://avaazimages.avaaz.org/Avaaz%20-%2064th%20GEF%20council%20meeting%20paper%20%28June%202023%29.pdf" TargetMode="External" /><Relationship Type="http://schemas.openxmlformats.org/officeDocument/2006/relationships/hyperlink" Id="rId35" Target="https://books.google.com/books/about/Diminished_Democracy.html?id=jbBWNLkChrIC" TargetMode="External" /><Relationship Type="http://schemas.openxmlformats.org/officeDocument/2006/relationships/hyperlink" Id="rId46" Target="https://bridgemi.com/talent-education/facing-dei-scrutiny-university-michigan-abandons-diversity-statements-hiring/" TargetMode="External" /><Relationship Type="http://schemas.openxmlformats.org/officeDocument/2006/relationships/hyperlink" Id="rId29" Target="https://cdn.serc.carleton.edu/files/ASCN/webinars/2024/STEMseries/office-of-the-president-and-vp-secretary-university_dei-2.0-plan-fi.pdf" TargetMode="External" /><Relationship Type="http://schemas.openxmlformats.org/officeDocument/2006/relationships/hyperlink" Id="rId31" Target="https://chicagounbound.uchicago.edu/law_and_economics/542/" TargetMode="External" /><Relationship Type="http://schemas.openxmlformats.org/officeDocument/2006/relationships/hyperlink" Id="rId51" Target="https://images.avaaz.org/Avaaz%20Foundation%20-%202023%20Form%20990.pdf" TargetMode="External" /><Relationship Type="http://schemas.openxmlformats.org/officeDocument/2006/relationships/hyperlink" Id="rId22" Target="https://investor.starbucks.com/news/financial-releases/news-details/2018/Starbucks-to-Close-All-Stores-Nationwide-for-Racial-Bias-Education-onMay-29/default.aspx" TargetMode="External" /><Relationship Type="http://schemas.openxmlformats.org/officeDocument/2006/relationships/hyperlink" Id="rId50" Target="https://jcss.ut.ac.ir/article_93911.html" TargetMode="External" /><Relationship Type="http://schemas.openxmlformats.org/officeDocument/2006/relationships/hyperlink" Id="rId21" Target="https://libcom.org/article/professional-managerial-class-barbara-and-john-ehrenreich" TargetMode="External" /><Relationship Type="http://schemas.openxmlformats.org/officeDocument/2006/relationships/hyperlink" Id="rId30" Target="https://ndg.asc.upenn.edu/wp-content/uploads/2017/08/Ideology-motivated-reasoning.pdf" TargetMode="External" /><Relationship Type="http://schemas.openxmlformats.org/officeDocument/2006/relationships/hyperlink" Id="rId25" Target="https://news.yale.edu/2017/02/11/yale-change-calhoun-college-s-name-honor-grace-murray-hopper-0" TargetMode="External" /><Relationship Type="http://schemas.openxmlformats.org/officeDocument/2006/relationships/hyperlink" Id="rId32" Target="https://onlinelibrary.wiley.com/doi/abs/10.1111/j.1460-2466.1974.tb00367.x" TargetMode="External" /><Relationship Type="http://schemas.openxmlformats.org/officeDocument/2006/relationships/hyperlink" Id="rId42" Target="https://ualresearchonline.arts.ac.uk/id/eprint/13327/1/PUNK%207.2_2_art_Weiner%20FINAL.pdf" TargetMode="External" /><Relationship Type="http://schemas.openxmlformats.org/officeDocument/2006/relationships/hyperlink" Id="rId23" Target="https://users.ssc.wisc.edu/~peoliver/SOC924/Articles/McCarthyZald1977.pdf" TargetMode="External" /><Relationship Type="http://schemas.openxmlformats.org/officeDocument/2006/relationships/hyperlink" Id="rId66" Target="https://workersunited.org/news-events/workers-united-news/starbucks-partners-workers-united-win-first-unionized-starbucks-in-u-s" TargetMode="External" /><Relationship Type="http://schemas.openxmlformats.org/officeDocument/2006/relationships/hyperlink" Id="rId59" Target="https://www.axios.com/2020/06/07/james-bennet-new-york-times-tom-cotton" TargetMode="External" /><Relationship Type="http://schemas.openxmlformats.org/officeDocument/2006/relationships/hyperlink" Id="rId56" Target="https://www.cbsnews.com/news/starbucks-open-door-policy-reversal-purchase-now-required/" TargetMode="External" /><Relationship Type="http://schemas.openxmlformats.org/officeDocument/2006/relationships/hyperlink" Id="rId58" Target="https://www.cotton.senate.gov/news/press-releases/send-in-the-troops" TargetMode="External" /><Relationship Type="http://schemas.openxmlformats.org/officeDocument/2006/relationships/hyperlink" Id="rId26" Target="https://www.eater.com/2018/5/21/17375806/starbucks-no-purchase-policy-third-place-bathrooms" TargetMode="External" /><Relationship Type="http://schemas.openxmlformats.org/officeDocument/2006/relationships/hyperlink" Id="rId54" Target="https://www.harvardbusiness.org/wp-content/uploads/2021/06/2020_11_getting-serious-about-diversity-enough-already-with-the-business-case.pdf" TargetMode="External" /><Relationship Type="http://schemas.openxmlformats.org/officeDocument/2006/relationships/hyperlink" Id="rId41" Target="https://www.kinoppete.org/PDFs/Dick%20Hebdige%20-%20Subculture%20Chapter%206.pdf" TargetMode="External" /><Relationship Type="http://schemas.openxmlformats.org/officeDocument/2006/relationships/hyperlink" Id="rId52" Target="https://www.mdpi.com/2076-0760/12/10/549" TargetMode="External" /><Relationship Type="http://schemas.openxmlformats.org/officeDocument/2006/relationships/hyperlink" Id="rId39" Target="https://www.metmuseum.org/press-releases/punk-chaos-to-couture-2012-exhibitions" TargetMode="External" /><Relationship Type="http://schemas.openxmlformats.org/officeDocument/2006/relationships/hyperlink" Id="rId62" Target="https://www.newyorker.com/culture/the-new-yorker-interview/a-g-sulzberger-on-the-battles-within-and-against-the-new-york-times" TargetMode="External" /><Relationship Type="http://schemas.openxmlformats.org/officeDocument/2006/relationships/hyperlink" Id="rId49" Target="https://www.newyorker.com/magazine/2010/10/04/small-change-malcolm-gladwell" TargetMode="External" /><Relationship Type="http://schemas.openxmlformats.org/officeDocument/2006/relationships/hyperlink" Id="rId64" Target="https://www.nlrb.gov/news-outreach/region-03-buffalo/nlrb-region-3-buffalo-announces-results-of-starbucks-ballot-count" TargetMode="External" /><Relationship Type="http://schemas.openxmlformats.org/officeDocument/2006/relationships/hyperlink" Id="rId65" Target="https://www.reuters.com/business/starbucks-loses-bid-stave-off-labor-union-buffalo-new-york-2021-12-09/" TargetMode="External" /><Relationship Type="http://schemas.openxmlformats.org/officeDocument/2006/relationships/hyperlink" Id="rId40" Target="https://www.reuters.com/business/world-at-work/starbucks-workers-union-expand-month-long-strike-more-cities-2025-12-11/" TargetMode="External" /><Relationship Type="http://schemas.openxmlformats.org/officeDocument/2006/relationships/hyperlink" Id="rId47" Target="https://www.reuters.com/world/us/university-michigan-shuts-dei-office-citing-trump-orders-funding-warning-2025-03-28/" TargetMode="External" /><Relationship Type="http://schemas.openxmlformats.org/officeDocument/2006/relationships/hyperlink" Id="rId33" Target="https://www.thecut.com/2012/09/next-year-at-the-met-punk-chaos-to-couture.html" TargetMode="External" /><Relationship Type="http://schemas.openxmlformats.org/officeDocument/2006/relationships/hyperlink" Id="rId61" Target="https://www.theguardian.com/media/2020/jun/05/new-york-times-says-tom-cotton-opinion-piece-did-not-meet-editorial-standards" TargetMode="External" /><Relationship Type="http://schemas.openxmlformats.org/officeDocument/2006/relationships/hyperlink" Id="rId60" Target="https://www.vanityfair.com/news/2020/06/nyt-generational-watershed-as-james-bennet-resig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2026-02-15T02:12:52Z</dcterms:created>
  <dcterms:modified xsi:type="dcterms:W3CDTF">2026-02-15T02:12:52Z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