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X8d981c82ffa14093e4cf7256fd57a0d1415713e"/>
    <w:p>
      <w:pPr>
        <w:pStyle w:val="Heading1"/>
      </w:pPr>
      <w:r>
        <w:t xml:space="preserve">The Carousel of Right-Wing Resistance in the United States</w:t>
      </w:r>
    </w:p>
    <w:bookmarkStart w:id="28" w:name="executive-summary"/>
    <w:p>
      <w:pPr>
        <w:pStyle w:val="Heading2"/>
      </w:pPr>
      <w:r>
        <w:t xml:space="preserve">Executive summary</w:t>
      </w:r>
    </w:p>
    <w:p>
      <w:pPr>
        <w:pStyle w:val="FirstParagraph"/>
      </w:pPr>
      <w:r>
        <w:t xml:space="preserve">This report tests the claim that since 2000, self-styled U.S. right‑wing “anti‑establishment” figures and factions—often elite-born, elite-networked, or institutionally embedded—campaign as insurgents but govern in ways that are disproportionately</w:t>
      </w:r>
      <w:r>
        <w:t xml:space="preserve"> </w:t>
      </w:r>
      <w:r>
        <w:rPr>
          <w:b/>
          <w:bCs/>
        </w:rPr>
        <w:t xml:space="preserve">symbolic</w:t>
      </w:r>
      <w:r>
        <w:t xml:space="preserve">,</w:t>
      </w:r>
      <w:r>
        <w:t xml:space="preserve"> </w:t>
      </w:r>
      <w:r>
        <w:rPr>
          <w:b/>
          <w:bCs/>
        </w:rPr>
        <w:t xml:space="preserve">reversible</w:t>
      </w:r>
      <w:r>
        <w:t xml:space="preserve">, or</w:t>
      </w:r>
      <w:r>
        <w:t xml:space="preserve"> </w:t>
      </w:r>
      <w:r>
        <w:rPr>
          <w:b/>
          <w:bCs/>
        </w:rPr>
        <w:t xml:space="preserve">convergent with elite priorities</w:t>
      </w:r>
      <w:r>
        <w:t xml:space="preserve">, producing a recurring “carousel of right‑wing resistance.” The analysis emphasizes verifiable “rhetoric vs. governance” gaps using primary sources (laws, executive orders, roll calls, budgets, appointment records, and official repositories), supplemented by peer‑reviewed political science and high‑quality investigative journalism.</w:t>
      </w:r>
      <w:r>
        <w:t xml:space="preserve"> </w:t>
      </w:r>
      <w:hyperlink r:id="rId21">
        <w:r>
          <w:rPr>
            <w:rStyle w:val="Hyperlink"/>
          </w:rPr>
          <w:t xml:space="preserve">[1]</w:t>
        </w:r>
      </w:hyperlink>
    </w:p>
    <w:p>
      <w:pPr>
        <w:pStyle w:val="BodyText"/>
      </w:pPr>
      <w:r>
        <w:t xml:space="preserve">Across cases, the evidence strongly supports a</w:t>
      </w:r>
      <w:r>
        <w:t xml:space="preserve"> </w:t>
      </w:r>
      <w:r>
        <w:rPr>
          <w:b/>
          <w:bCs/>
        </w:rPr>
        <w:t xml:space="preserve">pattern of insurgent branding paired with governing coalitions that limit or redirect disruption</w:t>
      </w:r>
      <w:r>
        <w:t xml:space="preserve">—especially in domains where durable change requires legislation, budgets, and multi‑veto‑point coordination. Where disruption occurs, it often concentrates in (a)</w:t>
      </w:r>
      <w:r>
        <w:t xml:space="preserve"> </w:t>
      </w:r>
      <w:r>
        <w:rPr>
          <w:b/>
          <w:bCs/>
        </w:rPr>
        <w:t xml:space="preserve">high-visibility conflict</w:t>
      </w:r>
      <w:r>
        <w:t xml:space="preserve"> </w:t>
      </w:r>
      <w:r>
        <w:t xml:space="preserve">(shutdown threats, leadership coups, investigations) and (b)</w:t>
      </w:r>
      <w:r>
        <w:t xml:space="preserve"> </w:t>
      </w:r>
      <w:r>
        <w:rPr>
          <w:b/>
          <w:bCs/>
        </w:rPr>
        <w:t xml:space="preserve">executive actions</w:t>
      </w:r>
      <w:r>
        <w:t xml:space="preserve"> </w:t>
      </w:r>
      <w:r>
        <w:t xml:space="preserve">that are structurally easier to reverse than statutes, even while (c)</w:t>
      </w:r>
      <w:r>
        <w:t xml:space="preserve"> </w:t>
      </w:r>
      <w:r>
        <w:rPr>
          <w:b/>
          <w:bCs/>
        </w:rPr>
        <w:t xml:space="preserve">durable changes cluster in elite-compatible channels</w:t>
      </w:r>
      <w:r>
        <w:t xml:space="preserve"> </w:t>
      </w:r>
      <w:r>
        <w:t xml:space="preserve">(notably tax law design and lifetime judicial appointments).</w:t>
      </w:r>
      <w:r>
        <w:t xml:space="preserve"> </w:t>
      </w:r>
      <w:hyperlink r:id="rId21">
        <w:r>
          <w:rPr>
            <w:rStyle w:val="Hyperlink"/>
          </w:rPr>
          <w:t xml:space="preserve">[2]</w:t>
        </w:r>
      </w:hyperlink>
    </w:p>
    <w:p>
      <w:pPr>
        <w:pStyle w:val="BodyText"/>
      </w:pPr>
      <w:r>
        <w:t xml:space="preserve">Key findings by case:</w:t>
      </w:r>
    </w:p>
    <w:p>
      <w:pPr>
        <w:pStyle w:val="BodyText"/>
      </w:pPr>
      <w:r>
        <w:t xml:space="preserve">The</w:t>
      </w:r>
      <w:r>
        <w:t xml:space="preserve"> </w:t>
      </w:r>
      <w:r>
        <w:rPr>
          <w:b/>
          <w:bCs/>
        </w:rPr>
        <w:t xml:space="preserve">Tea Party wave</w:t>
      </w:r>
      <w:r>
        <w:t xml:space="preserve"> </w:t>
      </w:r>
      <w:r>
        <w:t xml:space="preserve">(2009–2014) branded itself as a grassroots revolt for “fiscal responsibility,” “constitutionally limited government,” and “free markets,” yet scholarship and investigative reporting document that its national-scale capacity was materially supported by Republican-aligned business and advocacy networks.</w:t>
      </w:r>
      <w:r>
        <w:t xml:space="preserve"> </w:t>
      </w:r>
      <w:hyperlink r:id="rId22">
        <w:r>
          <w:rPr>
            <w:rStyle w:val="Hyperlink"/>
          </w:rPr>
          <w:t xml:space="preserve">[3]</w:t>
        </w:r>
      </w:hyperlink>
      <w:r>
        <w:t xml:space="preserve"> </w:t>
      </w:r>
      <w:r>
        <w:t xml:space="preserve">In governance, the movement’s most durable federal statutory imprint was the</w:t>
      </w:r>
      <w:r>
        <w:t xml:space="preserve"> </w:t>
      </w:r>
      <w:r>
        <w:rPr>
          <w:b/>
          <w:bCs/>
        </w:rPr>
        <w:t xml:space="preserve">Budget Control Act of 2011</w:t>
      </w:r>
      <w:r>
        <w:t xml:space="preserve"> </w:t>
      </w:r>
      <w:r>
        <w:t xml:space="preserve">(spending caps + sequester mechanisms), while its most salient confrontational episodes (e.g., the</w:t>
      </w:r>
      <w:r>
        <w:t xml:space="preserve"> </w:t>
      </w:r>
      <w:r>
        <w:rPr>
          <w:b/>
          <w:bCs/>
        </w:rPr>
        <w:t xml:space="preserve">2013 shutdown effort linked to defunding/derailing the ACA</w:t>
      </w:r>
      <w:r>
        <w:t xml:space="preserve">) illustrate how “resistance” energy translated into spectacle and bargaining leverage rather than full program reversal.</w:t>
      </w:r>
      <w:r>
        <w:t xml:space="preserve"> </w:t>
      </w:r>
      <w:hyperlink r:id="rId23">
        <w:r>
          <w:rPr>
            <w:rStyle w:val="Hyperlink"/>
          </w:rPr>
          <w:t xml:space="preserve">[4]</w:t>
        </w:r>
      </w:hyperlink>
    </w:p>
    <w:p>
      <w:pPr>
        <w:pStyle w:val="BodyText"/>
      </w:pPr>
      <w:r>
        <w:t xml:space="preserve">The first entity["politician","Donald Trump","45th &amp; 47th us president"] term (2017–2021) is the clearest governance test because it paired maximal “anti‑swamp” rhetoric with unified-party control (for part of the term) and extensive personnel authority. The record shows significant</w:t>
      </w:r>
      <w:r>
        <w:t xml:space="preserve"> </w:t>
      </w:r>
      <w:r>
        <w:rPr>
          <w:b/>
          <w:bCs/>
        </w:rPr>
        <w:t xml:space="preserve">elite-convergent outcomes</w:t>
      </w:r>
      <w:r>
        <w:t xml:space="preserve">—especially the</w:t>
      </w:r>
      <w:r>
        <w:t xml:space="preserve"> </w:t>
      </w:r>
      <w:r>
        <w:rPr>
          <w:b/>
          <w:bCs/>
        </w:rPr>
        <w:t xml:space="preserve">Tax Cuts and Jobs Act</w:t>
      </w:r>
      <w:r>
        <w:t xml:space="preserve"> </w:t>
      </w:r>
      <w:r>
        <w:t xml:space="preserve">and its distributional profile, plus heavy use of deregulatory instruments and a large-scale reshaping of the federal judiciary—alongside a large volume of executive actions that proved vulnerable to subsequent reversal.</w:t>
      </w:r>
      <w:r>
        <w:t xml:space="preserve"> </w:t>
      </w:r>
      <w:hyperlink r:id="rId24">
        <w:r>
          <w:rPr>
            <w:rStyle w:val="Hyperlink"/>
          </w:rPr>
          <w:t xml:space="preserve">[5]</w:t>
        </w:r>
      </w:hyperlink>
    </w:p>
    <w:p>
      <w:pPr>
        <w:pStyle w:val="BodyText"/>
      </w:pPr>
      <w:r>
        <w:t xml:space="preserve">The</w:t>
      </w:r>
      <w:r>
        <w:t xml:space="preserve"> </w:t>
      </w:r>
      <w:r>
        <w:rPr>
          <w:b/>
          <w:bCs/>
        </w:rPr>
        <w:t xml:space="preserve">House Freedom Caucus</w:t>
      </w:r>
      <w:r>
        <w:t xml:space="preserve"> </w:t>
      </w:r>
      <w:r>
        <w:t xml:space="preserve">insurgency (2015–2025) shows how “anti‑establishment” politics can function</w:t>
      </w:r>
      <w:r>
        <w:t xml:space="preserve"> </w:t>
      </w:r>
      <w:r>
        <w:rPr>
          <w:i/>
          <w:iCs/>
        </w:rPr>
        <w:t xml:space="preserve">inside</w:t>
      </w:r>
      <w:r>
        <w:t xml:space="preserve"> </w:t>
      </w:r>
      <w:r>
        <w:t xml:space="preserve">the governing party: rebellion is directed at party leadership and procedural compromise rather than at the entire policy system. It has repeatedly produced leadership crises and brinkmanship (e.g., the 2023 ouster of Speaker Kevin McCarthy after reliance on Democratic votes to pass temporary funding), but comparatively limited durable policymaking when constrained by bicameralism and/or an opposing president.</w:t>
      </w:r>
      <w:r>
        <w:t xml:space="preserve"> </w:t>
      </w:r>
      <w:hyperlink r:id="rId25">
        <w:r>
          <w:rPr>
            <w:rStyle w:val="Hyperlink"/>
          </w:rPr>
          <w:t xml:space="preserve">[6]</w:t>
        </w:r>
      </w:hyperlink>
    </w:p>
    <w:p>
      <w:pPr>
        <w:pStyle w:val="BodyText"/>
      </w:pPr>
      <w:r>
        <w:t xml:space="preserve">Tucker Carlson</w:t>
      </w:r>
      <w:hyperlink r:id="rId26">
        <w:r>
          <w:rPr>
            <w:rStyle w:val="Hyperlink"/>
          </w:rPr>
          <w:t xml:space="preserve">[7]</w:t>
        </w:r>
      </w:hyperlink>
      <w:r>
        <w:t xml:space="preserve"> </w:t>
      </w:r>
      <w:r>
        <w:t xml:space="preserve">illustrates the “carousel” as a</w:t>
      </w:r>
      <w:r>
        <w:t xml:space="preserve"> </w:t>
      </w:r>
      <w:r>
        <w:rPr>
          <w:b/>
          <w:bCs/>
        </w:rPr>
        <w:t xml:space="preserve">media-and-branding engine</w:t>
      </w:r>
      <w:r>
        <w:t xml:space="preserve">: an elite-background figure with a long career inside major media institutions can credibly perform anti‑elite populism, reward conflict over institutional follow‑through, and amplify incentives for symbolic politics. Biographical sources document his integration into elite networks via family and career pathways, even as his on-air positioning frames politics as a battle of ordinary people versus a “ruling class.”</w:t>
      </w:r>
      <w:r>
        <w:t xml:space="preserve"> </w:t>
      </w:r>
      <w:hyperlink r:id="rId27">
        <w:r>
          <w:rPr>
            <w:rStyle w:val="Hyperlink"/>
          </w:rPr>
          <w:t xml:space="preserve">[8]</w:t>
        </w:r>
      </w:hyperlink>
    </w:p>
    <w:p>
      <w:pPr>
        <w:pStyle w:val="BodyText"/>
      </w:pPr>
      <w:r>
        <w:t xml:space="preserve">Overall conclusion: the “carousel” is a useful model</w:t>
      </w:r>
      <w:r>
        <w:t xml:space="preserve"> </w:t>
      </w:r>
      <w:r>
        <w:rPr>
          <w:b/>
          <w:bCs/>
        </w:rPr>
        <w:t xml:space="preserve">if</w:t>
      </w:r>
      <w:r>
        <w:t xml:space="preserve"> </w:t>
      </w:r>
      <w:r>
        <w:t xml:space="preserve">it is refined into a domain‑specific mechanism. The pattern is most consistent in</w:t>
      </w:r>
      <w:r>
        <w:t xml:space="preserve"> </w:t>
      </w:r>
      <w:r>
        <w:rPr>
          <w:b/>
          <w:bCs/>
        </w:rPr>
        <w:t xml:space="preserve">culture-war and administrative-posture arenas</w:t>
      </w:r>
      <w:r>
        <w:t xml:space="preserve"> </w:t>
      </w:r>
      <w:r>
        <w:t xml:space="preserve">(high symbolism, high reversibility) and least consistent in</w:t>
      </w:r>
      <w:r>
        <w:t xml:space="preserve"> </w:t>
      </w:r>
      <w:r>
        <w:rPr>
          <w:b/>
          <w:bCs/>
        </w:rPr>
        <w:t xml:space="preserve">judicial politics and tax architecture</w:t>
      </w:r>
      <w:r>
        <w:t xml:space="preserve"> </w:t>
      </w:r>
      <w:r>
        <w:t xml:space="preserve">(lower reversibility, higher durability), where insurgent branding frequently coexists with outcomes that long-standing conservative elite networks strongly prioritize.</w:t>
      </w:r>
      <w:r>
        <w:t xml:space="preserve"> </w:t>
      </w:r>
      <w:hyperlink r:id="rId21">
        <w:r>
          <w:rPr>
            <w:rStyle w:val="Hyperlink"/>
          </w:rPr>
          <w:t xml:space="preserve">[9]</w:t>
        </w:r>
      </w:hyperlink>
    </w:p>
    <w:bookmarkEnd w:id="28"/>
    <w:bookmarkStart w:id="37" w:name="framework-and-definitions"/>
    <w:p>
      <w:pPr>
        <w:pStyle w:val="Heading2"/>
      </w:pPr>
      <w:r>
        <w:t xml:space="preserve">Framework and definitions</w:t>
      </w:r>
    </w:p>
    <w:bookmarkStart w:id="30" w:name="X543da80f0c461684d8bda1b5b3965e0997d1b0c"/>
    <w:p>
      <w:pPr>
        <w:pStyle w:val="Heading3"/>
      </w:pPr>
      <w:r>
        <w:t xml:space="preserve">Anti-establishment branding as populist framing</w:t>
      </w:r>
    </w:p>
    <w:p>
      <w:pPr>
        <w:pStyle w:val="FirstParagraph"/>
      </w:pPr>
      <w:r>
        <w:t xml:space="preserve">In political science, a common “ideational” definition treats populism as a thin-centered ideology that divides society into “the pure people” versus “the corrupt elite,” insisting politics should express the general will of the people.</w:t>
      </w:r>
      <w:r>
        <w:t xml:space="preserve"> </w:t>
      </w:r>
      <w:hyperlink r:id="rId29">
        <w:r>
          <w:rPr>
            <w:rStyle w:val="Hyperlink"/>
          </w:rPr>
          <w:t xml:space="preserve">[10]</w:t>
        </w:r>
      </w:hyperlink>
      <w:r>
        <w:t xml:space="preserve"> </w:t>
      </w:r>
      <w:r>
        <w:t xml:space="preserve">In U.S. right‑wing practice since 2000, “anti‑establishment” branding often draws on this logic: delegitimizing institutions (“Washington,” “the swamp,” expert bureaucracy, legacy media), elevating authentic outsiders, and</w:t>
      </w:r>
      <w:r>
        <w:t xml:space="preserve"> </w:t>
      </w:r>
      <w:r>
        <w:t xml:space="preserve">shifting evaluation from governance competence to identity performance and conflict stance.</w:t>
      </w:r>
      <w:r>
        <w:t xml:space="preserve"> </w:t>
      </w:r>
      <w:hyperlink r:id="rId24">
        <w:r>
          <w:rPr>
            <w:rStyle w:val="Hyperlink"/>
          </w:rPr>
          <w:t xml:space="preserve">[11]</w:t>
        </w:r>
      </w:hyperlink>
    </w:p>
    <w:bookmarkEnd w:id="30"/>
    <w:bookmarkStart w:id="31" w:name="X4bc33ad53fa98ff3f92125ad42f196d536414d0"/>
    <w:p>
      <w:pPr>
        <w:pStyle w:val="Heading3"/>
      </w:pPr>
      <w:r>
        <w:t xml:space="preserve">Governing coalitions and policy throughput</w:t>
      </w:r>
    </w:p>
    <w:p>
      <w:pPr>
        <w:pStyle w:val="FirstParagraph"/>
      </w:pPr>
      <w:r>
        <w:t xml:space="preserve">This report separates:</w:t>
      </w:r>
    </w:p>
    <w:p>
      <w:pPr>
        <w:pStyle w:val="BodyText"/>
      </w:pPr>
      <w:r>
        <w:rPr>
          <w:b/>
          <w:bCs/>
        </w:rPr>
        <w:t xml:space="preserve">Branding</w:t>
      </w:r>
      <w:r>
        <w:t xml:space="preserve">: how a movement/figure describes itself and its enemies (campaign speeches, ads, rallies, media outputs, advocacy messaging).</w:t>
      </w:r>
      <w:r>
        <w:t xml:space="preserve"> </w:t>
      </w:r>
      <w:hyperlink r:id="rId24">
        <w:r>
          <w:rPr>
            <w:rStyle w:val="Hyperlink"/>
          </w:rPr>
          <w:t xml:space="preserve">[12]</w:t>
        </w:r>
      </w:hyperlink>
    </w:p>
    <w:p>
      <w:pPr>
        <w:pStyle w:val="BodyText"/>
      </w:pPr>
      <w:r>
        <w:rPr>
          <w:b/>
          <w:bCs/>
        </w:rPr>
        <w:t xml:space="preserve">Governing coalition</w:t>
      </w:r>
      <w:r>
        <w:t xml:space="preserve">: the operational alliance needed to govern—party leadership, committee chairs, donors/advocacy groups, agency heads, aligned media, and cross‑branch networks (especially judicial selection pipelines).</w:t>
      </w:r>
      <w:r>
        <w:t xml:space="preserve"> </w:t>
      </w:r>
      <w:hyperlink r:id="rId25">
        <w:r>
          <w:rPr>
            <w:rStyle w:val="Hyperlink"/>
          </w:rPr>
          <w:t xml:space="preserve">[13]</w:t>
        </w:r>
      </w:hyperlink>
    </w:p>
    <w:p>
      <w:pPr>
        <w:pStyle w:val="BodyText"/>
      </w:pPr>
      <w:r>
        <w:rPr>
          <w:b/>
          <w:bCs/>
        </w:rPr>
        <w:t xml:space="preserve">Policy throughput</w:t>
      </w:r>
      <w:r>
        <w:t xml:space="preserve">: the observable outputs of governance—statutes, appropriations, major rulemakings, executive orders, proclamations, CRA disapprovals, and appointment records.</w:t>
      </w:r>
      <w:r>
        <w:t xml:space="preserve"> </w:t>
      </w:r>
      <w:hyperlink r:id="rId21">
        <w:r>
          <w:rPr>
            <w:rStyle w:val="Hyperlink"/>
          </w:rPr>
          <w:t xml:space="preserve">[14]</w:t>
        </w:r>
      </w:hyperlink>
    </w:p>
    <w:bookmarkEnd w:id="31"/>
    <w:bookmarkStart w:id="33" w:name="systemic-change-vs-symbolic-change"/>
    <w:p>
      <w:pPr>
        <w:pStyle w:val="Heading3"/>
      </w:pPr>
      <w:r>
        <w:t xml:space="preserve">Systemic change vs symbolic change</w:t>
      </w:r>
    </w:p>
    <w:p>
      <w:pPr>
        <w:pStyle w:val="FirstParagraph"/>
      </w:pPr>
      <w:r>
        <w:t xml:space="preserve">To make the “carousel” falsifiable, the report uses operational distinctions grounded in U.S. institutional realities:</w:t>
      </w:r>
    </w:p>
    <w:p>
      <w:pPr>
        <w:pStyle w:val="BodyText"/>
      </w:pPr>
      <w:r>
        <w:rPr>
          <w:b/>
          <w:bCs/>
        </w:rPr>
        <w:t xml:space="preserve">Systemic change</w:t>
      </w:r>
      <w:r>
        <w:t xml:space="preserve">: changes that are (a) legally durable, (b) costly for successors to reverse, and/or (c) restructure incentives and capacity. Typical instruments include statutes, appropriations locked into baselines, treaty commitments with institutional entanglement, and lifetime judicial appointments.</w:t>
      </w:r>
      <w:r>
        <w:t xml:space="preserve"> </w:t>
      </w:r>
      <w:hyperlink r:id="rId21">
        <w:r>
          <w:rPr>
            <w:rStyle w:val="Hyperlink"/>
          </w:rPr>
          <w:t xml:space="preserve">[15]</w:t>
        </w:r>
      </w:hyperlink>
    </w:p>
    <w:p>
      <w:pPr>
        <w:pStyle w:val="BodyText"/>
      </w:pPr>
      <w:r>
        <w:rPr>
          <w:b/>
          <w:bCs/>
        </w:rPr>
        <w:t xml:space="preserve">Symbolic change</w:t>
      </w:r>
      <w:r>
        <w:t xml:space="preserve">: actions that maximize visible signaling with limited durable restructuring—messaging votes, nonbinding resolutions, temporary shutdown brinkmanship, executive actions designed as immediate “wins” but exposed to reversal, or narrowly targeted culture-war gestures.</w:t>
      </w:r>
      <w:r>
        <w:t xml:space="preserve"> </w:t>
      </w:r>
      <w:hyperlink r:id="rId32">
        <w:r>
          <w:rPr>
            <w:rStyle w:val="Hyperlink"/>
          </w:rPr>
          <w:t xml:space="preserve">[16]</w:t>
        </w:r>
      </w:hyperlink>
    </w:p>
    <w:p>
      <w:pPr>
        <w:pStyle w:val="BodyText"/>
      </w:pPr>
      <w:r>
        <w:rPr>
          <w:b/>
          <w:bCs/>
        </w:rPr>
        <w:t xml:space="preserve">Reversible change</w:t>
      </w:r>
      <w:r>
        <w:t xml:space="preserve">: a special subset of symbolic change—actions that successors can generally revoke/modify quickly, particularly executive orders and certain directives. CRS explicitly notes executive orders’ impermanence because later presidents can generally revoke or modify them.</w:t>
      </w:r>
      <w:r>
        <w:t xml:space="preserve"> </w:t>
      </w:r>
      <w:hyperlink r:id="rId21">
        <w:r>
          <w:rPr>
            <w:rStyle w:val="Hyperlink"/>
          </w:rPr>
          <w:t xml:space="preserve">[17]</w:t>
        </w:r>
      </w:hyperlink>
    </w:p>
    <w:bookmarkEnd w:id="33"/>
    <w:bookmarkStart w:id="36" w:name="falsifiable-theses"/>
    <w:p>
      <w:pPr>
        <w:pStyle w:val="Heading3"/>
      </w:pPr>
      <w:r>
        <w:t xml:space="preserve">Falsifiable theses</w:t>
      </w:r>
    </w:p>
    <w:p>
      <w:pPr>
        <w:pStyle w:val="FirstParagraph"/>
      </w:pPr>
      <w:r>
        <w:t xml:space="preserve">Each thesis below generates testable predictions against the case evidence:</w:t>
      </w:r>
    </w:p>
    <w:p>
      <w:pPr>
        <w:pStyle w:val="BodyText"/>
      </w:pPr>
      <w:r>
        <w:rPr>
          <w:b/>
          <w:bCs/>
        </w:rPr>
        <w:t xml:space="preserve">Symbolic substitution thesis.</w:t>
      </w:r>
      <w:r>
        <w:t xml:space="preserve"> </w:t>
      </w:r>
      <w:r>
        <w:t xml:space="preserve">When anti‑establishment campaigns face governing constraints, coalitions substitute symbolic conflict (shutdown threats, headline EOs, investigations) for broad structural reform, while treating constraint itself as proof of enemy sabotage. Prediction: high branding intensity coexists with low durable throughput in the movement’s core promised domains.</w:t>
      </w:r>
      <w:r>
        <w:t xml:space="preserve"> </w:t>
      </w:r>
      <w:hyperlink r:id="rId32">
        <w:r>
          <w:rPr>
            <w:rStyle w:val="Hyperlink"/>
          </w:rPr>
          <w:t xml:space="preserve">[16]</w:t>
        </w:r>
      </w:hyperlink>
    </w:p>
    <w:p>
      <w:pPr>
        <w:pStyle w:val="BodyText"/>
      </w:pPr>
      <w:r>
        <w:rPr>
          <w:b/>
          <w:bCs/>
        </w:rPr>
        <w:t xml:space="preserve">Elite-convergence thesis.</w:t>
      </w:r>
      <w:r>
        <w:t xml:space="preserve"> </w:t>
      </w:r>
      <w:r>
        <w:t xml:space="preserve">Insurgent branding does not prevent—indeed may facilitate—policy convergence with elite priorities (tax structure, deregulatory agendas, security‑state continuity), because elite network capacity and governability require those alignments. Prediction: donor/advocacy and personnel pipelines correlate with durable outputs in elite‑salient domains.</w:t>
      </w:r>
      <w:r>
        <w:t xml:space="preserve"> </w:t>
      </w:r>
      <w:hyperlink r:id="rId34">
        <w:r>
          <w:rPr>
            <w:rStyle w:val="Hyperlink"/>
          </w:rPr>
          <w:t xml:space="preserve">[18]</w:t>
        </w:r>
      </w:hyperlink>
    </w:p>
    <w:p>
      <w:pPr>
        <w:pStyle w:val="BodyText"/>
      </w:pPr>
      <w:r>
        <w:rPr>
          <w:b/>
          <w:bCs/>
        </w:rPr>
        <w:t xml:space="preserve">Reversibility cycle thesis.</w:t>
      </w:r>
      <w:r>
        <w:t xml:space="preserve"> </w:t>
      </w:r>
      <w:r>
        <w:t xml:space="preserve">Executive-centered governance produces a “ping‑pong” pattern where successive administrations rapidly reverse predecessor priorities, enabling movements to treat temporary halts as major victories. Prediction: a high share of outputs occur through executive instruments and are subsequently revoked/redirected.</w:t>
      </w:r>
      <w:r>
        <w:t xml:space="preserve"> </w:t>
      </w:r>
      <w:hyperlink r:id="rId21">
        <w:r>
          <w:rPr>
            <w:rStyle w:val="Hyperlink"/>
          </w:rPr>
          <w:t xml:space="preserve">[19]</w:t>
        </w:r>
      </w:hyperlink>
    </w:p>
    <w:p>
      <w:pPr>
        <w:pStyle w:val="BodyText"/>
      </w:pPr>
      <w:r>
        <w:rPr>
          <w:b/>
          <w:bCs/>
        </w:rPr>
        <w:t xml:space="preserve">Durability-by-channel thesis.</w:t>
      </w:r>
      <w:r>
        <w:t xml:space="preserve"> </w:t>
      </w:r>
      <w:r>
        <w:t xml:space="preserve">Where the right’s coalition invests in institutionally durable channels (judiciary; certain tax provisions), outcomes persist beyond electoral cycles. Prediction: even if many agenda items are reversible, courts/tax changes show higher durability than culture-war executive actions.</w:t>
      </w:r>
      <w:r>
        <w:t xml:space="preserve"> </w:t>
      </w:r>
      <w:hyperlink r:id="rId35">
        <w:r>
          <w:rPr>
            <w:rStyle w:val="Hyperlink"/>
          </w:rPr>
          <w:t xml:space="preserve">[20]</w:t>
        </w:r>
      </w:hyperlink>
    </w:p>
    <w:bookmarkEnd w:id="36"/>
    <w:bookmarkEnd w:id="37"/>
    <w:bookmarkStart w:id="50" w:name="methodology-and-sources"/>
    <w:p>
      <w:pPr>
        <w:pStyle w:val="Heading2"/>
      </w:pPr>
      <w:r>
        <w:t xml:space="preserve">Methodology and sources</w:t>
      </w:r>
    </w:p>
    <w:bookmarkStart w:id="38" w:name="research-design"/>
    <w:p>
      <w:pPr>
        <w:pStyle w:val="Heading3"/>
      </w:pPr>
      <w:r>
        <w:t xml:space="preserve">Research design</w:t>
      </w:r>
    </w:p>
    <w:p>
      <w:pPr>
        <w:pStyle w:val="FirstParagraph"/>
      </w:pPr>
      <w:r>
        <w:t xml:space="preserve">The report proceeds case-by-case and then compares across cases:</w:t>
      </w:r>
    </w:p>
    <w:p>
      <w:pPr>
        <w:pStyle w:val="BodyText"/>
      </w:pPr>
      <w:r>
        <w:t xml:space="preserve">First, it identifies</w:t>
      </w:r>
      <w:r>
        <w:t xml:space="preserve"> </w:t>
      </w:r>
      <w:r>
        <w:rPr>
          <w:b/>
          <w:bCs/>
        </w:rPr>
        <w:t xml:space="preserve">high-salience branding claims</w:t>
      </w:r>
      <w:r>
        <w:t xml:space="preserve"> </w:t>
      </w:r>
      <w:r>
        <w:t xml:space="preserve">from primary texts (speeches, testimony, advocacy messaging).</w:t>
      </w:r>
      <w:r>
        <w:t xml:space="preserve"> </w:t>
      </w:r>
      <w:hyperlink r:id="rId24">
        <w:r>
          <w:rPr>
            <w:rStyle w:val="Hyperlink"/>
          </w:rPr>
          <w:t xml:space="preserve">[12]</w:t>
        </w:r>
      </w:hyperlink>
    </w:p>
    <w:p>
      <w:pPr>
        <w:pStyle w:val="BodyText"/>
      </w:pPr>
      <w:r>
        <w:t xml:space="preserve">Second, it compiles</w:t>
      </w:r>
      <w:r>
        <w:t xml:space="preserve"> </w:t>
      </w:r>
      <w:r>
        <w:rPr>
          <w:b/>
          <w:bCs/>
        </w:rPr>
        <w:t xml:space="preserve">policy throughput</w:t>
      </w:r>
      <w:r>
        <w:t xml:space="preserve"> </w:t>
      </w:r>
      <w:r>
        <w:t xml:space="preserve">from official repositories: executive orders and presidential documents; enacted laws and votes; budgets/deficits; and appointment records.</w:t>
      </w:r>
      <w:r>
        <w:t xml:space="preserve"> </w:t>
      </w:r>
      <w:hyperlink r:id="rId26">
        <w:r>
          <w:rPr>
            <w:rStyle w:val="Hyperlink"/>
          </w:rPr>
          <w:t xml:space="preserve">[21]</w:t>
        </w:r>
      </w:hyperlink>
    </w:p>
    <w:p>
      <w:pPr>
        <w:pStyle w:val="BodyText"/>
      </w:pPr>
      <w:r>
        <w:t xml:space="preserve">Third, it assesses: (a)</w:t>
      </w:r>
      <w:r>
        <w:t xml:space="preserve"> </w:t>
      </w:r>
      <w:r>
        <w:rPr>
          <w:b/>
          <w:bCs/>
        </w:rPr>
        <w:t xml:space="preserve">durability</w:t>
      </w:r>
      <w:r>
        <w:t xml:space="preserve"> </w:t>
      </w:r>
      <w:r>
        <w:t xml:space="preserve">(difficulty/cost of reversal), (b)</w:t>
      </w:r>
      <w:r>
        <w:t xml:space="preserve"> </w:t>
      </w:r>
      <w:r>
        <w:rPr>
          <w:b/>
          <w:bCs/>
        </w:rPr>
        <w:t xml:space="preserve">reversibility</w:t>
      </w:r>
      <w:r>
        <w:t xml:space="preserve"> </w:t>
      </w:r>
      <w:r>
        <w:t xml:space="preserve">(subsequent revocations/terminations), and (c)</w:t>
      </w:r>
      <w:r>
        <w:t xml:space="preserve"> </w:t>
      </w:r>
      <w:r>
        <w:rPr>
          <w:b/>
          <w:bCs/>
        </w:rPr>
        <w:t xml:space="preserve">elite convergence</w:t>
      </w:r>
      <w:r>
        <w:t xml:space="preserve"> </w:t>
      </w:r>
      <w:r>
        <w:t xml:space="preserve">(personnel, donor/advocacy networks, and policy domain alignment).</w:t>
      </w:r>
      <w:r>
        <w:t xml:space="preserve"> </w:t>
      </w:r>
      <w:hyperlink r:id="rId21">
        <w:r>
          <w:rPr>
            <w:rStyle w:val="Hyperlink"/>
          </w:rPr>
          <w:t xml:space="preserve">[22]</w:t>
        </w:r>
      </w:hyperlink>
    </w:p>
    <w:bookmarkEnd w:id="38"/>
    <w:bookmarkStart w:id="48" w:name="source-priority"/>
    <w:p>
      <w:pPr>
        <w:pStyle w:val="Heading3"/>
      </w:pPr>
      <w:r>
        <w:t xml:space="preserve">Source priority</w:t>
      </w:r>
    </w:p>
    <w:p>
      <w:pPr>
        <w:pStyle w:val="FirstParagraph"/>
      </w:pPr>
      <w:r>
        <w:t xml:space="preserve">Primary/official sources emphasized:</w:t>
      </w:r>
    </w:p>
    <w:p>
      <w:pPr>
        <w:pStyle w:val="Compact"/>
        <w:numPr>
          <w:ilvl w:val="0"/>
          <w:numId w:val="1001"/>
        </w:numPr>
      </w:pPr>
      <w:r>
        <w:t xml:space="preserve">Executive orders and counts from the Federal Register</w:t>
      </w:r>
      <w:hyperlink r:id="rId32">
        <w:r>
          <w:rPr>
            <w:rStyle w:val="Hyperlink"/>
          </w:rPr>
          <w:t xml:space="preserve">[23]</w:t>
        </w:r>
      </w:hyperlink>
      <w:r>
        <w:t xml:space="preserve">.</w:t>
      </w:r>
      <w:r>
        <w:t xml:space="preserve"> </w:t>
      </w:r>
      <w:hyperlink r:id="rId26">
        <w:r>
          <w:rPr>
            <w:rStyle w:val="Hyperlink"/>
          </w:rPr>
          <w:t xml:space="preserve">[24]</w:t>
        </w:r>
      </w:hyperlink>
    </w:p>
    <w:p>
      <w:pPr>
        <w:pStyle w:val="Compact"/>
        <w:numPr>
          <w:ilvl w:val="0"/>
          <w:numId w:val="1001"/>
        </w:numPr>
      </w:pPr>
      <w:r>
        <w:t xml:space="preserve">Enacted laws and bill histories from Congress.gov</w:t>
      </w:r>
      <w:hyperlink r:id="rId25">
        <w:r>
          <w:rPr>
            <w:rStyle w:val="Hyperlink"/>
          </w:rPr>
          <w:t xml:space="preserve">[25]</w:t>
        </w:r>
      </w:hyperlink>
      <w:r>
        <w:t xml:space="preserve">.</w:t>
      </w:r>
      <w:r>
        <w:t xml:space="preserve"> </w:t>
      </w:r>
      <w:hyperlink r:id="rId39">
        <w:r>
          <w:rPr>
            <w:rStyle w:val="Hyperlink"/>
          </w:rPr>
          <w:t xml:space="preserve">[26]</w:t>
        </w:r>
      </w:hyperlink>
    </w:p>
    <w:p>
      <w:pPr>
        <w:pStyle w:val="Compact"/>
        <w:numPr>
          <w:ilvl w:val="0"/>
          <w:numId w:val="1001"/>
        </w:numPr>
      </w:pPr>
      <w:r>
        <w:t xml:space="preserve">CRA disapproval enactments from the U.S. Government Accountability Office</w:t>
      </w:r>
      <w:hyperlink r:id="rId40">
        <w:r>
          <w:rPr>
            <w:rStyle w:val="Hyperlink"/>
          </w:rPr>
          <w:t xml:space="preserve">[27]</w:t>
        </w:r>
      </w:hyperlink>
      <w:r>
        <w:t xml:space="preserve">.</w:t>
      </w:r>
      <w:r>
        <w:t xml:space="preserve"> </w:t>
      </w:r>
      <w:hyperlink r:id="rId41">
        <w:r>
          <w:rPr>
            <w:rStyle w:val="Hyperlink"/>
          </w:rPr>
          <w:t xml:space="preserve">[28]</w:t>
        </w:r>
      </w:hyperlink>
    </w:p>
    <w:p>
      <w:pPr>
        <w:pStyle w:val="Compact"/>
        <w:numPr>
          <w:ilvl w:val="0"/>
          <w:numId w:val="1001"/>
        </w:numPr>
      </w:pPr>
      <w:r>
        <w:t xml:space="preserve">Tax distribution analysis from the Joint Committee on Taxation</w:t>
      </w:r>
      <w:hyperlink r:id="rId24">
        <w:r>
          <w:rPr>
            <w:rStyle w:val="Hyperlink"/>
          </w:rPr>
          <w:t xml:space="preserve">[29]</w:t>
        </w:r>
      </w:hyperlink>
      <w:r>
        <w:t xml:space="preserve">.</w:t>
      </w:r>
      <w:r>
        <w:t xml:space="preserve"> </w:t>
      </w:r>
      <w:hyperlink r:id="rId42">
        <w:r>
          <w:rPr>
            <w:rStyle w:val="Hyperlink"/>
          </w:rPr>
          <w:t xml:space="preserve">[30]</w:t>
        </w:r>
      </w:hyperlink>
    </w:p>
    <w:p>
      <w:pPr>
        <w:pStyle w:val="Compact"/>
        <w:numPr>
          <w:ilvl w:val="0"/>
          <w:numId w:val="1001"/>
        </w:numPr>
      </w:pPr>
      <w:r>
        <w:t xml:space="preserve">Deficit figures from the Congressional Budget Office</w:t>
      </w:r>
      <w:hyperlink r:id="rId21">
        <w:r>
          <w:rPr>
            <w:rStyle w:val="Hyperlink"/>
          </w:rPr>
          <w:t xml:space="preserve">[31]</w:t>
        </w:r>
      </w:hyperlink>
      <w:r>
        <w:t xml:space="preserve"> </w:t>
      </w:r>
      <w:r>
        <w:t xml:space="preserve">and U.S. Treasury Fiscal Data</w:t>
      </w:r>
      <w:hyperlink r:id="rId25">
        <w:r>
          <w:rPr>
            <w:rStyle w:val="Hyperlink"/>
          </w:rPr>
          <w:t xml:space="preserve">[32]</w:t>
        </w:r>
      </w:hyperlink>
      <w:r>
        <w:t xml:space="preserve">.</w:t>
      </w:r>
      <w:r>
        <w:t xml:space="preserve"> </w:t>
      </w:r>
      <w:hyperlink r:id="rId43">
        <w:r>
          <w:rPr>
            <w:rStyle w:val="Hyperlink"/>
          </w:rPr>
          <w:t xml:space="preserve">[33]</w:t>
        </w:r>
      </w:hyperlink>
    </w:p>
    <w:p>
      <w:pPr>
        <w:pStyle w:val="Compact"/>
        <w:numPr>
          <w:ilvl w:val="0"/>
          <w:numId w:val="1001"/>
        </w:numPr>
      </w:pPr>
      <w:r>
        <w:t xml:space="preserve">Roll calls from the House Clerk and Senate roll-call systems.</w:t>
      </w:r>
      <w:r>
        <w:t xml:space="preserve"> </w:t>
      </w:r>
      <w:hyperlink r:id="rId44">
        <w:r>
          <w:rPr>
            <w:rStyle w:val="Hyperlink"/>
          </w:rPr>
          <w:t xml:space="preserve">[34]</w:t>
        </w:r>
      </w:hyperlink>
    </w:p>
    <w:p>
      <w:pPr>
        <w:pStyle w:val="FirstParagraph"/>
      </w:pPr>
      <w:r>
        <w:t xml:space="preserve">Secondary analyses emphasized:</w:t>
      </w:r>
    </w:p>
    <w:p>
      <w:pPr>
        <w:pStyle w:val="Compact"/>
        <w:numPr>
          <w:ilvl w:val="0"/>
          <w:numId w:val="1002"/>
        </w:numPr>
      </w:pPr>
      <w:r>
        <w:t xml:space="preserve">Peer‑reviewed political science on Tea Party emergence and elite support.</w:t>
      </w:r>
      <w:r>
        <w:t xml:space="preserve"> </w:t>
      </w:r>
      <w:hyperlink r:id="rId45">
        <w:r>
          <w:rPr>
            <w:rStyle w:val="Hyperlink"/>
          </w:rPr>
          <w:t xml:space="preserve">[35]</w:t>
        </w:r>
      </w:hyperlink>
    </w:p>
    <w:p>
      <w:pPr>
        <w:pStyle w:val="Compact"/>
        <w:numPr>
          <w:ilvl w:val="0"/>
          <w:numId w:val="1002"/>
        </w:numPr>
      </w:pPr>
      <w:r>
        <w:t xml:space="preserve">Institutional/legal analysis of executive order durability and reversals (CRS).</w:t>
      </w:r>
      <w:r>
        <w:t xml:space="preserve"> </w:t>
      </w:r>
      <w:hyperlink r:id="rId21">
        <w:r>
          <w:rPr>
            <w:rStyle w:val="Hyperlink"/>
          </w:rPr>
          <w:t xml:space="preserve">[17]</w:t>
        </w:r>
      </w:hyperlink>
    </w:p>
    <w:p>
      <w:pPr>
        <w:pStyle w:val="Compact"/>
        <w:numPr>
          <w:ilvl w:val="0"/>
          <w:numId w:val="1002"/>
        </w:numPr>
      </w:pPr>
      <w:r>
        <w:t xml:space="preserve">High‑quality investigative journalism on staffing/lobbying networks.</w:t>
      </w:r>
      <w:r>
        <w:t xml:space="preserve"> </w:t>
      </w:r>
      <w:hyperlink r:id="rId46">
        <w:r>
          <w:rPr>
            <w:rStyle w:val="Hyperlink"/>
          </w:rPr>
          <w:t xml:space="preserve">[36]</w:t>
        </w:r>
      </w:hyperlink>
    </w:p>
    <w:p>
      <w:pPr>
        <w:pStyle w:val="Compact"/>
        <w:numPr>
          <w:ilvl w:val="0"/>
          <w:numId w:val="1002"/>
        </w:numPr>
      </w:pPr>
      <w:r>
        <w:t xml:space="preserve">Reputable wire services for appointment counts and critical episodes.</w:t>
      </w:r>
      <w:r>
        <w:t xml:space="preserve"> </w:t>
      </w:r>
      <w:hyperlink r:id="rId47">
        <w:r>
          <w:rPr>
            <w:rStyle w:val="Hyperlink"/>
          </w:rPr>
          <w:t xml:space="preserve">[37]</w:t>
        </w:r>
      </w:hyperlink>
    </w:p>
    <w:bookmarkEnd w:id="48"/>
    <w:bookmarkStart w:id="49" w:name="key-primary-source-links"/>
    <w:p>
      <w:pPr>
        <w:pStyle w:val="Heading3"/>
      </w:pPr>
      <w:r>
        <w:t xml:space="preserve">Key primary source links</w:t>
      </w:r>
    </w:p>
    <w:p>
      <w:pPr>
        <w:pStyle w:val="SourceCode"/>
      </w:pPr>
      <w:r>
        <w:rPr>
          <w:rStyle w:val="VerbatimChar"/>
        </w:rPr>
        <w:t xml:space="preserve">Federal Register EO counts by president: https://www.federalregister.gov/presidential-documents/executive-orders</w:t>
      </w:r>
      <w:r>
        <w:br/>
      </w:r>
      <w:r>
        <w:rPr>
          <w:rStyle w:val="VerbatimChar"/>
        </w:rPr>
        <w:t xml:space="preserve">GAO CRA enacted disapprovals list: https://www.gao.gov/legal/congressional-review-act/faqs-on-the-congressional-review-act</w:t>
      </w:r>
      <w:r>
        <w:br/>
      </w:r>
      <w:r>
        <w:rPr>
          <w:rStyle w:val="VerbatimChar"/>
        </w:rPr>
        <w:t xml:space="preserve">JCT distribution tables for TCJA (JCX-68-17 PDF): https://www.jct.gov/getattachment/45580637-252a-4c6f-b434-a2085f417920/x-68-17-5054.pdf</w:t>
      </w:r>
      <w:r>
        <w:br/>
      </w:r>
      <w:r>
        <w:rPr>
          <w:rStyle w:val="VerbatimChar"/>
        </w:rPr>
        <w:t xml:space="preserve">Budget Control Act of 2011 (Public Law 112-25 PDF): https://www.congress.gov/112/plaws/publ25/PLAW-112publ25.pdf</w:t>
      </w:r>
      <w:r>
        <w:br/>
      </w:r>
      <w:r>
        <w:rPr>
          <w:rStyle w:val="VerbatimChar"/>
        </w:rPr>
        <w:t xml:space="preserve">CBO FY2013 deficit summary: https://www.cbo.gov/publication/44716</w:t>
      </w:r>
      <w:r>
        <w:br/>
      </w:r>
      <w:r>
        <w:rPr>
          <w:rStyle w:val="VerbatimChar"/>
        </w:rPr>
        <w:t xml:space="preserve">Congress.gov bill history for Iraq AUMF 2002 (H.J.Res.114): https://www.congress.gov/bill/107th-congress/house-joint-resolution/114</w:t>
      </w:r>
    </w:p>
    <w:bookmarkEnd w:id="49"/>
    <w:bookmarkEnd w:id="50"/>
    <w:bookmarkStart w:id="71" w:name="case-studies-since-2000"/>
    <w:p>
      <w:pPr>
        <w:pStyle w:val="Heading2"/>
      </w:pPr>
      <w:r>
        <w:t xml:space="preserve">Case studies since 2000</w:t>
      </w:r>
    </w:p>
    <w:bookmarkStart w:id="55" w:name="X3b521005b122531ce8d91687cd33a571677e8df"/>
    <w:p>
      <w:pPr>
        <w:pStyle w:val="Heading3"/>
      </w:pPr>
      <w:r>
        <w:t xml:space="preserve">Tea Party insurgency to governing leverage</w:t>
      </w:r>
    </w:p>
    <w:p>
      <w:pPr>
        <w:pStyle w:val="FirstParagraph"/>
      </w:pPr>
      <w:r>
        <w:rPr>
          <w:b/>
          <w:bCs/>
        </w:rPr>
        <w:t xml:space="preserve">Branding and identity claims.</w:t>
      </w:r>
      <w:r>
        <w:t xml:space="preserve"> </w:t>
      </w:r>
      <w:r>
        <w:t xml:space="preserve">Tea Party–aligned organizing explicitly framed itself as an overreach check on Washington, anchored in a triad of “fiscal responsibility,” “constitutionally limited government,” and “free markets,” as stated in primary testimony by a Tea Party Patriots president.</w:t>
      </w:r>
      <w:r>
        <w:t xml:space="preserve"> </w:t>
      </w:r>
      <w:hyperlink r:id="rId22">
        <w:r>
          <w:rPr>
            <w:rStyle w:val="Hyperlink"/>
          </w:rPr>
          <w:t xml:space="preserve">[38]</w:t>
        </w:r>
      </w:hyperlink>
    </w:p>
    <w:p>
      <w:pPr>
        <w:pStyle w:val="BodyText"/>
      </w:pPr>
      <w:r>
        <w:rPr>
          <w:b/>
          <w:bCs/>
        </w:rPr>
        <w:t xml:space="preserve">Elite-aligned infrastructure.</w:t>
      </w:r>
      <w:r>
        <w:t xml:space="preserve"> </w:t>
      </w:r>
      <w:r>
        <w:t xml:space="preserve">Peer‑reviewed scholarship based on participant observation and interviews argues that the Tea Party’s national emergence offered conservatives “a new identity funded by Republican business elites and reinforced by a network of conservative media sources.”</w:t>
      </w:r>
      <w:r>
        <w:t xml:space="preserve"> </w:t>
      </w:r>
      <w:hyperlink r:id="rId45">
        <w:r>
          <w:rPr>
            <w:rStyle w:val="Hyperlink"/>
          </w:rPr>
          <w:t xml:space="preserve">[35]</w:t>
        </w:r>
      </w:hyperlink>
      <w:r>
        <w:t xml:space="preserve"> </w:t>
      </w:r>
      <w:r>
        <w:t xml:space="preserve">Investigative reporting during the period also documented the role of billionaire-backed networks in expanding right‑wing organizational capacity and issue mobilization (an example of the “elite support to grassroots appearance” mechanism central to the carousel claim).</w:t>
      </w:r>
      <w:r>
        <w:t xml:space="preserve"> </w:t>
      </w:r>
      <w:hyperlink r:id="rId51">
        <w:r>
          <w:rPr>
            <w:rStyle w:val="Hyperlink"/>
          </w:rPr>
          <w:t xml:space="preserve">[39]</w:t>
        </w:r>
      </w:hyperlink>
    </w:p>
    <w:p>
      <w:pPr>
        <w:pStyle w:val="BodyText"/>
      </w:pPr>
      <w:r>
        <w:rPr>
          <w:b/>
          <w:bCs/>
        </w:rPr>
        <w:t xml:space="preserve">Policy throughput: one major durable imprint, many symbolic confrontations.</w:t>
      </w:r>
      <w:r>
        <w:t xml:space="preserve"> </w:t>
      </w:r>
      <w:r>
        <w:t xml:space="preserve">The most structurally durable Tea Party–era federal outcome closely associated with the movement’s fiscal revolt was the</w:t>
      </w:r>
      <w:r>
        <w:t xml:space="preserve"> </w:t>
      </w:r>
      <w:r>
        <w:rPr>
          <w:b/>
          <w:bCs/>
        </w:rPr>
        <w:t xml:space="preserve">Budget Control Act of 2011</w:t>
      </w:r>
      <w:r>
        <w:t xml:space="preserve"> </w:t>
      </w:r>
      <w:r>
        <w:t xml:space="preserve">(Public Law 112‑25), enacted in the context of debt‑limit brinkmanship, which set up spending caps and enforcement mechanisms (including sequestration procedures).</w:t>
      </w:r>
      <w:r>
        <w:t xml:space="preserve"> </w:t>
      </w:r>
      <w:hyperlink r:id="rId23">
        <w:r>
          <w:rPr>
            <w:rStyle w:val="Hyperlink"/>
          </w:rPr>
          <w:t xml:space="preserve">[40]</w:t>
        </w:r>
      </w:hyperlink>
    </w:p>
    <w:p>
      <w:pPr>
        <w:pStyle w:val="BodyText"/>
      </w:pPr>
      <w:r>
        <w:t xml:space="preserve">By contrast, the movement’s signature mass‑mobilizing target—repealing/defunding the Affordable Care Act—produced</w:t>
      </w:r>
      <w:r>
        <w:t xml:space="preserve"> </w:t>
      </w:r>
      <w:r>
        <w:rPr>
          <w:b/>
          <w:bCs/>
        </w:rPr>
        <w:t xml:space="preserve">high volumes of “messaging votes”</w:t>
      </w:r>
      <w:r>
        <w:t xml:space="preserve"> </w:t>
      </w:r>
      <w:r>
        <w:t xml:space="preserve">and brinkmanship but not full repeal. Reuters reported in early 2017 that the House had voted</w:t>
      </w:r>
      <w:r>
        <w:t xml:space="preserve"> </w:t>
      </w:r>
      <w:r>
        <w:rPr>
          <w:b/>
          <w:bCs/>
        </w:rPr>
        <w:t xml:space="preserve">more than 60 times</w:t>
      </w:r>
      <w:r>
        <w:t xml:space="preserve"> </w:t>
      </w:r>
      <w:r>
        <w:t xml:space="preserve">to repeal or alter the ACA in prior years, with little chance of enactment while President Obama could veto.</w:t>
      </w:r>
      <w:r>
        <w:t xml:space="preserve"> </w:t>
      </w:r>
      <w:hyperlink r:id="rId52">
        <w:r>
          <w:rPr>
            <w:rStyle w:val="Hyperlink"/>
          </w:rPr>
          <w:t xml:space="preserve">[41]</w:t>
        </w:r>
      </w:hyperlink>
    </w:p>
    <w:p>
      <w:pPr>
        <w:pStyle w:val="BodyText"/>
      </w:pPr>
      <w:r>
        <w:rPr>
          <w:b/>
          <w:bCs/>
        </w:rPr>
        <w:t xml:space="preserve">Spectacle and reversibility: shutdown politics as anti‑establishment performance.</w:t>
      </w:r>
      <w:r>
        <w:t xml:space="preserve"> </w:t>
      </w:r>
      <w:r>
        <w:t xml:space="preserve">A contemporaneous Congressional Record entry described the 2013 shutdown’s “proximate cause” as a Republican effort to delay funding needed to fund the ACA “to stop the Affordable Care Act.”</w:t>
      </w:r>
      <w:r>
        <w:t xml:space="preserve"> </w:t>
      </w:r>
      <w:hyperlink r:id="rId32">
        <w:r>
          <w:rPr>
            <w:rStyle w:val="Hyperlink"/>
          </w:rPr>
          <w:t xml:space="preserve">[42]</w:t>
        </w:r>
      </w:hyperlink>
      <w:r>
        <w:t xml:space="preserve"> </w:t>
      </w:r>
      <w:r>
        <w:t xml:space="preserve">Public opinion research soon after the shutdown documented declining Tea Party favorability, including within the Republican coalition—consistent with the hypothesis that confrontational symbolism imposes political costs without delivering durable program rollback.</w:t>
      </w:r>
      <w:r>
        <w:t xml:space="preserve"> </w:t>
      </w:r>
      <w:hyperlink r:id="rId53">
        <w:r>
          <w:rPr>
            <w:rStyle w:val="Hyperlink"/>
          </w:rPr>
          <w:t xml:space="preserve">[43]</w:t>
        </w:r>
      </w:hyperlink>
    </w:p>
    <w:p>
      <w:pPr>
        <w:pStyle w:val="BodyText"/>
      </w:pPr>
      <w:r>
        <w:rPr>
          <w:b/>
          <w:bCs/>
        </w:rPr>
        <w:t xml:space="preserve">Durability and unwind.</w:t>
      </w:r>
      <w:r>
        <w:t xml:space="preserve"> </w:t>
      </w:r>
      <w:r>
        <w:t xml:space="preserve">While deficit levels fell substantially from the early-2010s peak (CBO reported FY2011’s deficit around $1.3T and FY2013’s deficit $680B), the decline reflected multiple forces (economic recovery, revenue changes, and deficit-reduction measures), making it incorrect to attribute the full shift to Tea Party governance alone.</w:t>
      </w:r>
      <w:r>
        <w:t xml:space="preserve"> </w:t>
      </w:r>
      <w:hyperlink r:id="rId54">
        <w:r>
          <w:rPr>
            <w:rStyle w:val="Hyperlink"/>
          </w:rPr>
          <w:t xml:space="preserve">[44]</w:t>
        </w:r>
      </w:hyperlink>
      <w:r>
        <w:t xml:space="preserve"> </w:t>
      </w:r>
      <w:r>
        <w:t xml:space="preserve">The key carousel-relevant point is that the</w:t>
      </w:r>
      <w:r>
        <w:t xml:space="preserve"> </w:t>
      </w:r>
      <w:r>
        <w:rPr>
          <w:i/>
          <w:iCs/>
        </w:rPr>
        <w:t xml:space="preserve">symbolic claim</w:t>
      </w:r>
      <w:r>
        <w:t xml:space="preserve"> </w:t>
      </w:r>
      <w:r>
        <w:t xml:space="preserve">(“we will force structural fiscal transformation”) often outran what movement-aligned coalitions could sustain through subsequent bargaining cycles.</w:t>
      </w:r>
    </w:p>
    <w:p>
      <w:pPr>
        <w:pStyle w:val="BodyText"/>
      </w:pPr>
      <w:r>
        <w:t xml:space="preserve">Tea Party timeline (constructed from primary and scholarly sources cited above).</w:t>
      </w:r>
      <w:r>
        <w:t xml:space="preserve"> </w:t>
      </w:r>
      <w:hyperlink r:id="rId45">
        <w:r>
          <w:rPr>
            <w:rStyle w:val="Hyperlink"/>
          </w:rPr>
          <w:t xml:space="preserve">[45]</w:t>
        </w:r>
      </w:hyperlink>
    </w:p>
    <w:p>
      <w:pPr>
        <w:pStyle w:val="SourceCode"/>
      </w:pPr>
      <w:r>
        <w:rPr>
          <w:rStyle w:val="VerbatimChar"/>
        </w:rPr>
        <w:t xml:space="preserve">timeline</w:t>
      </w:r>
      <w:r>
        <w:br/>
      </w:r>
      <w:r>
        <w:rPr>
          <w:rStyle w:val="VerbatimChar"/>
        </w:rPr>
        <w:t xml:space="preserve">  title Tea Party insurgency to leverage (2009–2014)</w:t>
      </w:r>
      <w:r>
        <w:br/>
      </w:r>
      <w:r>
        <w:rPr>
          <w:rStyle w:val="VerbatimChar"/>
        </w:rPr>
        <w:t xml:space="preserve">  2009 : "Chicago Tea Party" spark and early protests</w:t>
      </w:r>
      <w:r>
        <w:br/>
      </w:r>
      <w:r>
        <w:rPr>
          <w:rStyle w:val="VerbatimChar"/>
        </w:rPr>
        <w:t xml:space="preserve">  2010 : Midterm wave; anti-ACA and anti-spending identity consolidates</w:t>
      </w:r>
      <w:r>
        <w:br/>
      </w:r>
      <w:r>
        <w:rPr>
          <w:rStyle w:val="VerbatimChar"/>
        </w:rPr>
        <w:t xml:space="preserve">  2011 : Budget Control Act enacted (spending caps/sequester framework)</w:t>
      </w:r>
      <w:r>
        <w:br/>
      </w:r>
      <w:r>
        <w:rPr>
          <w:rStyle w:val="VerbatimChar"/>
        </w:rPr>
        <w:t xml:space="preserve">  2013 : Shutdown confrontation tied to ACA defunding strategy</w:t>
      </w:r>
      <w:r>
        <w:br/>
      </w:r>
      <w:r>
        <w:rPr>
          <w:rStyle w:val="VerbatimChar"/>
        </w:rPr>
        <w:t xml:space="preserve">  2014 : Movement favorability declines; factions institutionalize inside GOP</w:t>
      </w:r>
    </w:p>
    <w:bookmarkEnd w:id="55"/>
    <w:bookmarkStart w:id="62" w:name="Xd9def52402b1a2f6880f9a16000b002caf8a310"/>
    <w:p>
      <w:pPr>
        <w:pStyle w:val="Heading3"/>
      </w:pPr>
      <w:r>
        <w:t xml:space="preserve">Trump’s first term as “drain the swamp” governance</w:t>
      </w:r>
    </w:p>
    <w:p>
      <w:pPr>
        <w:pStyle w:val="FirstParagraph"/>
      </w:pPr>
      <w:r>
        <w:rPr>
          <w:b/>
          <w:bCs/>
        </w:rPr>
        <w:t xml:space="preserve">Branding intensity.</w:t>
      </w:r>
      <w:r>
        <w:t xml:space="preserve"> </w:t>
      </w:r>
      <w:r>
        <w:t xml:space="preserve">Trump’s 2017 inaugural address presented the transfer of power as moving away from a failed political elite toward “the people,” a canonical anti‑establishment populist framing.</w:t>
      </w:r>
      <w:r>
        <w:t xml:space="preserve"> </w:t>
      </w:r>
      <w:hyperlink r:id="rId24">
        <w:r>
          <w:rPr>
            <w:rStyle w:val="Hyperlink"/>
          </w:rPr>
          <w:t xml:space="preserve">[46]</w:t>
        </w:r>
      </w:hyperlink>
    </w:p>
    <w:p>
      <w:pPr>
        <w:pStyle w:val="BodyText"/>
      </w:pPr>
      <w:r>
        <w:rPr>
          <w:b/>
          <w:bCs/>
        </w:rPr>
        <w:t xml:space="preserve">Policy throughput: heavy executive action and targeted durable wins.</w:t>
      </w:r>
      <w:r>
        <w:t xml:space="preserve"> </w:t>
      </w:r>
      <w:r>
        <w:t xml:space="preserve">Official counts show Trump signed</w:t>
      </w:r>
      <w:r>
        <w:t xml:space="preserve"> </w:t>
      </w:r>
      <w:r>
        <w:rPr>
          <w:b/>
          <w:bCs/>
        </w:rPr>
        <w:t xml:space="preserve">220 executive orders between 2017 and 2021</w:t>
      </w:r>
      <w:r>
        <w:t xml:space="preserve">.</w:t>
      </w:r>
      <w:r>
        <w:t xml:space="preserve"> </w:t>
      </w:r>
      <w:hyperlink r:id="rId26">
        <w:r>
          <w:rPr>
            <w:rStyle w:val="Hyperlink"/>
          </w:rPr>
          <w:t xml:space="preserve">[24]</w:t>
        </w:r>
      </w:hyperlink>
      <w:r>
        <w:t xml:space="preserve"> </w:t>
      </w:r>
      <w:r>
        <w:t xml:space="preserve">CRS emphasizes that executive orders can be “impermanent,” because later administrations can generally revoke or modify them.</w:t>
      </w:r>
      <w:r>
        <w:t xml:space="preserve"> </w:t>
      </w:r>
      <w:hyperlink r:id="rId21">
        <w:r>
          <w:rPr>
            <w:rStyle w:val="Hyperlink"/>
          </w:rPr>
          <w:t xml:space="preserve">[17]</w:t>
        </w:r>
      </w:hyperlink>
      <w:r>
        <w:t xml:space="preserve"> </w:t>
      </w:r>
      <w:r>
        <w:t xml:space="preserve">This pairing—high EO volume + structural impermanence—matches the “reversibility cycle” thesis.</w:t>
      </w:r>
    </w:p>
    <w:p>
      <w:pPr>
        <w:pStyle w:val="BodyText"/>
      </w:pPr>
      <w:r>
        <w:t xml:space="preserve">At the same time, durable channels mattered. Trump enacted the</w:t>
      </w:r>
      <w:r>
        <w:t xml:space="preserve"> </w:t>
      </w:r>
      <w:r>
        <w:rPr>
          <w:b/>
          <w:bCs/>
        </w:rPr>
        <w:t xml:space="preserve">Tax Cuts and Jobs Act</w:t>
      </w:r>
      <w:r>
        <w:t xml:space="preserve"> </w:t>
      </w:r>
      <w:r>
        <w:t xml:space="preserve">(Public Law 115‑97).</w:t>
      </w:r>
      <w:r>
        <w:t xml:space="preserve"> </w:t>
      </w:r>
      <w:hyperlink r:id="rId56">
        <w:r>
          <w:rPr>
            <w:rStyle w:val="Hyperlink"/>
          </w:rPr>
          <w:t xml:space="preserve">[47]</w:t>
        </w:r>
      </w:hyperlink>
      <w:r>
        <w:t xml:space="preserve"> </w:t>
      </w:r>
      <w:r>
        <w:t xml:space="preserve">The official Joint Committee on Taxation distribution tables show tax changes across income categories at multiple future points (including 2025), illustrating how major statutory tax policy can persist across cycles even as its distribution shifts across time.</w:t>
      </w:r>
      <w:r>
        <w:t xml:space="preserve"> </w:t>
      </w:r>
      <w:hyperlink r:id="rId42">
        <w:r>
          <w:rPr>
            <w:rStyle w:val="Hyperlink"/>
          </w:rPr>
          <w:t xml:space="preserve">[48]</w:t>
        </w:r>
      </w:hyperlink>
      <w:r>
        <w:t xml:space="preserve"> </w:t>
      </w:r>
      <w:r>
        <w:t xml:space="preserve">CBO estimated H.R. 1 (TCJA) would increase on‑budget deficits by about $1.456 trillion over 2018–2027, highlighting the tension between populist anti‑waste rhetoric and deficit outcomes facilitated by tax-cut architecture.</w:t>
      </w:r>
      <w:r>
        <w:t xml:space="preserve"> </w:t>
      </w:r>
      <w:hyperlink r:id="rId57">
        <w:r>
          <w:rPr>
            <w:rStyle w:val="Hyperlink"/>
          </w:rPr>
          <w:t xml:space="preserve">[49]</w:t>
        </w:r>
      </w:hyperlink>
      <w:r>
        <w:t xml:space="preserve"> </w:t>
      </w:r>
      <w:r>
        <w:t xml:space="preserve">CBO’s FY2019 deficit figure ($984B) provides a benchmark for the pre‑pandemic post‑TCJA deficit environment.</w:t>
      </w:r>
      <w:r>
        <w:t xml:space="preserve"> </w:t>
      </w:r>
      <w:hyperlink r:id="rId43">
        <w:r>
          <w:rPr>
            <w:rStyle w:val="Hyperlink"/>
          </w:rPr>
          <w:t xml:space="preserve">[50]</w:t>
        </w:r>
      </w:hyperlink>
    </w:p>
    <w:p>
      <w:pPr>
        <w:pStyle w:val="BodyText"/>
      </w:pPr>
      <w:r>
        <w:rPr>
          <w:b/>
          <w:bCs/>
        </w:rPr>
        <w:t xml:space="preserve">Elite convergence via personnel and lobbying pathways.</w:t>
      </w:r>
      <w:r>
        <w:t xml:space="preserve"> </w:t>
      </w:r>
      <w:r>
        <w:t xml:space="preserve">A classic anti‑establishment promise (“drain the swamp”) collides directly with staffing realities. Investigative reporting found large numbers of former lobbyists and DC insiders in political appointments despite the pledge.</w:t>
      </w:r>
      <w:r>
        <w:t xml:space="preserve"> </w:t>
      </w:r>
      <w:hyperlink r:id="rId46">
        <w:r>
          <w:rPr>
            <w:rStyle w:val="Hyperlink"/>
          </w:rPr>
          <w:t xml:space="preserve">[36]</w:t>
        </w:r>
      </w:hyperlink>
      <w:r>
        <w:t xml:space="preserve"> </w:t>
      </w:r>
      <w:r>
        <w:t xml:space="preserve">Reuters documented high-level economic staffing choices that drew heavily from elite finance networks (e.g., Goldman-linked appointments).</w:t>
      </w:r>
      <w:r>
        <w:t xml:space="preserve"> </w:t>
      </w:r>
      <w:hyperlink r:id="rId34">
        <w:r>
          <w:rPr>
            <w:rStyle w:val="Hyperlink"/>
          </w:rPr>
          <w:t xml:space="preserve">[51]</w:t>
        </w:r>
      </w:hyperlink>
      <w:r>
        <w:t xml:space="preserve"> </w:t>
      </w:r>
      <w:r>
        <w:t xml:space="preserve">This is consistent with a coalition mechanism: governing capacity and policy implementation often route through established elite networks, even for insurgent-branded leaders.</w:t>
      </w:r>
    </w:p>
    <w:p>
      <w:pPr>
        <w:pStyle w:val="BodyText"/>
      </w:pPr>
      <w:r>
        <w:rPr>
          <w:b/>
          <w:bCs/>
        </w:rPr>
        <w:t xml:space="preserve">Regulatory rollback as elite-aligned “systemic” channel.</w:t>
      </w:r>
      <w:r>
        <w:t xml:space="preserve"> </w:t>
      </w:r>
      <w:r>
        <w:t xml:space="preserve">Trump’s deregulatory agenda included Executive Order 13771 (“two‑for‑one” regulatory approach).</w:t>
      </w:r>
      <w:r>
        <w:t xml:space="preserve"> </w:t>
      </w:r>
      <w:hyperlink r:id="rId58">
        <w:r>
          <w:rPr>
            <w:rStyle w:val="Hyperlink"/>
          </w:rPr>
          <w:t xml:space="preserve">[52]</w:t>
        </w:r>
      </w:hyperlink>
      <w:r>
        <w:t xml:space="preserve"> </w:t>
      </w:r>
      <w:r>
        <w:t xml:space="preserve">Brookings’ analysis describes how EO 13771 imposed new constraints on agencies and shaped regulatory practice, illustrating policy throughput that is “administrative-structural” yet still vulnerable to successor revision.</w:t>
      </w:r>
      <w:r>
        <w:t xml:space="preserve"> </w:t>
      </w:r>
      <w:hyperlink r:id="rId59">
        <w:r>
          <w:rPr>
            <w:rStyle w:val="Hyperlink"/>
          </w:rPr>
          <w:t xml:space="preserve">[53]</w:t>
        </w:r>
      </w:hyperlink>
    </w:p>
    <w:p>
      <w:pPr>
        <w:pStyle w:val="BodyText"/>
      </w:pPr>
      <w:r>
        <w:rPr>
          <w:b/>
          <w:bCs/>
        </w:rPr>
        <w:t xml:space="preserve">Statutory durability vs executive reversibility: clear examples.</w:t>
      </w:r>
      <w:r>
        <w:t xml:space="preserve"> </w:t>
      </w:r>
      <w:r>
        <w:t xml:space="preserve">The U.S. withdrawal from the Paris Agreement formally took effect in November 2020, and the U.S. officially rejoined in February 2021; these actions illustrate high-salience reversibility in international policy posture.</w:t>
      </w:r>
      <w:r>
        <w:t xml:space="preserve"> </w:t>
      </w:r>
      <w:hyperlink r:id="rId60">
        <w:r>
          <w:rPr>
            <w:rStyle w:val="Hyperlink"/>
          </w:rPr>
          <w:t xml:space="preserve">[54]</w:t>
        </w:r>
      </w:hyperlink>
      <w:r>
        <w:t xml:space="preserve"> </w:t>
      </w:r>
      <w:r>
        <w:t xml:space="preserve">Similarly, Biden terminated the Trump-declared southern border emergency and redirected wall funds via Proclamation 10142, published in the Federal Register—an executive action that a later president can reverse, and that in fact was explicitly revoked by Trump’s 2025 proclamation.</w:t>
      </w:r>
      <w:r>
        <w:t xml:space="preserve"> </w:t>
      </w:r>
      <w:hyperlink r:id="rId61">
        <w:r>
          <w:rPr>
            <w:rStyle w:val="Hyperlink"/>
          </w:rPr>
          <w:t xml:space="preserve">[55]</w:t>
        </w:r>
      </w:hyperlink>
      <w:r>
        <w:t xml:space="preserve"> </w:t>
      </w:r>
      <w:r>
        <w:t xml:space="preserve">These are direct, documentable examples of the carousel’s “four years on / four years off” dynamic.</w:t>
      </w:r>
    </w:p>
    <w:p>
      <w:pPr>
        <w:pStyle w:val="BodyText"/>
      </w:pPr>
      <w:r>
        <w:rPr>
          <w:b/>
          <w:bCs/>
        </w:rPr>
        <w:t xml:space="preserve">Judiciary as the major durable transformation.</w:t>
      </w:r>
      <w:r>
        <w:t xml:space="preserve"> </w:t>
      </w:r>
      <w:r>
        <w:t xml:space="preserve">Reuters reported that Trump made</w:t>
      </w:r>
      <w:r>
        <w:t xml:space="preserve"> </w:t>
      </w:r>
      <w:r>
        <w:rPr>
          <w:b/>
          <w:bCs/>
        </w:rPr>
        <w:t xml:space="preserve">234 judicial appointments</w:t>
      </w:r>
      <w:r>
        <w:t xml:space="preserve"> </w:t>
      </w:r>
      <w:r>
        <w:t xml:space="preserve">in his first term; unlike EOs, lifetime judicial appointments produce long-run durability that outlasts the electoral cycle.</w:t>
      </w:r>
      <w:r>
        <w:t xml:space="preserve"> </w:t>
      </w:r>
      <w:hyperlink r:id="rId35">
        <w:r>
          <w:rPr>
            <w:rStyle w:val="Hyperlink"/>
          </w:rPr>
          <w:t xml:space="preserve">[56]</w:t>
        </w:r>
      </w:hyperlink>
      <w:r>
        <w:t xml:space="preserve"> </w:t>
      </w:r>
      <w:r>
        <w:t xml:space="preserve">This durability-by-channel pattern is central to evaluating the claim fairly: even if many “populist” promises were symbolic or reversible, the judiciary is a domain where systemic change did occur.</w:t>
      </w:r>
    </w:p>
    <w:p>
      <w:pPr>
        <w:pStyle w:val="BodyText"/>
      </w:pPr>
      <w:r>
        <w:t xml:space="preserve">Trump first-term timeline (constructed from primary sources and official trackers).</w:t>
      </w:r>
      <w:r>
        <w:t xml:space="preserve"> </w:t>
      </w:r>
      <w:hyperlink r:id="rId24">
        <w:r>
          <w:rPr>
            <w:rStyle w:val="Hyperlink"/>
          </w:rPr>
          <w:t xml:space="preserve">[57]</w:t>
        </w:r>
      </w:hyperlink>
    </w:p>
    <w:p>
      <w:pPr>
        <w:pStyle w:val="SourceCode"/>
      </w:pPr>
      <w:r>
        <w:rPr>
          <w:rStyle w:val="VerbatimChar"/>
        </w:rPr>
        <w:t xml:space="preserve">timeline</w:t>
      </w:r>
      <w:r>
        <w:br/>
      </w:r>
      <w:r>
        <w:rPr>
          <w:rStyle w:val="VerbatimChar"/>
        </w:rPr>
        <w:t xml:space="preserve">  title Trump I: insurgent rhetoric, mixed durability (2015–2021)</w:t>
      </w:r>
      <w:r>
        <w:br/>
      </w:r>
      <w:r>
        <w:rPr>
          <w:rStyle w:val="VerbatimChar"/>
        </w:rPr>
        <w:t xml:space="preserve">  2015 : "Drain the swamp" branding consolidates into electoral identity</w:t>
      </w:r>
      <w:r>
        <w:br/>
      </w:r>
      <w:r>
        <w:rPr>
          <w:rStyle w:val="VerbatimChar"/>
        </w:rPr>
        <w:t xml:space="preserve">  2017 : Inaugural "the people" vs elite frame; EO surge begins</w:t>
      </w:r>
      <w:r>
        <w:br/>
      </w:r>
      <w:r>
        <w:rPr>
          <w:rStyle w:val="VerbatimChar"/>
        </w:rPr>
        <w:t xml:space="preserve">  2017 : TCJA enacted; CRA used repeatedly to nullify late Obama-era rules</w:t>
      </w:r>
      <w:r>
        <w:br/>
      </w:r>
      <w:r>
        <w:rPr>
          <w:rStyle w:val="VerbatimChar"/>
        </w:rPr>
        <w:t xml:space="preserve">  2018 : First Step Act enacted (bipartisan reform)</w:t>
      </w:r>
      <w:r>
        <w:br/>
      </w:r>
      <w:r>
        <w:rPr>
          <w:rStyle w:val="VerbatimChar"/>
        </w:rPr>
        <w:t xml:space="preserve">  2019 : Border emergency declaration and wall fund diversion strategy</w:t>
      </w:r>
      <w:r>
        <w:br/>
      </w:r>
      <w:r>
        <w:rPr>
          <w:rStyle w:val="VerbatimChar"/>
        </w:rPr>
        <w:t xml:space="preserve">  2020 : Paris withdrawal takes effect; pandemic governance reshapes outputs</w:t>
      </w:r>
      <w:r>
        <w:br/>
      </w:r>
      <w:r>
        <w:rPr>
          <w:rStyle w:val="VerbatimChar"/>
        </w:rPr>
        <w:t xml:space="preserve">  2021 : Successor reversals (Paris rejoin; border emergency terminated)</w:t>
      </w:r>
    </w:p>
    <w:bookmarkEnd w:id="62"/>
    <w:bookmarkStart w:id="64" w:name="X8ba9b7b8810dff70219a41d0acd18241d5a7667"/>
    <w:p>
      <w:pPr>
        <w:pStyle w:val="Heading3"/>
      </w:pPr>
      <w:r>
        <w:t xml:space="preserve">Freedom Caucus insurgency and the governance-as-conflict model</w:t>
      </w:r>
    </w:p>
    <w:p>
      <w:pPr>
        <w:pStyle w:val="FirstParagraph"/>
      </w:pPr>
      <w:r>
        <w:rPr>
          <w:b/>
          <w:bCs/>
        </w:rPr>
        <w:t xml:space="preserve">Origin as intra-party anti-establishment.</w:t>
      </w:r>
      <w:r>
        <w:t xml:space="preserve"> </w:t>
      </w:r>
      <w:r>
        <w:t xml:space="preserve">By design, the House Freedom Caucus</w:t>
      </w:r>
      <w:hyperlink r:id="rId47">
        <w:r>
          <w:rPr>
            <w:rStyle w:val="Hyperlink"/>
          </w:rPr>
          <w:t xml:space="preserve">[58]</w:t>
        </w:r>
      </w:hyperlink>
      <w:r>
        <w:t xml:space="preserve"> </w:t>
      </w:r>
      <w:r>
        <w:t xml:space="preserve">positioned itself as a hardline alternative to leadership compromise. Reuters’ early coverage highlighted how the caucus became central to leadership crises and succession fights in 2015.</w:t>
      </w:r>
      <w:r>
        <w:t xml:space="preserve"> </w:t>
      </w:r>
      <w:hyperlink r:id="rId25">
        <w:r>
          <w:rPr>
            <w:rStyle w:val="Hyperlink"/>
          </w:rPr>
          <w:t xml:space="preserve">[59]</w:t>
        </w:r>
      </w:hyperlink>
      <w:r>
        <w:t xml:space="preserve"> </w:t>
      </w:r>
      <w:r>
        <w:t xml:space="preserve">Pew’s membership analysis characterized members as among the most conservative House Republicans and documented the group’s unusually high profile relative to its size—important because small factions can exert outsized power in a closely divided chamber.</w:t>
      </w:r>
      <w:r>
        <w:t xml:space="preserve"> </w:t>
      </w:r>
      <w:hyperlink r:id="rId40">
        <w:r>
          <w:rPr>
            <w:rStyle w:val="Hyperlink"/>
          </w:rPr>
          <w:t xml:space="preserve">[60]</w:t>
        </w:r>
      </w:hyperlink>
    </w:p>
    <w:p>
      <w:pPr>
        <w:pStyle w:val="BodyText"/>
      </w:pPr>
      <w:r>
        <w:rPr>
          <w:b/>
          <w:bCs/>
        </w:rPr>
        <w:t xml:space="preserve">Policy throughput vs tactical disruption.</w:t>
      </w:r>
      <w:r>
        <w:t xml:space="preserve"> </w:t>
      </w:r>
      <w:r>
        <w:t xml:space="preserve">A distinctive “carousel” feature here is that insurgent energy is spent</w:t>
      </w:r>
      <w:r>
        <w:t xml:space="preserve"> </w:t>
      </w:r>
      <w:r>
        <w:rPr>
          <w:b/>
          <w:bCs/>
        </w:rPr>
        <w:t xml:space="preserve">on internal party leverage (leadership fights, procedural brinkmanship)</w:t>
      </w:r>
      <w:r>
        <w:t xml:space="preserve"> </w:t>
      </w:r>
      <w:r>
        <w:t xml:space="preserve">rather than on constructing durable majorities for statutory change. The 2023 removal of Speaker Kevin McCarthy illustrates the point: Reuters reported critics attacked him for relying on Democratic votes to pass temporary funding to avoid a shutdown, and insisted they needed a speaker who would “fight” for something beyond keeping the gavel.</w:t>
      </w:r>
      <w:r>
        <w:t xml:space="preserve"> </w:t>
      </w:r>
      <w:hyperlink r:id="rId47">
        <w:r>
          <w:rPr>
            <w:rStyle w:val="Hyperlink"/>
          </w:rPr>
          <w:t xml:space="preserve">[61]</w:t>
        </w:r>
      </w:hyperlink>
    </w:p>
    <w:p>
      <w:pPr>
        <w:pStyle w:val="BodyText"/>
      </w:pPr>
      <w:r>
        <w:rPr>
          <w:b/>
          <w:bCs/>
        </w:rPr>
        <w:t xml:space="preserve">Symbolism and media incentives.</w:t>
      </w:r>
      <w:r>
        <w:t xml:space="preserve"> </w:t>
      </w:r>
      <w:r>
        <w:t xml:space="preserve">The caucus’s capacity to create conflict is structurally newsworthy, producing continuous attention and reinforcing a “resistance” identity even when legislative outputs are thin—an incentive alignment with the “branding-first” model.</w:t>
      </w:r>
    </w:p>
    <w:p>
      <w:pPr>
        <w:pStyle w:val="BodyText"/>
      </w:pPr>
      <w:r>
        <w:rPr>
          <w:b/>
          <w:bCs/>
        </w:rPr>
        <w:t xml:space="preserve">Advocacy-network reinforcement.</w:t>
      </w:r>
      <w:r>
        <w:t xml:space="preserve"> </w:t>
      </w:r>
      <w:r>
        <w:t xml:space="preserve">Conservative advocacy organizations have openly framed their role as mobilizing against “the bipartisan Washington Establishment,” including during the 2013 defund-ACA shutdown push—an earlier template for caucus-style brinkmanship.</w:t>
      </w:r>
      <w:r>
        <w:t xml:space="preserve"> </w:t>
      </w:r>
      <w:hyperlink r:id="rId63">
        <w:r>
          <w:rPr>
            <w:rStyle w:val="Hyperlink"/>
          </w:rPr>
          <w:t xml:space="preserve">[62]</w:t>
        </w:r>
      </w:hyperlink>
      <w:r>
        <w:t xml:space="preserve"> </w:t>
      </w:r>
      <w:r>
        <w:t xml:space="preserve">The long-run pattern is that outside groups can reward maximal confrontation, while governing constraints and cross-branch veto points keep systemic transformation limited.</w:t>
      </w:r>
    </w:p>
    <w:p>
      <w:pPr>
        <w:pStyle w:val="BodyText"/>
      </w:pPr>
      <w:r>
        <w:t xml:space="preserve">Freedom Caucus timeline (constructed from cited reporting and analysis).</w:t>
      </w:r>
      <w:r>
        <w:t xml:space="preserve"> </w:t>
      </w:r>
      <w:hyperlink r:id="rId25">
        <w:r>
          <w:rPr>
            <w:rStyle w:val="Hyperlink"/>
          </w:rPr>
          <w:t xml:space="preserve">[63]</w:t>
        </w:r>
      </w:hyperlink>
    </w:p>
    <w:p>
      <w:pPr>
        <w:pStyle w:val="SourceCode"/>
      </w:pPr>
      <w:r>
        <w:rPr>
          <w:rStyle w:val="VerbatimChar"/>
        </w:rPr>
        <w:t xml:space="preserve">timeline</w:t>
      </w:r>
      <w:r>
        <w:br/>
      </w:r>
      <w:r>
        <w:rPr>
          <w:rStyle w:val="VerbatimChar"/>
        </w:rPr>
        <w:t xml:space="preserve">  title Freedom Caucus: intra-GOP rebellion (2015–2025)</w:t>
      </w:r>
      <w:r>
        <w:br/>
      </w:r>
      <w:r>
        <w:rPr>
          <w:rStyle w:val="VerbatimChar"/>
        </w:rPr>
        <w:t xml:space="preserve">  2015 : Caucus emerges; leadership pressure accelerates</w:t>
      </w:r>
      <w:r>
        <w:br/>
      </w:r>
      <w:r>
        <w:rPr>
          <w:rStyle w:val="VerbatimChar"/>
        </w:rPr>
        <w:t xml:space="preserve">  2017 : Health-care fights expose limits of unified GOP governing coalitions</w:t>
      </w:r>
      <w:r>
        <w:br/>
      </w:r>
      <w:r>
        <w:rPr>
          <w:rStyle w:val="VerbatimChar"/>
        </w:rPr>
        <w:t xml:space="preserve">  2023 : Speaker McCarthy ousted after stopgap funding reliant on Democrats</w:t>
      </w:r>
      <w:r>
        <w:br/>
      </w:r>
      <w:r>
        <w:rPr>
          <w:rStyle w:val="VerbatimChar"/>
        </w:rPr>
        <w:t xml:space="preserve">  2024 : Investigations and messaging escalations dominate throughput</w:t>
      </w:r>
      <w:r>
        <w:br/>
      </w:r>
      <w:r>
        <w:rPr>
          <w:rStyle w:val="VerbatimChar"/>
        </w:rPr>
        <w:t xml:space="preserve">  2025 : Caucus leverage shifts as national leadership centralizes elsewhere</w:t>
      </w:r>
    </w:p>
    <w:bookmarkEnd w:id="64"/>
    <w:bookmarkStart w:id="67" w:name="Xf7ffa493796878f42617f257265457b96cb3d01"/>
    <w:p>
      <w:pPr>
        <w:pStyle w:val="Heading3"/>
      </w:pPr>
      <w:r>
        <w:t xml:space="preserve">Tucker Carlson and the elite-populist media pipeline</w:t>
      </w:r>
    </w:p>
    <w:p>
      <w:pPr>
        <w:pStyle w:val="FirstParagraph"/>
      </w:pPr>
      <w:r>
        <w:rPr>
          <w:b/>
          <w:bCs/>
        </w:rPr>
        <w:t xml:space="preserve">Elite origins and establishment career.</w:t>
      </w:r>
      <w:r>
        <w:t xml:space="preserve"> </w:t>
      </w:r>
      <w:r>
        <w:t xml:space="preserve">Biographical sources note Carlson’s family connections and elite-adjacent upbringing; for example, Britannica describes his father’s marriage to Patricia Swanson, connected to the Swanson food company, and reporting details his pathway through elite education and major media platforms.</w:t>
      </w:r>
      <w:r>
        <w:t xml:space="preserve"> </w:t>
      </w:r>
      <w:hyperlink r:id="rId27">
        <w:r>
          <w:rPr>
            <w:rStyle w:val="Hyperlink"/>
          </w:rPr>
          <w:t xml:space="preserve">[64]</w:t>
        </w:r>
      </w:hyperlink>
      <w:r>
        <w:t xml:space="preserve"> </w:t>
      </w:r>
      <w:r>
        <w:t xml:space="preserve">This is directly relevant to the claim that anti‑establishment brand entrepreneurs can be “born and bred establishment” while narrating themselves as outsiders.</w:t>
      </w:r>
    </w:p>
    <w:p>
      <w:pPr>
        <w:pStyle w:val="BodyText"/>
      </w:pPr>
      <w:r>
        <w:rPr>
          <w:b/>
          <w:bCs/>
        </w:rPr>
        <w:t xml:space="preserve">Brand content: people vs ruling class.</w:t>
      </w:r>
      <w:r>
        <w:t xml:space="preserve"> </w:t>
      </w:r>
      <w:r>
        <w:t xml:space="preserve">Commentary and analysis describe Carlson’s recurring populist posture—presenting politics as ordinary people versus a corrupt or incompetent elite—while emphasizing rhetorical intensity more than institutional program detail (a common trait of populist communication).</w:t>
      </w:r>
      <w:r>
        <w:t xml:space="preserve"> </w:t>
      </w:r>
      <w:hyperlink r:id="rId65">
        <w:r>
          <w:rPr>
            <w:rStyle w:val="Hyperlink"/>
          </w:rPr>
          <w:t xml:space="preserve">[65]</w:t>
        </w:r>
      </w:hyperlink>
    </w:p>
    <w:p>
      <w:pPr>
        <w:pStyle w:val="BodyText"/>
      </w:pPr>
      <w:r>
        <w:rPr>
          <w:b/>
          <w:bCs/>
        </w:rPr>
        <w:t xml:space="preserve">Institutional embedding: corporate media dominance and political influence.</w:t>
      </w:r>
      <w:r>
        <w:t xml:space="preserve"> </w:t>
      </w:r>
      <w:r>
        <w:t xml:space="preserve">Carlson’s prominence on a top-rated cable network during key years shows how “anti‑establishment” identity work can occur from within one of the most powerful mass-media institutions in the country.</w:t>
      </w:r>
      <w:r>
        <w:t xml:space="preserve"> </w:t>
      </w:r>
      <w:hyperlink r:id="rId66">
        <w:r>
          <w:rPr>
            <w:rStyle w:val="Hyperlink"/>
          </w:rPr>
          <w:t xml:space="preserve">[66]</w:t>
        </w:r>
      </w:hyperlink>
      <w:r>
        <w:t xml:space="preserve"> </w:t>
      </w:r>
      <w:r>
        <w:t xml:space="preserve">In the carousel model, this matters because the</w:t>
      </w:r>
      <w:r>
        <w:t xml:space="preserve"> </w:t>
      </w:r>
      <w:r>
        <w:rPr>
          <w:i/>
          <w:iCs/>
        </w:rPr>
        <w:t xml:space="preserve">function</w:t>
      </w:r>
      <w:r>
        <w:t xml:space="preserve"> </w:t>
      </w:r>
      <w:r>
        <w:t xml:space="preserve">of a charismatic “resistance broadcaster” is not to pass statutes but to (a) intensify grievance, (b) elevate insurgent candidates, (c) punish compromise, and (d) sustain a cycle of expectation and betrayal. The result can be persistent mobilization without proportional durable policy outcomes.</w:t>
      </w:r>
    </w:p>
    <w:p>
      <w:pPr>
        <w:pStyle w:val="BodyText"/>
      </w:pPr>
      <w:r>
        <w:t xml:space="preserve">Carlson timeline (constructed from biographical and media sources).</w:t>
      </w:r>
      <w:r>
        <w:t xml:space="preserve"> </w:t>
      </w:r>
      <w:hyperlink r:id="rId27">
        <w:r>
          <w:rPr>
            <w:rStyle w:val="Hyperlink"/>
          </w:rPr>
          <w:t xml:space="preserve">[67]</w:t>
        </w:r>
      </w:hyperlink>
    </w:p>
    <w:p>
      <w:pPr>
        <w:pStyle w:val="SourceCode"/>
      </w:pPr>
      <w:r>
        <w:rPr>
          <w:rStyle w:val="VerbatimChar"/>
        </w:rPr>
        <w:t xml:space="preserve">timeline</w:t>
      </w:r>
      <w:r>
        <w:br/>
      </w:r>
      <w:r>
        <w:rPr>
          <w:rStyle w:val="VerbatimChar"/>
        </w:rPr>
        <w:t xml:space="preserve">  title Tucker Carlson: elite background, insurgent branding (2000–2025)</w:t>
      </w:r>
      <w:r>
        <w:br/>
      </w:r>
      <w:r>
        <w:rPr>
          <w:rStyle w:val="VerbatimChar"/>
        </w:rPr>
        <w:t xml:space="preserve">  2000 : Cable-news career in major outlets accelerates</w:t>
      </w:r>
      <w:r>
        <w:br/>
      </w:r>
      <w:r>
        <w:rPr>
          <w:rStyle w:val="VerbatimChar"/>
        </w:rPr>
        <w:t xml:space="preserve">  2005 : Primetime hosting role expands influence</w:t>
      </w:r>
      <w:r>
        <w:br/>
      </w:r>
      <w:r>
        <w:rPr>
          <w:rStyle w:val="VerbatimChar"/>
        </w:rPr>
        <w:t xml:space="preserve">  2016 : Becomes central voice in right-populist media environment</w:t>
      </w:r>
      <w:r>
        <w:br/>
      </w:r>
      <w:r>
        <w:rPr>
          <w:rStyle w:val="VerbatimChar"/>
        </w:rPr>
        <w:t xml:space="preserve">  2020 : Peak audience period amid national crises</w:t>
      </w:r>
      <w:r>
        <w:br/>
      </w:r>
      <w:r>
        <w:rPr>
          <w:rStyle w:val="VerbatimChar"/>
        </w:rPr>
        <w:t xml:space="preserve">  2023 : Institutional break triggers direct-to-platform model</w:t>
      </w:r>
      <w:r>
        <w:br/>
      </w:r>
      <w:r>
        <w:rPr>
          <w:rStyle w:val="VerbatimChar"/>
        </w:rPr>
        <w:t xml:space="preserve">  2025 : Continues as high-visibility anti-elite brand entrepreneur</w:t>
      </w:r>
    </w:p>
    <w:bookmarkEnd w:id="67"/>
    <w:bookmarkStart w:id="70" w:name="X5384365127200336fec00f1d9aab7ae036ebc84"/>
    <w:p>
      <w:pPr>
        <w:pStyle w:val="Heading3"/>
      </w:pPr>
      <w:r>
        <w:t xml:space="preserve">Gingrich-era influence as a precursor mechanism</w:t>
      </w:r>
    </w:p>
    <w:p>
      <w:pPr>
        <w:pStyle w:val="FirstParagraph"/>
      </w:pPr>
      <w:r>
        <w:t xml:space="preserve">Although Newt Gingrich</w:t>
      </w:r>
      <w:hyperlink r:id="rId47">
        <w:r>
          <w:rPr>
            <w:rStyle w:val="Hyperlink"/>
          </w:rPr>
          <w:t xml:space="preserve">[68]</w:t>
        </w:r>
      </w:hyperlink>
      <w:r>
        <w:t xml:space="preserve"> </w:t>
      </w:r>
      <w:r>
        <w:t xml:space="preserve">rose to peak institutional power in the 1990s, his “Contract with America” style is a key precursor for the carousel: nationalized “Washington reform” messaging plus media-driven conflict incentives that later movements inherited. Britannica summarizes the Contract as a document signed in 1994 outlining legislation to be enacted quickly after a take-over of the House.</w:t>
      </w:r>
      <w:r>
        <w:t xml:space="preserve"> </w:t>
      </w:r>
      <w:hyperlink r:id="rId68">
        <w:r>
          <w:rPr>
            <w:rStyle w:val="Hyperlink"/>
          </w:rPr>
          <w:t xml:space="preserve">[69]</w:t>
        </w:r>
      </w:hyperlink>
      <w:r>
        <w:t xml:space="preserve"> </w:t>
      </w:r>
      <w:r>
        <w:t xml:space="preserve">Historical analysis argues Gingrich-era tactics helped entrench combative partisan styles that rewarded confrontation and permanent campaigning.</w:t>
      </w:r>
      <w:r>
        <w:t xml:space="preserve"> </w:t>
      </w:r>
      <w:hyperlink r:id="rId69">
        <w:r>
          <w:rPr>
            <w:rStyle w:val="Hyperlink"/>
          </w:rPr>
          <w:t xml:space="preserve">[70]</w:t>
        </w:r>
      </w:hyperlink>
      <w:r>
        <w:t xml:space="preserve"> </w:t>
      </w:r>
      <w:r>
        <w:t xml:space="preserve">The relevance to this report is that later “anti-establishment” cycles (Tea Party → Trump → Freedom Caucus) operate within institutions already shaped toward conflict-maximizing incentives.</w:t>
      </w:r>
    </w:p>
    <w:bookmarkEnd w:id="70"/>
    <w:bookmarkEnd w:id="71"/>
    <w:bookmarkStart w:id="78" w:name="Xe1f9b2106df6c50e8d8b1e45d630db9097fea87"/>
    <w:p>
      <w:pPr>
        <w:pStyle w:val="Heading2"/>
      </w:pPr>
      <w:r>
        <w:t xml:space="preserve">Comparative synthesis and alternative explanations</w:t>
      </w:r>
    </w:p>
    <w:bookmarkStart w:id="72" w:name="the-carousel-mechanism-as-a-flowchart"/>
    <w:p>
      <w:pPr>
        <w:pStyle w:val="Heading3"/>
      </w:pPr>
      <w:r>
        <w:t xml:space="preserve">The carousel mechanism as a flowchart</w:t>
      </w:r>
    </w:p>
    <w:p>
      <w:pPr>
        <w:pStyle w:val="FirstParagraph"/>
      </w:pPr>
      <w:r>
        <w:t xml:space="preserve">The “carousel” is best modeled as a</w:t>
      </w:r>
      <w:r>
        <w:t xml:space="preserve"> </w:t>
      </w:r>
      <w:r>
        <w:rPr>
          <w:b/>
          <w:bCs/>
        </w:rPr>
        <w:t xml:space="preserve">self‑reinforcing incentive system</w:t>
      </w:r>
      <w:r>
        <w:t xml:space="preserve"> </w:t>
      </w:r>
      <w:r>
        <w:t xml:space="preserve">linking media, donors/advocacy groups, primary electorates, and institutional constraints.</w:t>
      </w:r>
    </w:p>
    <w:p>
      <w:pPr>
        <w:pStyle w:val="SourceCode"/>
      </w:pPr>
      <w:r>
        <w:rPr>
          <w:rStyle w:val="VerbatimChar"/>
        </w:rPr>
        <w:t xml:space="preserve">flowchart TD</w:t>
      </w:r>
      <w:r>
        <w:br/>
      </w:r>
      <w:r>
        <w:rPr>
          <w:rStyle w:val="VerbatimChar"/>
        </w:rPr>
        <w:t xml:space="preserve">  A(Grievance &amp; distrust of institutions) --&gt; B(Elite-backed branding: 'anti-establishment' identity)</w:t>
      </w:r>
      <w:r>
        <w:br/>
      </w:r>
      <w:r>
        <w:rPr>
          <w:rStyle w:val="VerbatimChar"/>
        </w:rPr>
        <w:t xml:space="preserve">  B --&gt; C(Electoral mobilization &amp; primary pressure)</w:t>
      </w:r>
      <w:r>
        <w:br/>
      </w:r>
      <w:r>
        <w:rPr>
          <w:rStyle w:val="VerbatimChar"/>
        </w:rPr>
        <w:t xml:space="preserve">  C --&gt; D(Governing coalition forms: party + donors + media + appointments)</w:t>
      </w:r>
      <w:r>
        <w:br/>
      </w:r>
      <w:r>
        <w:rPr>
          <w:rStyle w:val="VerbatimChar"/>
        </w:rPr>
        <w:t xml:space="preserve">  D --&gt; E(Constraints: veto points, courts, bureaucracy, coalition splits)</w:t>
      </w:r>
      <w:r>
        <w:br/>
      </w:r>
      <w:r>
        <w:rPr>
          <w:rStyle w:val="VerbatimChar"/>
        </w:rPr>
        <w:t xml:space="preserve">  E --&gt; F(Symbolic wins: messaging votes, investigations, shutdown threats, reversible EOs)</w:t>
      </w:r>
      <w:r>
        <w:br/>
      </w:r>
      <w:r>
        <w:rPr>
          <w:rStyle w:val="VerbatimChar"/>
        </w:rPr>
        <w:t xml:space="preserve">  D --&gt; G(Durable wins in elite-aligned channels: tax &amp; courts)</w:t>
      </w:r>
      <w:r>
        <w:br/>
      </w:r>
      <w:r>
        <w:rPr>
          <w:rStyle w:val="VerbatimChar"/>
        </w:rPr>
        <w:t xml:space="preserve">  F --&gt; H(Disappointment + blame: 'deep state' / leadership betrayal)</w:t>
      </w:r>
      <w:r>
        <w:br/>
      </w:r>
      <w:r>
        <w:rPr>
          <w:rStyle w:val="VerbatimChar"/>
        </w:rPr>
        <w:t xml:space="preserve">  G --&gt; H</w:t>
      </w:r>
      <w:r>
        <w:br/>
      </w:r>
      <w:r>
        <w:rPr>
          <w:rStyle w:val="VerbatimChar"/>
        </w:rPr>
        <w:t xml:space="preserve">  H --&gt; A</w:t>
      </w:r>
    </w:p>
    <w:p>
      <w:pPr>
        <w:pStyle w:val="FirstParagraph"/>
      </w:pPr>
      <w:r>
        <w:t xml:space="preserve">This diagram is supported by: (a) the documented reversibility of executive orders; (b) repeated reliance on symbolic confrontation in shutdown-linked episodes; and (c) durable channel outcomes such as judicial appointments.</w:t>
      </w:r>
      <w:r>
        <w:t xml:space="preserve"> </w:t>
      </w:r>
      <w:hyperlink r:id="rId21">
        <w:r>
          <w:rPr>
            <w:rStyle w:val="Hyperlink"/>
          </w:rPr>
          <w:t xml:space="preserve">[71]</w:t>
        </w:r>
      </w:hyperlink>
    </w:p>
    <w:bookmarkEnd w:id="72"/>
    <w:bookmarkStart w:id="73" w:name="X6de065e64ea50b9272d10e0e67d4fd795f8d4d9"/>
    <w:p>
      <w:pPr>
        <w:pStyle w:val="Heading3"/>
      </w:pPr>
      <w:r>
        <w:t xml:space="preserve">Comparative table of rhetoric, durability, and elite convergence</w:t>
      </w:r>
    </w:p>
    <w:p>
      <w:pPr>
        <w:pStyle w:val="FirstParagraph"/>
      </w:pPr>
      <w:r>
        <w:t xml:space="preserve">The table below uses a semi-quantitative scoring scheme to make cross-case comparison explicit. Scores are synthesis judgments anchored in the cited evidence; they are included to make the claim falsifiable (others can dispute and re-score with alternate coding rules).</w:t>
      </w:r>
    </w:p>
    <w:p>
      <w:pPr>
        <w:pStyle w:val="BodyText"/>
      </w:pPr>
      <w:r>
        <w:t xml:space="preserve">Scoring notes:</w:t>
      </w:r>
      <w:r>
        <w:t xml:space="preserve"> </w:t>
      </w:r>
      <w:r>
        <w:t xml:space="preserve">-</w:t>
      </w:r>
      <w:r>
        <w:t xml:space="preserve"> </w:t>
      </w:r>
      <w:r>
        <w:rPr>
          <w:b/>
          <w:bCs/>
        </w:rPr>
        <w:t xml:space="preserve">Rhetoric intensity</w:t>
      </w:r>
      <w:r>
        <w:t xml:space="preserve"> </w:t>
      </w:r>
      <w:r>
        <w:t xml:space="preserve">(1–5): prominence of people-vs-elite branding.</w:t>
      </w:r>
      <w:r>
        <w:t xml:space="preserve"> </w:t>
      </w:r>
      <w:r>
        <w:t xml:space="preserve">-</w:t>
      </w:r>
      <w:r>
        <w:t xml:space="preserve"> </w:t>
      </w:r>
      <w:r>
        <w:rPr>
          <w:b/>
          <w:bCs/>
        </w:rPr>
        <w:t xml:space="preserve">Elite embeddedness</w:t>
      </w:r>
      <w:r>
        <w:t xml:space="preserve"> </w:t>
      </w:r>
      <w:r>
        <w:t xml:space="preserve">(1–5): reliance on elite networks (donors, corporate media, leadership position, finance/lobby pipelines).</w:t>
      </w:r>
      <w:r>
        <w:t xml:space="preserve"> </w:t>
      </w:r>
      <w:r>
        <w:t xml:space="preserve">-</w:t>
      </w:r>
      <w:r>
        <w:t xml:space="preserve"> </w:t>
      </w:r>
      <w:r>
        <w:rPr>
          <w:b/>
          <w:bCs/>
        </w:rPr>
        <w:t xml:space="preserve">Durability profile</w:t>
      </w:r>
      <w:r>
        <w:t xml:space="preserve">: main durable outputs vs reversible outputs.</w:t>
      </w:r>
      <w:r>
        <w:t xml:space="preserve"> </w:t>
      </w:r>
      <w:r>
        <w:t xml:space="preserve">-</w:t>
      </w:r>
      <w:r>
        <w:t xml:space="preserve"> </w:t>
      </w:r>
      <w:r>
        <w:rPr>
          <w:b/>
          <w:bCs/>
        </w:rPr>
        <w:t xml:space="preserve">Metrics</w:t>
      </w:r>
      <w:r>
        <w:t xml:space="preserve"> </w:t>
      </w:r>
      <w:r>
        <w:t xml:space="preserve">include official counts where available (EO counts; CRA enactments; judicial appointments; repeated votes).</w:t>
      </w:r>
    </w:p>
    <w:p>
      <w:pPr>
        <w:pStyle w:val="BodyText"/>
      </w:pPr>
      <w:r>
        <w:t xml:space="preserve">Official counts and anchors used for the metrics include: EO totals from the Federal Register; CRA enactments from GAO; judicial appointment counts from Reuters; TCJA distribution tables from JCT; and deficit figures from CBO.</w:t>
      </w:r>
      <w:r>
        <w:t xml:space="preserve"> </w:t>
      </w:r>
      <w:hyperlink r:id="rId26">
        <w:r>
          <w:rPr>
            <w:rStyle w:val="Hyperlink"/>
          </w:rPr>
          <w:t xml:space="preserve">[72]</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Case</w:t>
            </w:r>
          </w:p>
        </w:tc>
        <w:tc>
          <w:tcPr/>
          <w:p>
            <w:pPr>
              <w:pStyle w:val="Compact"/>
            </w:pPr>
            <w:r>
              <w:t xml:space="preserve">Time window</w:t>
            </w:r>
          </w:p>
        </w:tc>
        <w:tc>
          <w:tcPr/>
          <w:p>
            <w:pPr>
              <w:pStyle w:val="Compact"/>
              <w:jc w:val="right"/>
            </w:pPr>
            <w:r>
              <w:t xml:space="preserve">Rhetoric intensity</w:t>
            </w:r>
          </w:p>
        </w:tc>
        <w:tc>
          <w:tcPr/>
          <w:p>
            <w:pPr>
              <w:pStyle w:val="Compact"/>
              <w:jc w:val="right"/>
            </w:pPr>
            <w:r>
              <w:t xml:space="preserve">Elite embeddedness</w:t>
            </w:r>
          </w:p>
        </w:tc>
        <w:tc>
          <w:tcPr/>
          <w:p>
            <w:pPr>
              <w:pStyle w:val="Compact"/>
            </w:pPr>
            <w:r>
              <w:t xml:space="preserve">Durable outputs (examples)</w:t>
            </w:r>
          </w:p>
        </w:tc>
        <w:tc>
          <w:tcPr/>
          <w:p>
            <w:pPr>
              <w:pStyle w:val="Compact"/>
            </w:pPr>
            <w:r>
              <w:t xml:space="preserve">Reversible / symbolic outputs (examples)</w:t>
            </w:r>
          </w:p>
        </w:tc>
        <w:tc>
          <w:tcPr/>
          <w:p>
            <w:pPr>
              <w:pStyle w:val="Compact"/>
            </w:pPr>
            <w:r>
              <w:t xml:space="preserve">Selected measurable metrics</w:t>
            </w:r>
          </w:p>
        </w:tc>
      </w:tr>
      <w:tr>
        <w:tc>
          <w:tcPr/>
          <w:p>
            <w:pPr>
              <w:pStyle w:val="Compact"/>
            </w:pPr>
            <w:r>
              <w:t xml:space="preserve">Tea Party wave</w:t>
            </w:r>
          </w:p>
        </w:tc>
        <w:tc>
          <w:tcPr/>
          <w:p>
            <w:pPr>
              <w:pStyle w:val="Compact"/>
            </w:pPr>
            <w:r>
              <w:t xml:space="preserve">2009–2014</w:t>
            </w:r>
          </w:p>
        </w:tc>
        <w:tc>
          <w:tcPr/>
          <w:p>
            <w:pPr>
              <w:pStyle w:val="Compact"/>
              <w:jc w:val="right"/>
            </w:pPr>
            <w:r>
              <w:t xml:space="preserve">4</w:t>
            </w:r>
          </w:p>
        </w:tc>
        <w:tc>
          <w:tcPr/>
          <w:p>
            <w:pPr>
              <w:pStyle w:val="Compact"/>
              <w:jc w:val="right"/>
            </w:pPr>
            <w:r>
              <w:t xml:space="preserve">4</w:t>
            </w:r>
          </w:p>
        </w:tc>
        <w:tc>
          <w:tcPr/>
          <w:p>
            <w:pPr>
              <w:pStyle w:val="Compact"/>
            </w:pPr>
            <w:r>
              <w:t xml:space="preserve">Budget Control Act framework</w:t>
            </w:r>
          </w:p>
        </w:tc>
        <w:tc>
          <w:tcPr/>
          <w:p>
            <w:pPr>
              <w:pStyle w:val="Compact"/>
            </w:pPr>
            <w:r>
              <w:t xml:space="preserve">Shutdown confrontation; messaging votes on ACA</w:t>
            </w:r>
          </w:p>
        </w:tc>
        <w:tc>
          <w:tcPr/>
          <w:p>
            <w:pPr>
              <w:pStyle w:val="Compact"/>
            </w:pPr>
            <w:r>
              <w:t xml:space="preserve">BCA enacted; House votes to repeal/alter ACA “more than 60” (by 2017 reporting)</w:t>
            </w:r>
          </w:p>
        </w:tc>
      </w:tr>
      <w:tr>
        <w:tc>
          <w:tcPr/>
          <w:p>
            <w:pPr>
              <w:pStyle w:val="Compact"/>
            </w:pPr>
            <w:r>
              <w:t xml:space="preserve">Trump I</w:t>
            </w:r>
          </w:p>
        </w:tc>
        <w:tc>
          <w:tcPr/>
          <w:p>
            <w:pPr>
              <w:pStyle w:val="Compact"/>
            </w:pPr>
            <w:r>
              <w:t xml:space="preserve">2017–2021</w:t>
            </w:r>
          </w:p>
        </w:tc>
        <w:tc>
          <w:tcPr/>
          <w:p>
            <w:pPr>
              <w:pStyle w:val="Compact"/>
              <w:jc w:val="right"/>
            </w:pPr>
            <w:r>
              <w:t xml:space="preserve">5</w:t>
            </w:r>
          </w:p>
        </w:tc>
        <w:tc>
          <w:tcPr/>
          <w:p>
            <w:pPr>
              <w:pStyle w:val="Compact"/>
              <w:jc w:val="right"/>
            </w:pPr>
            <w:r>
              <w:t xml:space="preserve">5</w:t>
            </w:r>
          </w:p>
        </w:tc>
        <w:tc>
          <w:tcPr/>
          <w:p>
            <w:pPr>
              <w:pStyle w:val="Compact"/>
            </w:pPr>
            <w:r>
              <w:t xml:space="preserve">TCJA; judiciary reshaping</w:t>
            </w:r>
          </w:p>
        </w:tc>
        <w:tc>
          <w:tcPr/>
          <w:p>
            <w:pPr>
              <w:pStyle w:val="Compact"/>
            </w:pPr>
            <w:r>
              <w:t xml:space="preserve">High EO volume; climate/border executive reversals</w:t>
            </w:r>
          </w:p>
        </w:tc>
        <w:tc>
          <w:tcPr/>
          <w:p>
            <w:pPr>
              <w:pStyle w:val="Compact"/>
            </w:pPr>
            <w:r>
              <w:t xml:space="preserve">220 EOs; ~234 judicial appointments; 15 CRA disapprovals enacted in 2017; FY2019 deficit $984B</w:t>
            </w:r>
          </w:p>
        </w:tc>
      </w:tr>
      <w:tr>
        <w:tc>
          <w:tcPr/>
          <w:p>
            <w:pPr>
              <w:pStyle w:val="Compact"/>
            </w:pPr>
            <w:r>
              <w:t xml:space="preserve">Freedom Caucus</w:t>
            </w:r>
          </w:p>
        </w:tc>
        <w:tc>
          <w:tcPr/>
          <w:p>
            <w:pPr>
              <w:pStyle w:val="Compact"/>
            </w:pPr>
            <w:r>
              <w:t xml:space="preserve">2015–2025</w:t>
            </w:r>
          </w:p>
        </w:tc>
        <w:tc>
          <w:tcPr/>
          <w:p>
            <w:pPr>
              <w:pStyle w:val="Compact"/>
              <w:jc w:val="right"/>
            </w:pPr>
            <w:r>
              <w:t xml:space="preserve">4</w:t>
            </w:r>
          </w:p>
        </w:tc>
        <w:tc>
          <w:tcPr/>
          <w:p>
            <w:pPr>
              <w:pStyle w:val="Compact"/>
              <w:jc w:val="right"/>
            </w:pPr>
            <w:r>
              <w:t xml:space="preserve">4</w:t>
            </w:r>
          </w:p>
        </w:tc>
        <w:tc>
          <w:tcPr/>
          <w:p>
            <w:pPr>
              <w:pStyle w:val="Compact"/>
            </w:pPr>
            <w:r>
              <w:t xml:space="preserve">Limited durable statutes attributable to caucus leverage</w:t>
            </w:r>
          </w:p>
        </w:tc>
        <w:tc>
          <w:tcPr/>
          <w:p>
            <w:pPr>
              <w:pStyle w:val="Compact"/>
            </w:pPr>
            <w:r>
              <w:t xml:space="preserve">Leadership coups; shutdown-threat politics; investigative spectacle</w:t>
            </w:r>
          </w:p>
        </w:tc>
        <w:tc>
          <w:tcPr/>
          <w:p>
            <w:pPr>
              <w:pStyle w:val="Compact"/>
            </w:pPr>
            <w:r>
              <w:t xml:space="preserve">Speaker ouster event (2023); small-faction outsized leverage documented</w:t>
            </w:r>
          </w:p>
        </w:tc>
      </w:tr>
      <w:tr>
        <w:tc>
          <w:tcPr/>
          <w:p>
            <w:pPr>
              <w:pStyle w:val="Compact"/>
            </w:pPr>
            <w:r>
              <w:t xml:space="preserve">Tucker Carlson as brand engine</w:t>
            </w:r>
          </w:p>
        </w:tc>
        <w:tc>
          <w:tcPr/>
          <w:p>
            <w:pPr>
              <w:pStyle w:val="Compact"/>
            </w:pPr>
            <w:r>
              <w:t xml:space="preserve">2000–2025</w:t>
            </w:r>
          </w:p>
        </w:tc>
        <w:tc>
          <w:tcPr/>
          <w:p>
            <w:pPr>
              <w:pStyle w:val="Compact"/>
              <w:jc w:val="right"/>
            </w:pPr>
            <w:r>
              <w:t xml:space="preserve">4</w:t>
            </w:r>
          </w:p>
        </w:tc>
        <w:tc>
          <w:tcPr/>
          <w:p>
            <w:pPr>
              <w:pStyle w:val="Compact"/>
              <w:jc w:val="right"/>
            </w:pPr>
            <w:r>
              <w:t xml:space="preserve">5</w:t>
            </w:r>
          </w:p>
        </w:tc>
        <w:tc>
          <w:tcPr/>
          <w:p>
            <w:pPr>
              <w:pStyle w:val="Compact"/>
            </w:pPr>
            <w:r>
              <w:t xml:space="preserve">Indirect durable effects via agenda-setting</w:t>
            </w:r>
          </w:p>
        </w:tc>
        <w:tc>
          <w:tcPr/>
          <w:p>
            <w:pPr>
              <w:pStyle w:val="Compact"/>
            </w:pPr>
            <w:r>
              <w:t xml:space="preserve">Continuous insurgent narrativization of institutions</w:t>
            </w:r>
          </w:p>
        </w:tc>
        <w:tc>
          <w:tcPr/>
          <w:p>
            <w:pPr>
              <w:pStyle w:val="Compact"/>
            </w:pPr>
            <w:r>
              <w:t xml:space="preserve">Media dominance in key years; elite-background documentation</w:t>
            </w:r>
          </w:p>
        </w:tc>
      </w:tr>
    </w:tbl>
    <w:bookmarkEnd w:id="73"/>
    <w:bookmarkStart w:id="76" w:name="domains-of-elite-convergence"/>
    <w:p>
      <w:pPr>
        <w:pStyle w:val="Heading3"/>
      </w:pPr>
      <w:r>
        <w:t xml:space="preserve">Domains of elite convergence</w:t>
      </w:r>
    </w:p>
    <w:p>
      <w:pPr>
        <w:pStyle w:val="FirstParagraph"/>
      </w:pPr>
      <w:r>
        <w:t xml:space="preserve">One way to test the “same team” intuition—without collapsing all politics into conspiracy—is to identify</w:t>
      </w:r>
      <w:r>
        <w:t xml:space="preserve"> </w:t>
      </w:r>
      <w:r>
        <w:rPr>
          <w:b/>
          <w:bCs/>
        </w:rPr>
        <w:t xml:space="preserve">policy domains where bipartisan majorities repeatedly converge</w:t>
      </w:r>
      <w:r>
        <w:t xml:space="preserve"> </w:t>
      </w:r>
      <w:r>
        <w:t xml:space="preserve">despite partisan branding differences. Since 2000, several large-scale institutions expanded or were maintained through bipartisan votes:</w:t>
      </w:r>
    </w:p>
    <w:p>
      <w:pPr>
        <w:pStyle w:val="Compact"/>
        <w:numPr>
          <w:ilvl w:val="0"/>
          <w:numId w:val="1003"/>
        </w:numPr>
      </w:pPr>
      <w:r>
        <w:t xml:space="preserve">The USA PATRIOT Act passed the House 357–66 and Senate 98–1, expanding surveillance powers—an example of post‑crisis security‑state consolidation that transcended party branding.</w:t>
      </w:r>
      <w:r>
        <w:t xml:space="preserve"> </w:t>
      </w:r>
      <w:hyperlink r:id="rId74">
        <w:r>
          <w:rPr>
            <w:rStyle w:val="Hyperlink"/>
          </w:rPr>
          <w:t xml:space="preserve">[73]</w:t>
        </w:r>
      </w:hyperlink>
    </w:p>
    <w:p>
      <w:pPr>
        <w:pStyle w:val="Compact"/>
        <w:numPr>
          <w:ilvl w:val="0"/>
          <w:numId w:val="1003"/>
        </w:numPr>
      </w:pPr>
      <w:r>
        <w:t xml:space="preserve">The 2002 Iraq AUMF passed the House 296–133 and Senate 77–23, illustrating bipartisan convergence on a major foreign policy decision later criticized across the spectrum.</w:t>
      </w:r>
      <w:r>
        <w:t xml:space="preserve"> </w:t>
      </w:r>
      <w:hyperlink r:id="rId39">
        <w:r>
          <w:rPr>
            <w:rStyle w:val="Hyperlink"/>
          </w:rPr>
          <w:t xml:space="preserve">[74]</w:t>
        </w:r>
      </w:hyperlink>
    </w:p>
    <w:p>
      <w:pPr>
        <w:pStyle w:val="Compact"/>
        <w:numPr>
          <w:ilvl w:val="0"/>
          <w:numId w:val="1003"/>
        </w:numPr>
      </w:pPr>
      <w:r>
        <w:t xml:space="preserve">The 2008 Emergency Economic Stabilization Act (TARP vehicle) passed the Senate 74–25 and the House 263–171, showing elite convergence in crisis financial stabilization despite later populist anti‑bailout backlash.</w:t>
      </w:r>
      <w:r>
        <w:t xml:space="preserve"> </w:t>
      </w:r>
      <w:hyperlink r:id="rId75">
        <w:r>
          <w:rPr>
            <w:rStyle w:val="Hyperlink"/>
          </w:rPr>
          <w:t xml:space="preserve">[75]</w:t>
        </w:r>
      </w:hyperlink>
    </w:p>
    <w:p>
      <w:pPr>
        <w:pStyle w:val="FirstParagraph"/>
      </w:pPr>
      <w:r>
        <w:t xml:space="preserve">These examples do not “prove” neoliberalism and neoconservatism are identical, but they do support the narrower proposition that</w:t>
      </w:r>
      <w:r>
        <w:t xml:space="preserve"> </w:t>
      </w:r>
      <w:r>
        <w:rPr>
          <w:b/>
          <w:bCs/>
        </w:rPr>
        <w:t xml:space="preserve">governing coalitions in high‑salience crisis domains often overlap</w:t>
      </w:r>
      <w:r>
        <w:t xml:space="preserve"> </w:t>
      </w:r>
      <w:r>
        <w:t xml:space="preserve">across party lines, making insurgent promises of sweeping rupture harder to realize—and making symbolic conflict a politically rational substitute.</w:t>
      </w:r>
      <w:r>
        <w:t xml:space="preserve"> </w:t>
      </w:r>
      <w:hyperlink r:id="rId74">
        <w:r>
          <w:rPr>
            <w:rStyle w:val="Hyperlink"/>
          </w:rPr>
          <w:t xml:space="preserve">[76]</w:t>
        </w:r>
      </w:hyperlink>
    </w:p>
    <w:bookmarkEnd w:id="76"/>
    <w:bookmarkStart w:id="77" w:name="X628360622c084ad98cd6cefcfc762c9d81422c1"/>
    <w:p>
      <w:pPr>
        <w:pStyle w:val="Heading3"/>
      </w:pPr>
      <w:r>
        <w:t xml:space="preserve">Alternative explanations and how the evidence fits</w:t>
      </w:r>
    </w:p>
    <w:p>
      <w:pPr>
        <w:pStyle w:val="FirstParagraph"/>
      </w:pPr>
      <w:r>
        <w:rPr>
          <w:b/>
          <w:bCs/>
        </w:rPr>
        <w:t xml:space="preserve">Institutional constraints (veto points) explanation.</w:t>
      </w:r>
      <w:r>
        <w:t xml:space="preserve"> </w:t>
      </w:r>
      <w:r>
        <w:t xml:space="preserve">The U.S. system requires coordination across House, Senate, president, agencies, and courts. This strongly predicts why symbolic politics thrives: it is easier to produce spectacle than to pass durable statutes, and executive orders are inherently more revocable than statutes.</w:t>
      </w:r>
      <w:r>
        <w:t xml:space="preserve"> </w:t>
      </w:r>
      <w:hyperlink r:id="rId21">
        <w:r>
          <w:rPr>
            <w:rStyle w:val="Hyperlink"/>
          </w:rPr>
          <w:t xml:space="preserve">[77]</w:t>
        </w:r>
      </w:hyperlink>
      <w:r>
        <w:t xml:space="preserve"> </w:t>
      </w:r>
      <w:r>
        <w:t xml:space="preserve">The evidence supports this explanation as a baseline mechanism, especially for the Freedom Caucus and Tea Party brinkmanship cases.</w:t>
      </w:r>
    </w:p>
    <w:p>
      <w:pPr>
        <w:pStyle w:val="BodyText"/>
      </w:pPr>
      <w:r>
        <w:rPr>
          <w:b/>
          <w:bCs/>
        </w:rPr>
        <w:t xml:space="preserve">Coalition heterogeneity explanation.</w:t>
      </w:r>
      <w:r>
        <w:t xml:space="preserve"> </w:t>
      </w:r>
      <w:r>
        <w:t xml:space="preserve">Movements marketed as unified “the people” coalitions are often heterogeneous—fiscal hawks, social conservatives, libertarians, and populist nationalists—so governing quickly reveals internal contradictions. Tea Party scholarship documents such complexity (e.g., not being uniformly hostile to all government programs).</w:t>
      </w:r>
      <w:r>
        <w:t xml:space="preserve"> </w:t>
      </w:r>
      <w:hyperlink r:id="rId45">
        <w:r>
          <w:rPr>
            <w:rStyle w:val="Hyperlink"/>
          </w:rPr>
          <w:t xml:space="preserve">[78]</w:t>
        </w:r>
      </w:hyperlink>
      <w:r>
        <w:t xml:space="preserve"> </w:t>
      </w:r>
      <w:r>
        <w:t xml:space="preserve">This supports the view that “betrayal” perceptions can be endogenous to coalition composition.</w:t>
      </w:r>
    </w:p>
    <w:p>
      <w:pPr>
        <w:pStyle w:val="BodyText"/>
      </w:pPr>
      <w:r>
        <w:rPr>
          <w:b/>
          <w:bCs/>
        </w:rPr>
        <w:t xml:space="preserve">Asymmetric accountability explanation.</w:t>
      </w:r>
      <w:r>
        <w:t xml:space="preserve"> </w:t>
      </w:r>
      <w:r>
        <w:t xml:space="preserve">Politicians can be electorally punished for visible compromises more than for invisible administrative continuity, especially in primaries. This aligns with the observed reward structure: members who force leadership crises gain attention and credibility with base audiences even when policy throughput is low.</w:t>
      </w:r>
      <w:r>
        <w:t xml:space="preserve"> </w:t>
      </w:r>
      <w:hyperlink r:id="rId47">
        <w:r>
          <w:rPr>
            <w:rStyle w:val="Hyperlink"/>
          </w:rPr>
          <w:t xml:space="preserve">[79]</w:t>
        </w:r>
      </w:hyperlink>
    </w:p>
    <w:p>
      <w:pPr>
        <w:pStyle w:val="BodyText"/>
      </w:pPr>
      <w:r>
        <w:rPr>
          <w:b/>
          <w:bCs/>
        </w:rPr>
        <w:t xml:space="preserve">Counterevidence and limits (where the carousel model is weaker).</w:t>
      </w:r>
      <w:r>
        <w:t xml:space="preserve"> </w:t>
      </w:r>
      <w:r>
        <w:t xml:space="preserve">The judiciary is a major exception: lifetime appointments are not easily reversible. Trump’s large-scale judicial appointments constitute genuine, durable institutional change.</w:t>
      </w:r>
      <w:r>
        <w:t xml:space="preserve"> </w:t>
      </w:r>
      <w:hyperlink r:id="rId35">
        <w:r>
          <w:rPr>
            <w:rStyle w:val="Hyperlink"/>
          </w:rPr>
          <w:t xml:space="preserve">[56]</w:t>
        </w:r>
      </w:hyperlink>
      <w:r>
        <w:t xml:space="preserve"> </w:t>
      </w:r>
      <w:r>
        <w:t xml:space="preserve">Similarly, major tax statutes—particularly when structured with long sunsets and complex distributional effects—can persist, shaping incentives and budgets across administrations.</w:t>
      </w:r>
      <w:r>
        <w:t xml:space="preserve"> </w:t>
      </w:r>
      <w:hyperlink r:id="rId56">
        <w:r>
          <w:rPr>
            <w:rStyle w:val="Hyperlink"/>
          </w:rPr>
          <w:t xml:space="preserve">[80]</w:t>
        </w:r>
      </w:hyperlink>
      <w:r>
        <w:t xml:space="preserve"> </w:t>
      </w:r>
      <w:r>
        <w:t xml:space="preserve">Any strong version of the carousel claim that says “they never make systemic change” is therefore not supported.</w:t>
      </w:r>
    </w:p>
    <w:bookmarkEnd w:id="77"/>
    <w:bookmarkEnd w:id="78"/>
    <w:bookmarkStart w:id="82" w:name="Xbdbaae912f92678989651dc15cc36eec7976873"/>
    <w:p>
      <w:pPr>
        <w:pStyle w:val="Heading2"/>
      </w:pPr>
      <w:r>
        <w:t xml:space="preserve">Conclusions, implications, and further tests</w:t>
      </w:r>
    </w:p>
    <w:bookmarkStart w:id="79" w:name="conclusions-about-mechanisms-and-limits"/>
    <w:p>
      <w:pPr>
        <w:pStyle w:val="Heading3"/>
      </w:pPr>
      <w:r>
        <w:t xml:space="preserve">Conclusions about mechanisms and limits</w:t>
      </w:r>
    </w:p>
    <w:p>
      <w:pPr>
        <w:pStyle w:val="FirstParagraph"/>
      </w:pPr>
      <w:r>
        <w:t xml:space="preserve">The U.S. evidence since 2000 is consistent with a “carousel of right‑wing resistance”</w:t>
      </w:r>
      <w:r>
        <w:t xml:space="preserve"> </w:t>
      </w:r>
      <w:r>
        <w:rPr>
          <w:b/>
          <w:bCs/>
        </w:rPr>
        <w:t xml:space="preserve">as a recurring political technology</w:t>
      </w:r>
      <w:r>
        <w:t xml:space="preserve"> </w:t>
      </w:r>
      <w:r>
        <w:t xml:space="preserve">rather than as a universal law:</w:t>
      </w:r>
    </w:p>
    <w:p>
      <w:pPr>
        <w:pStyle w:val="Compact"/>
        <w:numPr>
          <w:ilvl w:val="0"/>
          <w:numId w:val="1004"/>
        </w:numPr>
      </w:pPr>
      <w:r>
        <w:t xml:space="preserve">Anti‑establishment branding is frequently deployed in a populist “people vs elite” frame and can be maintained by elite‑embedded figures and infrastructures.</w:t>
      </w:r>
      <w:r>
        <w:t xml:space="preserve"> </w:t>
      </w:r>
      <w:hyperlink r:id="rId29">
        <w:r>
          <w:rPr>
            <w:rStyle w:val="Hyperlink"/>
          </w:rPr>
          <w:t xml:space="preserve">[81]</w:t>
        </w:r>
      </w:hyperlink>
    </w:p>
    <w:p>
      <w:pPr>
        <w:pStyle w:val="Compact"/>
        <w:numPr>
          <w:ilvl w:val="0"/>
          <w:numId w:val="1004"/>
        </w:numPr>
      </w:pPr>
      <w:r>
        <w:t xml:space="preserve">Governance outputs often skew toward symbolic or reversible actions because executive tools are easier to deploy and because the U.S. system’s veto points impede rapid systemic change.</w:t>
      </w:r>
      <w:r>
        <w:t xml:space="preserve"> </w:t>
      </w:r>
      <w:hyperlink r:id="rId21">
        <w:r>
          <w:rPr>
            <w:rStyle w:val="Hyperlink"/>
          </w:rPr>
          <w:t xml:space="preserve">[82]</w:t>
        </w:r>
      </w:hyperlink>
    </w:p>
    <w:p>
      <w:pPr>
        <w:pStyle w:val="Compact"/>
        <w:numPr>
          <w:ilvl w:val="0"/>
          <w:numId w:val="1004"/>
        </w:numPr>
      </w:pPr>
      <w:r>
        <w:t xml:space="preserve">Where durable change occurs, it often concentrates in channels long prioritized by conservative elite networks (courts; tax law; deregulatory structures), producing a mixed pattern:</w:t>
      </w:r>
      <w:r>
        <w:t xml:space="preserve"> </w:t>
      </w:r>
      <w:r>
        <w:rPr>
          <w:b/>
          <w:bCs/>
        </w:rPr>
        <w:t xml:space="preserve">reversible culture-war governance + durable institutional and fiscal architecture</w:t>
      </w:r>
      <w:r>
        <w:t xml:space="preserve">.</w:t>
      </w:r>
      <w:r>
        <w:t xml:space="preserve"> </w:t>
      </w:r>
      <w:hyperlink r:id="rId35">
        <w:r>
          <w:rPr>
            <w:rStyle w:val="Hyperlink"/>
          </w:rPr>
          <w:t xml:space="preserve">[83]</w:t>
        </w:r>
      </w:hyperlink>
    </w:p>
    <w:bookmarkEnd w:id="79"/>
    <w:bookmarkStart w:id="80" w:name="policy-implications"/>
    <w:p>
      <w:pPr>
        <w:pStyle w:val="Heading3"/>
      </w:pPr>
      <w:r>
        <w:t xml:space="preserve">Policy implications</w:t>
      </w:r>
    </w:p>
    <w:p>
      <w:pPr>
        <w:pStyle w:val="FirstParagraph"/>
      </w:pPr>
      <w:r>
        <w:t xml:space="preserve">Reducing carousel dynamics would likely require changes that make durable outputs more attainable and symbolic brinkmanship less rewarding—without assuming bad faith as the only driver.</w:t>
      </w:r>
    </w:p>
    <w:p>
      <w:pPr>
        <w:pStyle w:val="BodyText"/>
      </w:pPr>
      <w:r>
        <w:t xml:space="preserve">Institutional implication: because executive orders are structurally revocable, reliance on them for major social policy increases ping‑pong volatility. A governance system that routes more major policy through legislation and stable appropriations could reduce the oscillation, but this collides with polarization and veto points.</w:t>
      </w:r>
      <w:r>
        <w:t xml:space="preserve"> </w:t>
      </w:r>
      <w:hyperlink r:id="rId21">
        <w:r>
          <w:rPr>
            <w:rStyle w:val="Hyperlink"/>
          </w:rPr>
          <w:t xml:space="preserve">[77]</w:t>
        </w:r>
      </w:hyperlink>
    </w:p>
    <w:p>
      <w:pPr>
        <w:pStyle w:val="BodyText"/>
      </w:pPr>
      <w:r>
        <w:t xml:space="preserve">Information implication: media ecosystems that reward conflict entrepreneurship (high-salience enemies, constant betrayal narratives) intensify incentives for symbolic governance and punish compromise. The Carlson case illustrates how the “anti‑establishment” performance can be institutionally produced from within elite platforms.</w:t>
      </w:r>
      <w:r>
        <w:t xml:space="preserve"> </w:t>
      </w:r>
      <w:hyperlink r:id="rId66">
        <w:r>
          <w:rPr>
            <w:rStyle w:val="Hyperlink"/>
          </w:rPr>
          <w:t xml:space="preserve">[84]</w:t>
        </w:r>
      </w:hyperlink>
    </w:p>
    <w:p>
      <w:pPr>
        <w:pStyle w:val="BodyText"/>
      </w:pPr>
      <w:r>
        <w:t xml:space="preserve">Accountability implication: voters and watchdog groups assessing “anti‑establishment” claims can improve discrimination between symbolism and systemic change by tracking (a) enacted statutes, (b) appropriations and baseline shifts, (c) documented rulemakings, and (d) appointment pipelines—rather than relying on rhetorical intensity.</w:t>
      </w:r>
      <w:r>
        <w:t xml:space="preserve"> </w:t>
      </w:r>
      <w:hyperlink r:id="rId26">
        <w:r>
          <w:rPr>
            <w:rStyle w:val="Hyperlink"/>
          </w:rPr>
          <w:t xml:space="preserve">[85]</w:t>
        </w:r>
      </w:hyperlink>
    </w:p>
    <w:bookmarkEnd w:id="80"/>
    <w:bookmarkStart w:id="81" w:name="suggestions-for-further-empirical-tests"/>
    <w:p>
      <w:pPr>
        <w:pStyle w:val="Heading3"/>
      </w:pPr>
      <w:r>
        <w:t xml:space="preserve">Suggestions for further empirical tests</w:t>
      </w:r>
    </w:p>
    <w:p>
      <w:pPr>
        <w:pStyle w:val="FirstParagraph"/>
      </w:pPr>
      <w:r>
        <w:t xml:space="preserve">These are narrow tests (not a “research program”) that could validate or falsify pieces of the carousel claim with public data:</w:t>
      </w:r>
    </w:p>
    <w:p>
      <w:pPr>
        <w:pStyle w:val="BodyText"/>
      </w:pPr>
      <w:r>
        <w:t xml:space="preserve">Create a</w:t>
      </w:r>
      <w:r>
        <w:t xml:space="preserve"> </w:t>
      </w:r>
      <w:r>
        <w:rPr>
          <w:b/>
          <w:bCs/>
        </w:rPr>
        <w:t xml:space="preserve">promise-to-instrument map</w:t>
      </w:r>
      <w:r>
        <w:t xml:space="preserve"> </w:t>
      </w:r>
      <w:r>
        <w:t xml:space="preserve">for each case: code top campaign/movement promises, then classify delivered actions by instrument type (statute vs EO vs rule vs messaging vote). Prediction: higher reliance on EOs/messaging votes when promises target domains requiring cross‑veto coordination.</w:t>
      </w:r>
      <w:r>
        <w:t xml:space="preserve"> </w:t>
      </w:r>
      <w:hyperlink r:id="rId21">
        <w:r>
          <w:rPr>
            <w:rStyle w:val="Hyperlink"/>
          </w:rPr>
          <w:t xml:space="preserve">[86]</w:t>
        </w:r>
      </w:hyperlink>
    </w:p>
    <w:p>
      <w:pPr>
        <w:pStyle w:val="BodyText"/>
      </w:pPr>
      <w:r>
        <w:t xml:space="preserve">Build a</w:t>
      </w:r>
      <w:r>
        <w:t xml:space="preserve"> </w:t>
      </w:r>
      <w:r>
        <w:rPr>
          <w:b/>
          <w:bCs/>
        </w:rPr>
        <w:t xml:space="preserve">reversibility index</w:t>
      </w:r>
      <w:r>
        <w:t xml:space="preserve">: count how often major actions are explicitly revoked/terminated by successors (e.g., border emergency proclamations, Paris exit/re-entry). Prediction: high reversibility in high-salience cultural/identity domains, lower in judiciary and some tax provisions.</w:t>
      </w:r>
      <w:r>
        <w:t xml:space="preserve"> </w:t>
      </w:r>
      <w:hyperlink r:id="rId61">
        <w:r>
          <w:rPr>
            <w:rStyle w:val="Hyperlink"/>
          </w:rPr>
          <w:t xml:space="preserve">[87]</w:t>
        </w:r>
      </w:hyperlink>
    </w:p>
    <w:p>
      <w:pPr>
        <w:pStyle w:val="BodyText"/>
      </w:pPr>
      <w:r>
        <w:t xml:space="preserve">Quantify</w:t>
      </w:r>
      <w:r>
        <w:t xml:space="preserve"> </w:t>
      </w:r>
      <w:r>
        <w:rPr>
          <w:b/>
          <w:bCs/>
        </w:rPr>
        <w:t xml:space="preserve">elite convergence domains</w:t>
      </w:r>
      <w:r>
        <w:t xml:space="preserve"> </w:t>
      </w:r>
      <w:r>
        <w:t xml:space="preserve">by tracking bipartisan roll-call coalitions in crisis governance (war, surveillance, bailouts) versus partisan divergence in symbolic cultural domains. Prediction: higher bipartisan convergence in security/finance crises than in culture-war agendas.</w:t>
      </w:r>
      <w:r>
        <w:t xml:space="preserve"> </w:t>
      </w:r>
      <w:hyperlink r:id="rId74">
        <w:r>
          <w:rPr>
            <w:rStyle w:val="Hyperlink"/>
          </w:rPr>
          <w:t xml:space="preserve">[88]</w:t>
        </w:r>
      </w:hyperlink>
    </w:p>
    <w:bookmarkEnd w:id="81"/>
    <w:bookmarkEnd w:id="82"/>
    <w:bookmarkEnd w:id="83"/>
    <w:bookmarkEnd w:id="84"/>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[9]</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[17]</w:t>
        </w:r>
      </w:hyperlink>
      <w:r>
        <w:t xml:space="preserve"> </w:t>
      </w:r>
      <w:hyperlink r:id="rId21">
        <w:r>
          <w:rPr>
            <w:rStyle w:val="Hyperlink"/>
          </w:rPr>
          <w:t xml:space="preserve">[19]</w:t>
        </w:r>
      </w:hyperlink>
      <w:r>
        <w:t xml:space="preserve"> </w:t>
      </w:r>
      <w:hyperlink r:id="rId21">
        <w:r>
          <w:rPr>
            <w:rStyle w:val="Hyperlink"/>
          </w:rPr>
          <w:t xml:space="preserve">[22]</w:t>
        </w:r>
      </w:hyperlink>
      <w:r>
        <w:t xml:space="preserve"> </w:t>
      </w:r>
      <w:hyperlink r:id="rId21">
        <w:r>
          <w:rPr>
            <w:rStyle w:val="Hyperlink"/>
          </w:rPr>
          <w:t xml:space="preserve">[31]</w:t>
        </w:r>
      </w:hyperlink>
      <w:r>
        <w:t xml:space="preserve"> </w:t>
      </w:r>
      <w:hyperlink r:id="rId21">
        <w:r>
          <w:rPr>
            <w:rStyle w:val="Hyperlink"/>
          </w:rPr>
          <w:t xml:space="preserve">[71]</w:t>
        </w:r>
      </w:hyperlink>
      <w:r>
        <w:t xml:space="preserve"> </w:t>
      </w:r>
      <w:hyperlink r:id="rId21">
        <w:r>
          <w:rPr>
            <w:rStyle w:val="Hyperlink"/>
          </w:rPr>
          <w:t xml:space="preserve">[77]</w:t>
        </w:r>
      </w:hyperlink>
      <w:r>
        <w:t xml:space="preserve"> </w:t>
      </w:r>
      <w:hyperlink r:id="rId21">
        <w:r>
          <w:rPr>
            <w:rStyle w:val="Hyperlink"/>
          </w:rPr>
          <w:t xml:space="preserve">[82]</w:t>
        </w:r>
      </w:hyperlink>
      <w:r>
        <w:t xml:space="preserve"> </w:t>
      </w:r>
      <w:hyperlink r:id="rId21">
        <w:r>
          <w:rPr>
            <w:rStyle w:val="Hyperlink"/>
          </w:rPr>
          <w:t xml:space="preserve">[86]</w:t>
        </w:r>
      </w:hyperlink>
      <w:r>
        <w:t xml:space="preserve"> </w:t>
      </w:r>
      <w:r>
        <w:t xml:space="preserve">Executive Orders: An Introduction | Congress.gov | Library of Congress</w:t>
      </w:r>
    </w:p>
    <w:p>
      <w:pPr>
        <w:pStyle w:val="BodyText"/>
      </w:pPr>
      <w:hyperlink r:id="rId21">
        <w:r>
          <w:rPr>
            <w:rStyle w:val="Hyperlink"/>
          </w:rPr>
          <w:t xml:space="preserve">https://www.congress.gov/crs-product/R46738</w:t>
        </w:r>
      </w:hyperlink>
    </w:p>
    <w:p>
      <w:pPr>
        <w:pStyle w:val="BodyText"/>
      </w:pPr>
      <w:hyperlink r:id="rId22">
        <w:r>
          <w:rPr>
            <w:rStyle w:val="Hyperlink"/>
          </w:rPr>
          <w:t xml:space="preserve">[3]</w:t>
        </w:r>
      </w:hyperlink>
      <w:r>
        <w:t xml:space="preserve"> </w:t>
      </w:r>
      <w:hyperlink r:id="rId22">
        <w:r>
          <w:rPr>
            <w:rStyle w:val="Hyperlink"/>
          </w:rPr>
          <w:t xml:space="preserve">[38]</w:t>
        </w:r>
      </w:hyperlink>
      <w:r>
        <w:t xml:space="preserve"> </w:t>
      </w:r>
      <w:r>
        <w:t xml:space="preserve">https://oversight.house.gov/wp-content/uploads/2014/02/Martin-TPP-Statement-IRS-C4-Rule-2-27-COMPLETE.pdf</w:t>
      </w:r>
    </w:p>
    <w:p>
      <w:pPr>
        <w:pStyle w:val="BodyText"/>
      </w:pPr>
      <w:hyperlink r:id="rId22">
        <w:r>
          <w:rPr>
            <w:rStyle w:val="Hyperlink"/>
          </w:rPr>
          <w:t xml:space="preserve">https://oversight.house.gov/wp-content/uploads/2014/02/Martin-TPP-Statement-IRS-C4-Rule-2-27-COMPLETE.pdf</w:t>
        </w:r>
      </w:hyperlink>
    </w:p>
    <w:p>
      <w:pPr>
        <w:pStyle w:val="BodyText"/>
      </w:pPr>
      <w:hyperlink r:id="rId23">
        <w:r>
          <w:rPr>
            <w:rStyle w:val="Hyperlink"/>
          </w:rPr>
          <w:t xml:space="preserve">[4]</w:t>
        </w:r>
      </w:hyperlink>
      <w:r>
        <w:t xml:space="preserve"> </w:t>
      </w:r>
      <w:hyperlink r:id="rId23">
        <w:r>
          <w:rPr>
            <w:rStyle w:val="Hyperlink"/>
          </w:rPr>
          <w:t xml:space="preserve">[40]</w:t>
        </w:r>
      </w:hyperlink>
      <w:r>
        <w:t xml:space="preserve"> </w:t>
      </w:r>
      <w:r>
        <w:t xml:space="preserve">https://www.congress.gov/112/plaws/publ25/PLAW-112publ25.pdf</w:t>
      </w:r>
    </w:p>
    <w:p>
      <w:pPr>
        <w:pStyle w:val="BodyText"/>
      </w:pPr>
      <w:hyperlink r:id="rId23">
        <w:r>
          <w:rPr>
            <w:rStyle w:val="Hyperlink"/>
          </w:rPr>
          <w:t xml:space="preserve">https://www.congress.gov/112/plaws/publ25/PLAW-112publ25.pdf</w:t>
        </w:r>
      </w:hyperlink>
    </w:p>
    <w:p>
      <w:pPr>
        <w:pStyle w:val="BodyText"/>
      </w:pPr>
      <w:hyperlink r:id="rId24">
        <w:r>
          <w:rPr>
            <w:rStyle w:val="Hyperlink"/>
          </w:rPr>
          <w:t xml:space="preserve">[5]</w:t>
        </w:r>
      </w:hyperlink>
      <w:r>
        <w:t xml:space="preserve"> </w:t>
      </w:r>
      <w:hyperlink r:id="rId24">
        <w:r>
          <w:rPr>
            <w:rStyle w:val="Hyperlink"/>
          </w:rPr>
          <w:t xml:space="preserve">[11]</w:t>
        </w:r>
      </w:hyperlink>
      <w:r>
        <w:t xml:space="preserve"> </w:t>
      </w:r>
      <w:hyperlink r:id="rId24">
        <w:r>
          <w:rPr>
            <w:rStyle w:val="Hyperlink"/>
          </w:rPr>
          <w:t xml:space="preserve">[12]</w:t>
        </w:r>
      </w:hyperlink>
      <w:r>
        <w:t xml:space="preserve"> </w:t>
      </w:r>
      <w:hyperlink r:id="rId24">
        <w:r>
          <w:rPr>
            <w:rStyle w:val="Hyperlink"/>
          </w:rPr>
          <w:t xml:space="preserve">[29]</w:t>
        </w:r>
      </w:hyperlink>
      <w:r>
        <w:t xml:space="preserve"> </w:t>
      </w:r>
      <w:hyperlink r:id="rId24">
        <w:r>
          <w:rPr>
            <w:rStyle w:val="Hyperlink"/>
          </w:rPr>
          <w:t xml:space="preserve">[46]</w:t>
        </w:r>
      </w:hyperlink>
      <w:r>
        <w:t xml:space="preserve"> </w:t>
      </w:r>
      <w:hyperlink r:id="rId24">
        <w:r>
          <w:rPr>
            <w:rStyle w:val="Hyperlink"/>
          </w:rPr>
          <w:t xml:space="preserve">[57]</w:t>
        </w:r>
      </w:hyperlink>
      <w:r>
        <w:t xml:space="preserve"> </w:t>
      </w:r>
      <w:r>
        <w:t xml:space="preserve">https://www.presidency.ucsb.edu/documents/inaugural-address-14</w:t>
      </w:r>
    </w:p>
    <w:p>
      <w:pPr>
        <w:pStyle w:val="BodyText"/>
      </w:pPr>
      <w:hyperlink r:id="rId24">
        <w:r>
          <w:rPr>
            <w:rStyle w:val="Hyperlink"/>
          </w:rPr>
          <w:t xml:space="preserve">https://www.presidency.ucsb.edu/documents/inaugural-address-14</w:t>
        </w:r>
      </w:hyperlink>
    </w:p>
    <w:p>
      <w:pPr>
        <w:pStyle w:val="BodyText"/>
      </w:pPr>
      <w:hyperlink r:id="rId25">
        <w:r>
          <w:rPr>
            <w:rStyle w:val="Hyperlink"/>
          </w:rPr>
          <w:t xml:space="preserve">[6]</w:t>
        </w:r>
      </w:hyperlink>
      <w:r>
        <w:t xml:space="preserve"> </w:t>
      </w:r>
      <w:hyperlink r:id="rId25">
        <w:r>
          <w:rPr>
            <w:rStyle w:val="Hyperlink"/>
          </w:rPr>
          <w:t xml:space="preserve">[13]</w:t>
        </w:r>
      </w:hyperlink>
      <w:r>
        <w:t xml:space="preserve"> </w:t>
      </w:r>
      <w:hyperlink r:id="rId25">
        <w:r>
          <w:rPr>
            <w:rStyle w:val="Hyperlink"/>
          </w:rPr>
          <w:t xml:space="preserve">[25]</w:t>
        </w:r>
      </w:hyperlink>
      <w:r>
        <w:t xml:space="preserve"> </w:t>
      </w:r>
      <w:hyperlink r:id="rId25">
        <w:r>
          <w:rPr>
            <w:rStyle w:val="Hyperlink"/>
          </w:rPr>
          <w:t xml:space="preserve">[32]</w:t>
        </w:r>
      </w:hyperlink>
      <w:r>
        <w:t xml:space="preserve"> </w:t>
      </w:r>
      <w:hyperlink r:id="rId25">
        <w:r>
          <w:rPr>
            <w:rStyle w:val="Hyperlink"/>
          </w:rPr>
          <w:t xml:space="preserve">[59]</w:t>
        </w:r>
      </w:hyperlink>
      <w:r>
        <w:t xml:space="preserve"> </w:t>
      </w:r>
      <w:hyperlink r:id="rId25">
        <w:r>
          <w:rPr>
            <w:rStyle w:val="Hyperlink"/>
          </w:rPr>
          <w:t xml:space="preserve">[63]</w:t>
        </w:r>
      </w:hyperlink>
      <w:r>
        <w:t xml:space="preserve"> </w:t>
      </w:r>
      <w:r>
        <w:t xml:space="preserve">Spotlight shines, stage right, on U.S. House Freedom Caucus</w:t>
      </w:r>
    </w:p>
    <w:p>
      <w:pPr>
        <w:pStyle w:val="BodyText"/>
      </w:pPr>
      <w:hyperlink r:id="rId25">
        <w:r>
          <w:rPr>
            <w:rStyle w:val="Hyperlink"/>
          </w:rPr>
          <w:t xml:space="preserve">https://www.reuters.com/article/world/us/spotlight-shines-stage-right-on-us-house-freedom-caucus-idUSKCN0S92TF/?utm_source=chatgpt.com</w:t>
        </w:r>
      </w:hyperlink>
    </w:p>
    <w:p>
      <w:pPr>
        <w:pStyle w:val="BodyText"/>
      </w:pPr>
      <w:hyperlink r:id="rId26">
        <w:r>
          <w:rPr>
            <w:rStyle w:val="Hyperlink"/>
          </w:rPr>
          <w:t xml:space="preserve">[7]</w:t>
        </w:r>
      </w:hyperlink>
      <w:r>
        <w:t xml:space="preserve"> </w:t>
      </w:r>
      <w:hyperlink r:id="rId26">
        <w:r>
          <w:rPr>
            <w:rStyle w:val="Hyperlink"/>
          </w:rPr>
          <w:t xml:space="preserve">[21]</w:t>
        </w:r>
      </w:hyperlink>
      <w:r>
        <w:t xml:space="preserve"> </w:t>
      </w:r>
      <w:hyperlink r:id="rId26">
        <w:r>
          <w:rPr>
            <w:rStyle w:val="Hyperlink"/>
          </w:rPr>
          <w:t xml:space="preserve">[24]</w:t>
        </w:r>
      </w:hyperlink>
      <w:r>
        <w:t xml:space="preserve"> </w:t>
      </w:r>
      <w:hyperlink r:id="rId26">
        <w:r>
          <w:rPr>
            <w:rStyle w:val="Hyperlink"/>
          </w:rPr>
          <w:t xml:space="preserve">[72]</w:t>
        </w:r>
      </w:hyperlink>
      <w:r>
        <w:t xml:space="preserve"> </w:t>
      </w:r>
      <w:hyperlink r:id="rId26">
        <w:r>
          <w:rPr>
            <w:rStyle w:val="Hyperlink"/>
          </w:rPr>
          <w:t xml:space="preserve">[85]</w:t>
        </w:r>
      </w:hyperlink>
      <w:r>
        <w:t xml:space="preserve"> </w:t>
      </w:r>
      <w:r>
        <w:t xml:space="preserve">https://www.federalregister.gov/presidential-documents/executive-orders</w:t>
      </w:r>
    </w:p>
    <w:p>
      <w:pPr>
        <w:pStyle w:val="BodyText"/>
      </w:pPr>
      <w:hyperlink r:id="rId26">
        <w:r>
          <w:rPr>
            <w:rStyle w:val="Hyperlink"/>
          </w:rPr>
          <w:t xml:space="preserve">https://www.federalregister.gov/presidential-documents/executive-orders</w:t>
        </w:r>
      </w:hyperlink>
    </w:p>
    <w:p>
      <w:pPr>
        <w:pStyle w:val="BodyText"/>
      </w:pPr>
      <w:hyperlink r:id="rId27">
        <w:r>
          <w:rPr>
            <w:rStyle w:val="Hyperlink"/>
          </w:rPr>
          <w:t xml:space="preserve">[8]</w:t>
        </w:r>
      </w:hyperlink>
      <w:r>
        <w:t xml:space="preserve"> </w:t>
      </w:r>
      <w:hyperlink r:id="rId27">
        <w:r>
          <w:rPr>
            <w:rStyle w:val="Hyperlink"/>
          </w:rPr>
          <w:t xml:space="preserve">[64]</w:t>
        </w:r>
      </w:hyperlink>
      <w:r>
        <w:t xml:space="preserve"> </w:t>
      </w:r>
      <w:hyperlink r:id="rId27">
        <w:r>
          <w:rPr>
            <w:rStyle w:val="Hyperlink"/>
          </w:rPr>
          <w:t xml:space="preserve">[67]</w:t>
        </w:r>
      </w:hyperlink>
      <w:r>
        <w:t xml:space="preserve"> </w:t>
      </w:r>
      <w:r>
        <w:t xml:space="preserve">https://www.britannica.com/biography/Tucker-Carlson</w:t>
      </w:r>
    </w:p>
    <w:p>
      <w:pPr>
        <w:pStyle w:val="BodyText"/>
      </w:pPr>
      <w:hyperlink r:id="rId27">
        <w:r>
          <w:rPr>
            <w:rStyle w:val="Hyperlink"/>
          </w:rPr>
          <w:t xml:space="preserve">https://www.britannica.com/biography/Tucker-Carlson</w:t>
        </w:r>
      </w:hyperlink>
    </w:p>
    <w:p>
      <w:pPr>
        <w:pStyle w:val="BodyText"/>
      </w:pPr>
      <w:hyperlink r:id="rId29">
        <w:r>
          <w:rPr>
            <w:rStyle w:val="Hyperlink"/>
          </w:rPr>
          <w:t xml:space="preserve">[10]</w:t>
        </w:r>
      </w:hyperlink>
      <w:r>
        <w:t xml:space="preserve"> </w:t>
      </w:r>
      <w:hyperlink r:id="rId29">
        <w:r>
          <w:rPr>
            <w:rStyle w:val="Hyperlink"/>
          </w:rPr>
          <w:t xml:space="preserve">[81]</w:t>
        </w:r>
      </w:hyperlink>
      <w:r>
        <w:t xml:space="preserve"> </w:t>
      </w:r>
      <w:r>
        <w:t xml:space="preserve">https://amc.sas.upenn.edu/cas-mudde-populism-twenty-first-century</w:t>
      </w:r>
    </w:p>
    <w:p>
      <w:pPr>
        <w:pStyle w:val="BodyText"/>
      </w:pPr>
      <w:hyperlink r:id="rId29">
        <w:r>
          <w:rPr>
            <w:rStyle w:val="Hyperlink"/>
          </w:rPr>
          <w:t xml:space="preserve">https://amc.sas.upenn.edu/cas-mudde-populism-twenty-first-century</w:t>
        </w:r>
      </w:hyperlink>
    </w:p>
    <w:p>
      <w:pPr>
        <w:pStyle w:val="BodyText"/>
      </w:pPr>
      <w:hyperlink r:id="rId32">
        <w:r>
          <w:rPr>
            <w:rStyle w:val="Hyperlink"/>
          </w:rPr>
          <w:t xml:space="preserve">[16]</w:t>
        </w:r>
      </w:hyperlink>
      <w:r>
        <w:t xml:space="preserve"> </w:t>
      </w:r>
      <w:hyperlink r:id="rId32">
        <w:r>
          <w:rPr>
            <w:rStyle w:val="Hyperlink"/>
          </w:rPr>
          <w:t xml:space="preserve">[23]</w:t>
        </w:r>
      </w:hyperlink>
      <w:r>
        <w:t xml:space="preserve"> </w:t>
      </w:r>
      <w:hyperlink r:id="rId32">
        <w:r>
          <w:rPr>
            <w:rStyle w:val="Hyperlink"/>
          </w:rPr>
          <w:t xml:space="preserve">[42]</w:t>
        </w:r>
      </w:hyperlink>
      <w:r>
        <w:t xml:space="preserve"> </w:t>
      </w:r>
      <w:r>
        <w:t xml:space="preserve">https://www.govinfo.gov/content/pkg/CREC-2013-10-08/pdf/CREC-2013-10-08.pdf</w:t>
      </w:r>
    </w:p>
    <w:p>
      <w:pPr>
        <w:pStyle w:val="BodyText"/>
      </w:pPr>
      <w:hyperlink r:id="rId32">
        <w:r>
          <w:rPr>
            <w:rStyle w:val="Hyperlink"/>
          </w:rPr>
          <w:t xml:space="preserve">https://www.govinfo.gov/content/pkg/CREC-2013-10-08/pdf/CREC-2013-10-08.pdf</w:t>
        </w:r>
      </w:hyperlink>
    </w:p>
    <w:p>
      <w:pPr>
        <w:pStyle w:val="BodyText"/>
      </w:pPr>
      <w:hyperlink r:id="rId34">
        <w:r>
          <w:rPr>
            <w:rStyle w:val="Hyperlink"/>
          </w:rPr>
          <w:t xml:space="preserve">[18]</w:t>
        </w:r>
      </w:hyperlink>
      <w:r>
        <w:t xml:space="preserve"> </w:t>
      </w:r>
      <w:hyperlink r:id="rId34">
        <w:r>
          <w:rPr>
            <w:rStyle w:val="Hyperlink"/>
          </w:rPr>
          <w:t xml:space="preserve">[51]</w:t>
        </w:r>
      </w:hyperlink>
      <w:r>
        <w:t xml:space="preserve"> </w:t>
      </w:r>
      <w:r>
        <w:t xml:space="preserve">https://www.reuters.com/article/world/trump-taps-goldman-sachs-executive-cohn-for-key-economic-post-idUSKBN1412HH/</w:t>
      </w:r>
    </w:p>
    <w:p>
      <w:pPr>
        <w:pStyle w:val="BodyText"/>
      </w:pPr>
      <w:hyperlink r:id="rId34">
        <w:r>
          <w:rPr>
            <w:rStyle w:val="Hyperlink"/>
          </w:rPr>
          <w:t xml:space="preserve">https://www.reuters.com/article/world/trump-taps-goldman-sachs-executive-cohn-for-key-economic-post-idUSKBN1412HH/</w:t>
        </w:r>
      </w:hyperlink>
    </w:p>
    <w:p>
      <w:pPr>
        <w:pStyle w:val="BodyText"/>
      </w:pPr>
      <w:hyperlink r:id="rId35">
        <w:r>
          <w:rPr>
            <w:rStyle w:val="Hyperlink"/>
          </w:rPr>
          <w:t xml:space="preserve">[20]</w:t>
        </w:r>
      </w:hyperlink>
      <w:r>
        <w:t xml:space="preserve"> </w:t>
      </w:r>
      <w:hyperlink r:id="rId35">
        <w:r>
          <w:rPr>
            <w:rStyle w:val="Hyperlink"/>
          </w:rPr>
          <w:t xml:space="preserve">[56]</w:t>
        </w:r>
      </w:hyperlink>
      <w:r>
        <w:t xml:space="preserve"> </w:t>
      </w:r>
      <w:hyperlink r:id="rId35">
        <w:r>
          <w:rPr>
            <w:rStyle w:val="Hyperlink"/>
          </w:rPr>
          <w:t xml:space="preserve">[83]</w:t>
        </w:r>
      </w:hyperlink>
      <w:r>
        <w:t xml:space="preserve"> </w:t>
      </w:r>
      <w:r>
        <w:t xml:space="preserve">https://www.reuters.com/world/us/biden-secures-235th-confirmed-judicial-appointee-one-more-than-trump-2024-12-21/</w:t>
      </w:r>
    </w:p>
    <w:p>
      <w:pPr>
        <w:pStyle w:val="BodyText"/>
      </w:pPr>
      <w:hyperlink r:id="rId35">
        <w:r>
          <w:rPr>
            <w:rStyle w:val="Hyperlink"/>
          </w:rPr>
          <w:t xml:space="preserve">https://www.reuters.com/world/us/biden-secures-235th-confirmed-judicial-appointee-one-more-than-trump-2024-12-21/</w:t>
        </w:r>
      </w:hyperlink>
    </w:p>
    <w:p>
      <w:pPr>
        <w:pStyle w:val="BodyText"/>
      </w:pPr>
      <w:hyperlink r:id="rId39">
        <w:r>
          <w:rPr>
            <w:rStyle w:val="Hyperlink"/>
          </w:rPr>
          <w:t xml:space="preserve">[26]</w:t>
        </w:r>
      </w:hyperlink>
      <w:r>
        <w:t xml:space="preserve"> </w:t>
      </w:r>
      <w:hyperlink r:id="rId39">
        <w:r>
          <w:rPr>
            <w:rStyle w:val="Hyperlink"/>
          </w:rPr>
          <w:t xml:space="preserve">[74]</w:t>
        </w:r>
      </w:hyperlink>
      <w:r>
        <w:t xml:space="preserve"> </w:t>
      </w:r>
      <w:r>
        <w:t xml:space="preserve">https://www.congress.gov/bill/107th-congress/house-joint-resolution/114</w:t>
      </w:r>
    </w:p>
    <w:p>
      <w:pPr>
        <w:pStyle w:val="BodyText"/>
      </w:pPr>
      <w:hyperlink r:id="rId39">
        <w:r>
          <w:rPr>
            <w:rStyle w:val="Hyperlink"/>
          </w:rPr>
          <w:t xml:space="preserve">https://www.congress.gov/bill/107th-congress/house-joint-resolution/114</w:t>
        </w:r>
      </w:hyperlink>
    </w:p>
    <w:p>
      <w:pPr>
        <w:pStyle w:val="BodyText"/>
      </w:pPr>
      <w:hyperlink r:id="rId40">
        <w:r>
          <w:rPr>
            <w:rStyle w:val="Hyperlink"/>
          </w:rPr>
          <w:t xml:space="preserve">[27]</w:t>
        </w:r>
      </w:hyperlink>
      <w:r>
        <w:t xml:space="preserve"> </w:t>
      </w:r>
      <w:hyperlink r:id="rId40">
        <w:r>
          <w:rPr>
            <w:rStyle w:val="Hyperlink"/>
          </w:rPr>
          <w:t xml:space="preserve">[60]</w:t>
        </w:r>
      </w:hyperlink>
      <w:r>
        <w:t xml:space="preserve"> </w:t>
      </w:r>
      <w:r>
        <w:t xml:space="preserve">House Freedom Caucus: What is it, and who's in it?</w:t>
      </w:r>
    </w:p>
    <w:p>
      <w:pPr>
        <w:pStyle w:val="BodyText"/>
      </w:pPr>
      <w:hyperlink r:id="rId40">
        <w:r>
          <w:rPr>
            <w:rStyle w:val="Hyperlink"/>
          </w:rPr>
          <w:t xml:space="preserve">https://www.pewresearch.org/short-reads/2015/10/20/house-freedom-caucus-what-is-it-and-whos-in-it/?utm_source=chatgpt.com</w:t>
        </w:r>
      </w:hyperlink>
    </w:p>
    <w:p>
      <w:pPr>
        <w:pStyle w:val="BodyText"/>
      </w:pPr>
      <w:hyperlink r:id="rId41">
        <w:r>
          <w:rPr>
            <w:rStyle w:val="Hyperlink"/>
          </w:rPr>
          <w:t xml:space="preserve">[28]</w:t>
        </w:r>
      </w:hyperlink>
      <w:r>
        <w:t xml:space="preserve"> </w:t>
      </w:r>
      <w:r>
        <w:t xml:space="preserve">https://www.gao.gov/legal/congressional-review-act/faqs-on-the-congressional-review-act</w:t>
      </w:r>
    </w:p>
    <w:p>
      <w:pPr>
        <w:pStyle w:val="BodyText"/>
      </w:pPr>
      <w:hyperlink r:id="rId41">
        <w:r>
          <w:rPr>
            <w:rStyle w:val="Hyperlink"/>
          </w:rPr>
          <w:t xml:space="preserve">https://www.gao.gov/legal/congressional-review-act/faqs-on-the-congressional-review-act</w:t>
        </w:r>
      </w:hyperlink>
    </w:p>
    <w:p>
      <w:pPr>
        <w:pStyle w:val="BodyText"/>
      </w:pPr>
      <w:hyperlink r:id="rId42">
        <w:r>
          <w:rPr>
            <w:rStyle w:val="Hyperlink"/>
          </w:rPr>
          <w:t xml:space="preserve">[30]</w:t>
        </w:r>
      </w:hyperlink>
      <w:r>
        <w:t xml:space="preserve"> </w:t>
      </w:r>
      <w:hyperlink r:id="rId42">
        <w:r>
          <w:rPr>
            <w:rStyle w:val="Hyperlink"/>
          </w:rPr>
          <w:t xml:space="preserve">[48]</w:t>
        </w:r>
      </w:hyperlink>
      <w:r>
        <w:t xml:space="preserve"> </w:t>
      </w:r>
      <w:r>
        <w:t xml:space="preserve">https://www.jct.gov/getattachment/45580637-252a-4c6f-b434-a2085f417920/x-68-17-5054.pdf</w:t>
      </w:r>
    </w:p>
    <w:p>
      <w:pPr>
        <w:pStyle w:val="BodyText"/>
      </w:pPr>
      <w:hyperlink r:id="rId42">
        <w:r>
          <w:rPr>
            <w:rStyle w:val="Hyperlink"/>
          </w:rPr>
          <w:t xml:space="preserve">https://www.jct.gov/getattachment/45580637-252a-4c6f-b434-a2085f417920/x-68-17-5054.pdf</w:t>
        </w:r>
      </w:hyperlink>
    </w:p>
    <w:p>
      <w:pPr>
        <w:pStyle w:val="BodyText"/>
      </w:pPr>
      <w:hyperlink r:id="rId43">
        <w:r>
          <w:rPr>
            <w:rStyle w:val="Hyperlink"/>
          </w:rPr>
          <w:t xml:space="preserve">[33]</w:t>
        </w:r>
      </w:hyperlink>
      <w:r>
        <w:t xml:space="preserve"> </w:t>
      </w:r>
      <w:hyperlink r:id="rId43">
        <w:r>
          <w:rPr>
            <w:rStyle w:val="Hyperlink"/>
          </w:rPr>
          <w:t xml:space="preserve">[50]</w:t>
        </w:r>
      </w:hyperlink>
      <w:r>
        <w:t xml:space="preserve"> </w:t>
      </w:r>
      <w:r>
        <w:t xml:space="preserve">https://www.cbo.gov/publication/55824</w:t>
      </w:r>
    </w:p>
    <w:p>
      <w:pPr>
        <w:pStyle w:val="BodyText"/>
      </w:pPr>
      <w:hyperlink r:id="rId43">
        <w:r>
          <w:rPr>
            <w:rStyle w:val="Hyperlink"/>
          </w:rPr>
          <w:t xml:space="preserve">https://www.cbo.gov/publication/55824</w:t>
        </w:r>
      </w:hyperlink>
    </w:p>
    <w:p>
      <w:pPr>
        <w:pStyle w:val="BodyText"/>
      </w:pPr>
      <w:hyperlink r:id="rId44">
        <w:r>
          <w:rPr>
            <w:rStyle w:val="Hyperlink"/>
          </w:rPr>
          <w:t xml:space="preserve">[34]</w:t>
        </w:r>
      </w:hyperlink>
      <w:r>
        <w:t xml:space="preserve"> </w:t>
      </w:r>
      <w:r>
        <w:t xml:space="preserve">https://clerk.house.gov/Votes/2008681</w:t>
      </w:r>
    </w:p>
    <w:p>
      <w:pPr>
        <w:pStyle w:val="BodyText"/>
      </w:pPr>
      <w:hyperlink r:id="rId44">
        <w:r>
          <w:rPr>
            <w:rStyle w:val="Hyperlink"/>
          </w:rPr>
          <w:t xml:space="preserve">https://clerk.house.gov/Votes/2008681</w:t>
        </w:r>
      </w:hyperlink>
    </w:p>
    <w:p>
      <w:pPr>
        <w:pStyle w:val="BodyText"/>
      </w:pPr>
      <w:hyperlink r:id="rId45">
        <w:r>
          <w:rPr>
            <w:rStyle w:val="Hyperlink"/>
          </w:rPr>
          <w:t xml:space="preserve">[35]</w:t>
        </w:r>
      </w:hyperlink>
      <w:r>
        <w:t xml:space="preserve"> </w:t>
      </w:r>
      <w:hyperlink r:id="rId45">
        <w:r>
          <w:rPr>
            <w:rStyle w:val="Hyperlink"/>
          </w:rPr>
          <w:t xml:space="preserve">[45]</w:t>
        </w:r>
      </w:hyperlink>
      <w:r>
        <w:t xml:space="preserve"> </w:t>
      </w:r>
      <w:hyperlink r:id="rId45">
        <w:r>
          <w:rPr>
            <w:rStyle w:val="Hyperlink"/>
          </w:rPr>
          <w:t xml:space="preserve">[78]</w:t>
        </w:r>
      </w:hyperlink>
      <w:r>
        <w:t xml:space="preserve"> </w:t>
      </w:r>
      <w:r>
        <w:t xml:space="preserve">https://www.sdu.dk/-/media/files/om_sdu/aarets_gang/hca_lectures/williamson%2Bskocpol%2Bcoggin%2Btea%2Bparty.pdf</w:t>
      </w:r>
    </w:p>
    <w:p>
      <w:pPr>
        <w:pStyle w:val="BodyText"/>
      </w:pPr>
      <w:hyperlink r:id="rId45">
        <w:r>
          <w:rPr>
            <w:rStyle w:val="Hyperlink"/>
          </w:rPr>
          <w:t xml:space="preserve">https://www.sdu.dk/-/media/files/om_sdu/aarets_gang/hca_lectures/williamson%2Bskocpol%2Bcoggin%2Btea%2Bparty.pdf</w:t>
        </w:r>
      </w:hyperlink>
    </w:p>
    <w:p>
      <w:pPr>
        <w:pStyle w:val="BodyText"/>
      </w:pPr>
      <w:hyperlink r:id="rId46">
        <w:r>
          <w:rPr>
            <w:rStyle w:val="Hyperlink"/>
          </w:rPr>
          <w:t xml:space="preserve">[36]</w:t>
        </w:r>
      </w:hyperlink>
      <w:r>
        <w:t xml:space="preserve"> </w:t>
      </w:r>
      <w:r>
        <w:t xml:space="preserve">https://www.propublica.org/article/what-we-found-in-trump-administration-drained-swamp-hundreds-of-ex-lobbyists-and-washington-dc-insiders</w:t>
      </w:r>
    </w:p>
    <w:p>
      <w:pPr>
        <w:pStyle w:val="BodyText"/>
      </w:pPr>
      <w:hyperlink r:id="rId46">
        <w:r>
          <w:rPr>
            <w:rStyle w:val="Hyperlink"/>
          </w:rPr>
          <w:t xml:space="preserve">https://www.propublica.org/article/what-we-found-in-trump-administration-drained-swamp-hundreds-of-ex-lobbyists-and-washington-dc-insiders</w:t>
        </w:r>
      </w:hyperlink>
    </w:p>
    <w:p>
      <w:pPr>
        <w:pStyle w:val="BodyText"/>
      </w:pPr>
      <w:hyperlink r:id="rId47">
        <w:r>
          <w:rPr>
            <w:rStyle w:val="Hyperlink"/>
          </w:rPr>
          <w:t xml:space="preserve">[37]</w:t>
        </w:r>
      </w:hyperlink>
      <w:r>
        <w:t xml:space="preserve"> </w:t>
      </w:r>
      <w:hyperlink r:id="rId47">
        <w:r>
          <w:rPr>
            <w:rStyle w:val="Hyperlink"/>
          </w:rPr>
          <w:t xml:space="preserve">[58]</w:t>
        </w:r>
      </w:hyperlink>
      <w:r>
        <w:t xml:space="preserve"> </w:t>
      </w:r>
      <w:hyperlink r:id="rId47">
        <w:r>
          <w:rPr>
            <w:rStyle w:val="Hyperlink"/>
          </w:rPr>
          <w:t xml:space="preserve">[61]</w:t>
        </w:r>
      </w:hyperlink>
      <w:r>
        <w:t xml:space="preserve"> </w:t>
      </w:r>
      <w:hyperlink r:id="rId47">
        <w:r>
          <w:rPr>
            <w:rStyle w:val="Hyperlink"/>
          </w:rPr>
          <w:t xml:space="preserve">[68]</w:t>
        </w:r>
      </w:hyperlink>
      <w:r>
        <w:t xml:space="preserve"> </w:t>
      </w:r>
      <w:hyperlink r:id="rId47">
        <w:r>
          <w:rPr>
            <w:rStyle w:val="Hyperlink"/>
          </w:rPr>
          <w:t xml:space="preserve">[79]</w:t>
        </w:r>
      </w:hyperlink>
      <w:r>
        <w:t xml:space="preserve"> </w:t>
      </w:r>
      <w:r>
        <w:t xml:space="preserve">https://www.reuters.com/world/us/mccarthy-says-he-thinks-he-will-survive-leadership-challenge-us-house-2023-10-03/</w:t>
      </w:r>
    </w:p>
    <w:p>
      <w:pPr>
        <w:pStyle w:val="BodyText"/>
      </w:pPr>
      <w:hyperlink r:id="rId47">
        <w:r>
          <w:rPr>
            <w:rStyle w:val="Hyperlink"/>
          </w:rPr>
          <w:t xml:space="preserve">https://www.reuters.com/world/us/mccarthy-says-he-thinks-he-will-survive-leadership-challenge-us-house-2023-10-03/</w:t>
        </w:r>
      </w:hyperlink>
    </w:p>
    <w:p>
      <w:pPr>
        <w:pStyle w:val="BodyText"/>
      </w:pPr>
      <w:hyperlink r:id="rId51">
        <w:r>
          <w:rPr>
            <w:rStyle w:val="Hyperlink"/>
          </w:rPr>
          <w:t xml:space="preserve">[39]</w:t>
        </w:r>
      </w:hyperlink>
      <w:r>
        <w:t xml:space="preserve"> </w:t>
      </w:r>
      <w:r>
        <w:t xml:space="preserve">https://www.newyorker.com/magazine/2010/08/30/covert-operations</w:t>
      </w:r>
    </w:p>
    <w:p>
      <w:pPr>
        <w:pStyle w:val="BodyText"/>
      </w:pPr>
      <w:hyperlink r:id="rId51">
        <w:r>
          <w:rPr>
            <w:rStyle w:val="Hyperlink"/>
          </w:rPr>
          <w:t xml:space="preserve">https://www.newyorker.com/magazine/2010/08/30/covert-operations</w:t>
        </w:r>
      </w:hyperlink>
    </w:p>
    <w:p>
      <w:pPr>
        <w:pStyle w:val="BodyText"/>
      </w:pPr>
      <w:hyperlink r:id="rId52">
        <w:r>
          <w:rPr>
            <w:rStyle w:val="Hyperlink"/>
          </w:rPr>
          <w:t xml:space="preserve">[41]</w:t>
        </w:r>
      </w:hyperlink>
      <w:r>
        <w:t xml:space="preserve"> </w:t>
      </w:r>
      <w:r>
        <w:t xml:space="preserve">https://www.reuters.com/article/business/healthcare-pharmaceuticals/house-votes-to-begin-repealing-obamacare-idUSKBN14X1SJ/</w:t>
      </w:r>
    </w:p>
    <w:p>
      <w:pPr>
        <w:pStyle w:val="BodyText"/>
      </w:pPr>
      <w:hyperlink r:id="rId52">
        <w:r>
          <w:rPr>
            <w:rStyle w:val="Hyperlink"/>
          </w:rPr>
          <w:t xml:space="preserve">https://www.reuters.com/article/business/healthcare-pharmaceuticals/house-votes-to-begin-repealing-obamacare-idUSKBN14X1SJ/</w:t>
        </w:r>
      </w:hyperlink>
    </w:p>
    <w:p>
      <w:pPr>
        <w:pStyle w:val="BodyText"/>
      </w:pPr>
      <w:hyperlink r:id="rId53">
        <w:r>
          <w:rPr>
            <w:rStyle w:val="Hyperlink"/>
          </w:rPr>
          <w:t xml:space="preserve">[43]</w:t>
        </w:r>
      </w:hyperlink>
      <w:r>
        <w:t xml:space="preserve"> </w:t>
      </w:r>
      <w:r>
        <w:t xml:space="preserve">https://www.pewresearch.org/politics/2013/10/16/tea-partys-image-turns-more-negative/</w:t>
      </w:r>
    </w:p>
    <w:p>
      <w:pPr>
        <w:pStyle w:val="BodyText"/>
      </w:pPr>
      <w:hyperlink r:id="rId53">
        <w:r>
          <w:rPr>
            <w:rStyle w:val="Hyperlink"/>
          </w:rPr>
          <w:t xml:space="preserve">https://www.pewresearch.org/politics/2013/10/16/tea-partys-image-turns-more-negative/</w:t>
        </w:r>
      </w:hyperlink>
    </w:p>
    <w:p>
      <w:pPr>
        <w:pStyle w:val="BodyText"/>
      </w:pPr>
      <w:hyperlink r:id="rId54">
        <w:r>
          <w:rPr>
            <w:rStyle w:val="Hyperlink"/>
          </w:rPr>
          <w:t xml:space="preserve">[44]</w:t>
        </w:r>
      </w:hyperlink>
      <w:r>
        <w:t xml:space="preserve"> </w:t>
      </w:r>
      <w:r>
        <w:t xml:space="preserve">The Federal Budget Deficit for 2011—$1.3 Trillion</w:t>
      </w:r>
    </w:p>
    <w:p>
      <w:pPr>
        <w:pStyle w:val="BodyText"/>
      </w:pPr>
      <w:hyperlink r:id="rId54">
        <w:r>
          <w:rPr>
            <w:rStyle w:val="Hyperlink"/>
          </w:rPr>
          <w:t xml:space="preserve">https://www.cbo.gov/publication/42532?utm_source=chatgpt.com</w:t>
        </w:r>
      </w:hyperlink>
    </w:p>
    <w:p>
      <w:pPr>
        <w:pStyle w:val="BodyText"/>
      </w:pPr>
      <w:hyperlink r:id="rId56">
        <w:r>
          <w:rPr>
            <w:rStyle w:val="Hyperlink"/>
          </w:rPr>
          <w:t xml:space="preserve">[47]</w:t>
        </w:r>
      </w:hyperlink>
      <w:r>
        <w:t xml:space="preserve"> </w:t>
      </w:r>
      <w:hyperlink r:id="rId56">
        <w:r>
          <w:rPr>
            <w:rStyle w:val="Hyperlink"/>
          </w:rPr>
          <w:t xml:space="preserve">[80]</w:t>
        </w:r>
      </w:hyperlink>
      <w:r>
        <w:t xml:space="preserve"> </w:t>
      </w:r>
      <w:r>
        <w:t xml:space="preserve">https://www.congress.gov/bill/115th-congress/house-bill/1/text/eh</w:t>
      </w:r>
    </w:p>
    <w:p>
      <w:pPr>
        <w:pStyle w:val="BodyText"/>
      </w:pPr>
      <w:hyperlink r:id="rId56">
        <w:r>
          <w:rPr>
            <w:rStyle w:val="Hyperlink"/>
          </w:rPr>
          <w:t xml:space="preserve">https://www.congress.gov/bill/115th-congress/house-bill/1/text/eh</w:t>
        </w:r>
      </w:hyperlink>
    </w:p>
    <w:p>
      <w:pPr>
        <w:pStyle w:val="BodyText"/>
      </w:pPr>
      <w:hyperlink r:id="rId57">
        <w:r>
          <w:rPr>
            <w:rStyle w:val="Hyperlink"/>
          </w:rPr>
          <w:t xml:space="preserve">[49]</w:t>
        </w:r>
      </w:hyperlink>
      <w:r>
        <w:t xml:space="preserve"> </w:t>
      </w:r>
      <w:r>
        <w:t xml:space="preserve">https://www.cbo.gov/publication/53312</w:t>
      </w:r>
    </w:p>
    <w:p>
      <w:pPr>
        <w:pStyle w:val="BodyText"/>
      </w:pPr>
      <w:hyperlink r:id="rId57">
        <w:r>
          <w:rPr>
            <w:rStyle w:val="Hyperlink"/>
          </w:rPr>
          <w:t xml:space="preserve">https://www.cbo.gov/publication/53312</w:t>
        </w:r>
      </w:hyperlink>
    </w:p>
    <w:p>
      <w:pPr>
        <w:pStyle w:val="BodyText"/>
      </w:pPr>
      <w:hyperlink r:id="rId58">
        <w:r>
          <w:rPr>
            <w:rStyle w:val="Hyperlink"/>
          </w:rPr>
          <w:t xml:space="preserve">[52]</w:t>
        </w:r>
      </w:hyperlink>
      <w:r>
        <w:t xml:space="preserve"> </w:t>
      </w:r>
      <w:r>
        <w:t xml:space="preserve">https://trumpwhitehouse.archives.gov/presidential-actions/presidential-executive-order-reducing-regulation-controlling-regulatory-costs/</w:t>
      </w:r>
    </w:p>
    <w:p>
      <w:pPr>
        <w:pStyle w:val="BodyText"/>
      </w:pPr>
      <w:hyperlink r:id="rId58">
        <w:r>
          <w:rPr>
            <w:rStyle w:val="Hyperlink"/>
          </w:rPr>
          <w:t xml:space="preserve">https://trumpwhitehouse.archives.gov/presidential-actions/presidential-executive-order-reducing-regulation-controlling-regulatory-costs/</w:t>
        </w:r>
      </w:hyperlink>
    </w:p>
    <w:p>
      <w:pPr>
        <w:pStyle w:val="BodyText"/>
      </w:pPr>
      <w:hyperlink r:id="rId59">
        <w:r>
          <w:rPr>
            <w:rStyle w:val="Hyperlink"/>
          </w:rPr>
          <w:t xml:space="preserve">[53]</w:t>
        </w:r>
      </w:hyperlink>
      <w:r>
        <w:t xml:space="preserve"> </w:t>
      </w:r>
      <w:r>
        <w:t xml:space="preserve">https://www.brookings.edu/articles/accounting-for-regulatory-reform-under-executive-order-13771/</w:t>
      </w:r>
    </w:p>
    <w:p>
      <w:pPr>
        <w:pStyle w:val="BodyText"/>
      </w:pPr>
      <w:hyperlink r:id="rId59">
        <w:r>
          <w:rPr>
            <w:rStyle w:val="Hyperlink"/>
          </w:rPr>
          <w:t xml:space="preserve">https://www.brookings.edu/articles/accounting-for-regulatory-reform-under-executive-order-13771/</w:t>
        </w:r>
      </w:hyperlink>
    </w:p>
    <w:p>
      <w:pPr>
        <w:pStyle w:val="BodyText"/>
      </w:pPr>
      <w:hyperlink r:id="rId60">
        <w:r>
          <w:rPr>
            <w:rStyle w:val="Hyperlink"/>
          </w:rPr>
          <w:t xml:space="preserve">[54]</w:t>
        </w:r>
      </w:hyperlink>
      <w:r>
        <w:t xml:space="preserve"> </w:t>
      </w:r>
      <w:r>
        <w:t xml:space="preserve">https://unfccc.int/news/joint-statement-on-the-us-withdrawal-from-the-paris-agreement</w:t>
      </w:r>
    </w:p>
    <w:p>
      <w:pPr>
        <w:pStyle w:val="BodyText"/>
      </w:pPr>
      <w:hyperlink r:id="rId60">
        <w:r>
          <w:rPr>
            <w:rStyle w:val="Hyperlink"/>
          </w:rPr>
          <w:t xml:space="preserve">https://unfccc.int/news/joint-statement-on-the-us-withdrawal-from-the-paris-agreement</w:t>
        </w:r>
      </w:hyperlink>
    </w:p>
    <w:p>
      <w:pPr>
        <w:pStyle w:val="BodyText"/>
      </w:pPr>
      <w:hyperlink r:id="rId61">
        <w:r>
          <w:rPr>
            <w:rStyle w:val="Hyperlink"/>
          </w:rPr>
          <w:t xml:space="preserve">[55]</w:t>
        </w:r>
      </w:hyperlink>
      <w:r>
        <w:t xml:space="preserve"> </w:t>
      </w:r>
      <w:hyperlink r:id="rId61">
        <w:r>
          <w:rPr>
            <w:rStyle w:val="Hyperlink"/>
          </w:rPr>
          <w:t xml:space="preserve">[87]</w:t>
        </w:r>
      </w:hyperlink>
      <w:r>
        <w:t xml:space="preserve"> </w:t>
      </w:r>
      <w:r>
        <w:t xml:space="preserve">https://www.federalregister.gov/documents/2021/01/27/2021-01922/termination-of-emergency-with-respect-to-the-southern-border-of-the-united-states-and-redirection-of</w:t>
      </w:r>
    </w:p>
    <w:p>
      <w:pPr>
        <w:pStyle w:val="BodyText"/>
      </w:pPr>
      <w:hyperlink r:id="rId61">
        <w:r>
          <w:rPr>
            <w:rStyle w:val="Hyperlink"/>
          </w:rPr>
          <w:t xml:space="preserve">https://www.federalregister.gov/documents/2021/01/27/2021-01922/termination-of-emergency-with-respect-to-the-southern-border-of-the-united-states-and-redirection-of</w:t>
        </w:r>
      </w:hyperlink>
    </w:p>
    <w:p>
      <w:pPr>
        <w:pStyle w:val="BodyText"/>
      </w:pPr>
      <w:hyperlink r:id="rId63">
        <w:r>
          <w:rPr>
            <w:rStyle w:val="Hyperlink"/>
          </w:rPr>
          <w:t xml:space="preserve">[62]</w:t>
        </w:r>
      </w:hyperlink>
      <w:r>
        <w:t xml:space="preserve"> </w:t>
      </w:r>
      <w:r>
        <w:t xml:space="preserve">https://heritageaction.com/blog/government-shutdown-americans-okay-if-congress-fights-to-defund-obamacare</w:t>
      </w:r>
    </w:p>
    <w:p>
      <w:pPr>
        <w:pStyle w:val="BodyText"/>
      </w:pPr>
      <w:hyperlink r:id="rId63">
        <w:r>
          <w:rPr>
            <w:rStyle w:val="Hyperlink"/>
          </w:rPr>
          <w:t xml:space="preserve">https://heritageaction.com/blog/government-shutdown-americans-okay-if-congress-fights-to-defund-obamacare</w:t>
        </w:r>
      </w:hyperlink>
    </w:p>
    <w:p>
      <w:pPr>
        <w:pStyle w:val="BodyText"/>
      </w:pPr>
      <w:hyperlink r:id="rId65">
        <w:r>
          <w:rPr>
            <w:rStyle w:val="Hyperlink"/>
          </w:rPr>
          <w:t xml:space="preserve">[65]</w:t>
        </w:r>
      </w:hyperlink>
      <w:r>
        <w:t xml:space="preserve"> </w:t>
      </w:r>
      <w:r>
        <w:t xml:space="preserve">https://www.theatlantic.com/ideas/archive/2019/01/tucker-carlson/579460/</w:t>
      </w:r>
    </w:p>
    <w:p>
      <w:pPr>
        <w:pStyle w:val="BodyText"/>
      </w:pPr>
      <w:hyperlink r:id="rId65">
        <w:r>
          <w:rPr>
            <w:rStyle w:val="Hyperlink"/>
          </w:rPr>
          <w:t xml:space="preserve">https://www.theatlantic.com/ideas/archive/2019/01/tucker-carlson/579460/</w:t>
        </w:r>
      </w:hyperlink>
    </w:p>
    <w:p>
      <w:pPr>
        <w:pStyle w:val="BodyText"/>
      </w:pPr>
      <w:hyperlink r:id="rId66">
        <w:r>
          <w:rPr>
            <w:rStyle w:val="Hyperlink"/>
          </w:rPr>
          <w:t xml:space="preserve">[66]</w:t>
        </w:r>
      </w:hyperlink>
      <w:r>
        <w:t xml:space="preserve"> </w:t>
      </w:r>
      <w:hyperlink r:id="rId66">
        <w:r>
          <w:rPr>
            <w:rStyle w:val="Hyperlink"/>
          </w:rPr>
          <w:t xml:space="preserve">[84]</w:t>
        </w:r>
      </w:hyperlink>
      <w:r>
        <w:t xml:space="preserve"> </w:t>
      </w:r>
      <w:r>
        <w:t xml:space="preserve">https://www.reuters.com/business/media-telecom/fox-news-extends-streak-sets-cable-news-records-2020-2020-12-30/</w:t>
      </w:r>
    </w:p>
    <w:p>
      <w:pPr>
        <w:pStyle w:val="BodyText"/>
      </w:pPr>
      <w:hyperlink r:id="rId66">
        <w:r>
          <w:rPr>
            <w:rStyle w:val="Hyperlink"/>
          </w:rPr>
          <w:t xml:space="preserve">https://www.reuters.com/business/media-telecom/fox-news-extends-streak-sets-cable-news-records-2020-2020-12-30/</w:t>
        </w:r>
      </w:hyperlink>
    </w:p>
    <w:p>
      <w:pPr>
        <w:pStyle w:val="BodyText"/>
      </w:pPr>
      <w:hyperlink r:id="rId68">
        <w:r>
          <w:rPr>
            <w:rStyle w:val="Hyperlink"/>
          </w:rPr>
          <w:t xml:space="preserve">[69]</w:t>
        </w:r>
      </w:hyperlink>
      <w:r>
        <w:t xml:space="preserve"> </w:t>
      </w:r>
      <w:r>
        <w:t xml:space="preserve">https://www.britannica.com/event/Contract-with-America</w:t>
      </w:r>
    </w:p>
    <w:p>
      <w:pPr>
        <w:pStyle w:val="BodyText"/>
      </w:pPr>
      <w:hyperlink r:id="rId68">
        <w:r>
          <w:rPr>
            <w:rStyle w:val="Hyperlink"/>
          </w:rPr>
          <w:t xml:space="preserve">https://www.britannica.com/event/Contract-with-America</w:t>
        </w:r>
      </w:hyperlink>
    </w:p>
    <w:p>
      <w:pPr>
        <w:pStyle w:val="BodyText"/>
      </w:pPr>
      <w:hyperlink r:id="rId69">
        <w:r>
          <w:rPr>
            <w:rStyle w:val="Hyperlink"/>
          </w:rPr>
          <w:t xml:space="preserve">[70]</w:t>
        </w:r>
      </w:hyperlink>
      <w:r>
        <w:t xml:space="preserve"> </w:t>
      </w:r>
      <w:r>
        <w:t xml:space="preserve">https://history.princeton.edu/about/publications/burning-down-house-newt-gingrich-fall-speaker-and-rise-new-republican-party</w:t>
      </w:r>
    </w:p>
    <w:p>
      <w:pPr>
        <w:pStyle w:val="BodyText"/>
      </w:pPr>
      <w:hyperlink r:id="rId69">
        <w:r>
          <w:rPr>
            <w:rStyle w:val="Hyperlink"/>
          </w:rPr>
          <w:t xml:space="preserve">https://history.princeton.edu/about/publications/burning-down-house-newt-gingrich-fall-speaker-and-rise-new-republican-party</w:t>
        </w:r>
      </w:hyperlink>
    </w:p>
    <w:p>
      <w:pPr>
        <w:pStyle w:val="BodyText"/>
      </w:pPr>
      <w:hyperlink r:id="rId74">
        <w:r>
          <w:rPr>
            <w:rStyle w:val="Hyperlink"/>
          </w:rPr>
          <w:t xml:space="preserve">[73]</w:t>
        </w:r>
      </w:hyperlink>
      <w:r>
        <w:t xml:space="preserve"> </w:t>
      </w:r>
      <w:hyperlink r:id="rId74">
        <w:r>
          <w:rPr>
            <w:rStyle w:val="Hyperlink"/>
          </w:rPr>
          <w:t xml:space="preserve">[76]</w:t>
        </w:r>
      </w:hyperlink>
      <w:r>
        <w:t xml:space="preserve"> </w:t>
      </w:r>
      <w:hyperlink r:id="rId74">
        <w:r>
          <w:rPr>
            <w:rStyle w:val="Hyperlink"/>
          </w:rPr>
          <w:t xml:space="preserve">[88]</w:t>
        </w:r>
      </w:hyperlink>
      <w:r>
        <w:t xml:space="preserve"> </w:t>
      </w:r>
      <w:r>
        <w:t xml:space="preserve">https://history.house.gov/HistoricalHighlight/Detail/25769819218</w:t>
      </w:r>
    </w:p>
    <w:p>
      <w:pPr>
        <w:pStyle w:val="BodyText"/>
      </w:pPr>
      <w:hyperlink r:id="rId74">
        <w:r>
          <w:rPr>
            <w:rStyle w:val="Hyperlink"/>
          </w:rPr>
          <w:t xml:space="preserve">https://history.house.gov/HistoricalHighlight/Detail/25769819218</w:t>
        </w:r>
      </w:hyperlink>
    </w:p>
    <w:p>
      <w:pPr>
        <w:pStyle w:val="BodyText"/>
      </w:pPr>
      <w:hyperlink r:id="rId75">
        <w:r>
          <w:rPr>
            <w:rStyle w:val="Hyperlink"/>
          </w:rPr>
          <w:t xml:space="preserve">[75]</w:t>
        </w:r>
      </w:hyperlink>
      <w:r>
        <w:t xml:space="preserve"> </w:t>
      </w:r>
      <w:r>
        <w:t xml:space="preserve">https://www.senate.gov/legislative/LIS/roll_call_votes/vote1102/vote_110_2_00213.htm</w:t>
      </w:r>
    </w:p>
    <w:p>
      <w:pPr>
        <w:pStyle w:val="BodyText"/>
      </w:pPr>
      <w:hyperlink r:id="rId75">
        <w:r>
          <w:rPr>
            <w:rStyle w:val="Hyperlink"/>
          </w:rPr>
          <w:t xml:space="preserve">https://www.senate.gov/legislative/LIS/roll_call_votes/vote1102/vote_110_2_00213.htm</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amc.sas.upenn.edu/cas-mudde-populism-twenty-first-century" TargetMode="External" /><Relationship Type="http://schemas.openxmlformats.org/officeDocument/2006/relationships/hyperlink" Id="rId44" Target="https://clerk.house.gov/Votes/2008681" TargetMode="External" /><Relationship Type="http://schemas.openxmlformats.org/officeDocument/2006/relationships/hyperlink" Id="rId63" Target="https://heritageaction.com/blog/government-shutdown-americans-okay-if-congress-fights-to-defund-obamacare" TargetMode="External" /><Relationship Type="http://schemas.openxmlformats.org/officeDocument/2006/relationships/hyperlink" Id="rId74" Target="https://history.house.gov/HistoricalHighlight/Detail/25769819218" TargetMode="External" /><Relationship Type="http://schemas.openxmlformats.org/officeDocument/2006/relationships/hyperlink" Id="rId69" Target="https://history.princeton.edu/about/publications/burning-down-house-newt-gingrich-fall-speaker-and-rise-new-republican-party" TargetMode="External" /><Relationship Type="http://schemas.openxmlformats.org/officeDocument/2006/relationships/hyperlink" Id="rId22" Target="https://oversight.house.gov/wp-content/uploads/2014/02/Martin-TPP-Statement-IRS-C4-Rule-2-27-COMPLETE.pdf" TargetMode="External" /><Relationship Type="http://schemas.openxmlformats.org/officeDocument/2006/relationships/hyperlink" Id="rId58" Target="https://trumpwhitehouse.archives.gov/presidential-actions/presidential-executive-order-reducing-regulation-controlling-regulatory-costs/" TargetMode="External" /><Relationship Type="http://schemas.openxmlformats.org/officeDocument/2006/relationships/hyperlink" Id="rId60" Target="https://unfccc.int/news/joint-statement-on-the-us-withdrawal-from-the-paris-agreement" TargetMode="External" /><Relationship Type="http://schemas.openxmlformats.org/officeDocument/2006/relationships/hyperlink" Id="rId27" Target="https://www.britannica.com/biography/Tucker-Carlson" TargetMode="External" /><Relationship Type="http://schemas.openxmlformats.org/officeDocument/2006/relationships/hyperlink" Id="rId68" Target="https://www.britannica.com/event/Contract-with-America" TargetMode="External" /><Relationship Type="http://schemas.openxmlformats.org/officeDocument/2006/relationships/hyperlink" Id="rId59" Target="https://www.brookings.edu/articles/accounting-for-regulatory-reform-under-executive-order-13771/" TargetMode="External" /><Relationship Type="http://schemas.openxmlformats.org/officeDocument/2006/relationships/hyperlink" Id="rId54" Target="https://www.cbo.gov/publication/42532?utm_source=chatgpt.com" TargetMode="External" /><Relationship Type="http://schemas.openxmlformats.org/officeDocument/2006/relationships/hyperlink" Id="rId57" Target="https://www.cbo.gov/publication/53312" TargetMode="External" /><Relationship Type="http://schemas.openxmlformats.org/officeDocument/2006/relationships/hyperlink" Id="rId43" Target="https://www.cbo.gov/publication/55824" TargetMode="External" /><Relationship Type="http://schemas.openxmlformats.org/officeDocument/2006/relationships/hyperlink" Id="rId23" Target="https://www.congress.gov/112/plaws/publ25/PLAW-112publ25.pdf" TargetMode="External" /><Relationship Type="http://schemas.openxmlformats.org/officeDocument/2006/relationships/hyperlink" Id="rId39" Target="https://www.congress.gov/bill/107th-congress/house-joint-resolution/114" TargetMode="External" /><Relationship Type="http://schemas.openxmlformats.org/officeDocument/2006/relationships/hyperlink" Id="rId56" Target="https://www.congress.gov/bill/115th-congress/house-bill/1/text/eh" TargetMode="External" /><Relationship Type="http://schemas.openxmlformats.org/officeDocument/2006/relationships/hyperlink" Id="rId21" Target="https://www.congress.gov/crs-product/R46738" TargetMode="External" /><Relationship Type="http://schemas.openxmlformats.org/officeDocument/2006/relationships/hyperlink" Id="rId61" Target="https://www.federalregister.gov/documents/2021/01/27/2021-01922/termination-of-emergency-with-respect-to-the-southern-border-of-the-united-states-and-redirection-of" TargetMode="External" /><Relationship Type="http://schemas.openxmlformats.org/officeDocument/2006/relationships/hyperlink" Id="rId26" Target="https://www.federalregister.gov/presidential-documents/executive-orders" TargetMode="External" /><Relationship Type="http://schemas.openxmlformats.org/officeDocument/2006/relationships/hyperlink" Id="rId41" Target="https://www.gao.gov/legal/congressional-review-act/faqs-on-the-congressional-review-act" TargetMode="External" /><Relationship Type="http://schemas.openxmlformats.org/officeDocument/2006/relationships/hyperlink" Id="rId32" Target="https://www.govinfo.gov/content/pkg/CREC-2013-10-08/pdf/CREC-2013-10-08.pdf" TargetMode="External" /><Relationship Type="http://schemas.openxmlformats.org/officeDocument/2006/relationships/hyperlink" Id="rId42" Target="https://www.jct.gov/getattachment/45580637-252a-4c6f-b434-a2085f417920/x-68-17-5054.pdf" TargetMode="External" /><Relationship Type="http://schemas.openxmlformats.org/officeDocument/2006/relationships/hyperlink" Id="rId51" Target="https://www.newyorker.com/magazine/2010/08/30/covert-operations" TargetMode="External" /><Relationship Type="http://schemas.openxmlformats.org/officeDocument/2006/relationships/hyperlink" Id="rId53" Target="https://www.pewresearch.org/politics/2013/10/16/tea-partys-image-turns-more-negative/" TargetMode="External" /><Relationship Type="http://schemas.openxmlformats.org/officeDocument/2006/relationships/hyperlink" Id="rId40" Target="https://www.pewresearch.org/short-reads/2015/10/20/house-freedom-caucus-what-is-it-and-whos-in-it/?utm_source=chatgpt.com" TargetMode="External" /><Relationship Type="http://schemas.openxmlformats.org/officeDocument/2006/relationships/hyperlink" Id="rId24" Target="https://www.presidency.ucsb.edu/documents/inaugural-address-14" TargetMode="External" /><Relationship Type="http://schemas.openxmlformats.org/officeDocument/2006/relationships/hyperlink" Id="rId46" Target="https://www.propublica.org/article/what-we-found-in-trump-administration-drained-swamp-hundreds-of-ex-lobbyists-and-washington-dc-insiders" TargetMode="External" /><Relationship Type="http://schemas.openxmlformats.org/officeDocument/2006/relationships/hyperlink" Id="rId52" Target="https://www.reuters.com/article/business/healthcare-pharmaceuticals/house-votes-to-begin-repealing-obamacare-idUSKBN14X1SJ/" TargetMode="External" /><Relationship Type="http://schemas.openxmlformats.org/officeDocument/2006/relationships/hyperlink" Id="rId34" Target="https://www.reuters.com/article/world/trump-taps-goldman-sachs-executive-cohn-for-key-economic-post-idUSKBN1412HH/" TargetMode="External" /><Relationship Type="http://schemas.openxmlformats.org/officeDocument/2006/relationships/hyperlink" Id="rId25" Target="https://www.reuters.com/article/world/us/spotlight-shines-stage-right-on-us-house-freedom-caucus-idUSKCN0S92TF/?utm_source=chatgpt.com" TargetMode="External" /><Relationship Type="http://schemas.openxmlformats.org/officeDocument/2006/relationships/hyperlink" Id="rId66" Target="https://www.reuters.com/business/media-telecom/fox-news-extends-streak-sets-cable-news-records-2020-2020-12-30/" TargetMode="External" /><Relationship Type="http://schemas.openxmlformats.org/officeDocument/2006/relationships/hyperlink" Id="rId35" Target="https://www.reuters.com/world/us/biden-secures-235th-confirmed-judicial-appointee-one-more-than-trump-2024-12-21/" TargetMode="External" /><Relationship Type="http://schemas.openxmlformats.org/officeDocument/2006/relationships/hyperlink" Id="rId47" Target="https://www.reuters.com/world/us/mccarthy-says-he-thinks-he-will-survive-leadership-challenge-us-house-2023-10-03/" TargetMode="External" /><Relationship Type="http://schemas.openxmlformats.org/officeDocument/2006/relationships/hyperlink" Id="rId45" Target="https://www.sdu.dk/-/media/files/om_sdu/aarets_gang/hca_lectures/williamson%2Bskocpol%2Bcoggin%2Btea%2Bparty.pdf" TargetMode="External" /><Relationship Type="http://schemas.openxmlformats.org/officeDocument/2006/relationships/hyperlink" Id="rId75" Target="https://www.senate.gov/legislative/LIS/roll_call_votes/vote1102/vote_110_2_00213.htm" TargetMode="External" /><Relationship Type="http://schemas.openxmlformats.org/officeDocument/2006/relationships/hyperlink" Id="rId65" Target="https://www.theatlantic.com/ideas/archive/2019/01/tucker-carlson/579460/" TargetMode="External" /></Relationships>
</file>

<file path=word/_rels/footnotes.xml.rels><?xml version="1.0" encoding="UTF-8"?><Relationships xmlns="http://schemas.openxmlformats.org/package/2006/relationships"><Relationship Type="http://schemas.openxmlformats.org/officeDocument/2006/relationships/hyperlink" Id="rId29" Target="https://amc.sas.upenn.edu/cas-mudde-populism-twenty-first-century" TargetMode="External" /><Relationship Type="http://schemas.openxmlformats.org/officeDocument/2006/relationships/hyperlink" Id="rId44" Target="https://clerk.house.gov/Votes/2008681" TargetMode="External" /><Relationship Type="http://schemas.openxmlformats.org/officeDocument/2006/relationships/hyperlink" Id="rId63" Target="https://heritageaction.com/blog/government-shutdown-americans-okay-if-congress-fights-to-defund-obamacare" TargetMode="External" /><Relationship Type="http://schemas.openxmlformats.org/officeDocument/2006/relationships/hyperlink" Id="rId74" Target="https://history.house.gov/HistoricalHighlight/Detail/25769819218" TargetMode="External" /><Relationship Type="http://schemas.openxmlformats.org/officeDocument/2006/relationships/hyperlink" Id="rId69" Target="https://history.princeton.edu/about/publications/burning-down-house-newt-gingrich-fall-speaker-and-rise-new-republican-party" TargetMode="External" /><Relationship Type="http://schemas.openxmlformats.org/officeDocument/2006/relationships/hyperlink" Id="rId22" Target="https://oversight.house.gov/wp-content/uploads/2014/02/Martin-TPP-Statement-IRS-C4-Rule-2-27-COMPLETE.pdf" TargetMode="External" /><Relationship Type="http://schemas.openxmlformats.org/officeDocument/2006/relationships/hyperlink" Id="rId58" Target="https://trumpwhitehouse.archives.gov/presidential-actions/presidential-executive-order-reducing-regulation-controlling-regulatory-costs/" TargetMode="External" /><Relationship Type="http://schemas.openxmlformats.org/officeDocument/2006/relationships/hyperlink" Id="rId60" Target="https://unfccc.int/news/joint-statement-on-the-us-withdrawal-from-the-paris-agreement" TargetMode="External" /><Relationship Type="http://schemas.openxmlformats.org/officeDocument/2006/relationships/hyperlink" Id="rId27" Target="https://www.britannica.com/biography/Tucker-Carlson" TargetMode="External" /><Relationship Type="http://schemas.openxmlformats.org/officeDocument/2006/relationships/hyperlink" Id="rId68" Target="https://www.britannica.com/event/Contract-with-America" TargetMode="External" /><Relationship Type="http://schemas.openxmlformats.org/officeDocument/2006/relationships/hyperlink" Id="rId59" Target="https://www.brookings.edu/articles/accounting-for-regulatory-reform-under-executive-order-13771/" TargetMode="External" /><Relationship Type="http://schemas.openxmlformats.org/officeDocument/2006/relationships/hyperlink" Id="rId54" Target="https://www.cbo.gov/publication/42532?utm_source=chatgpt.com" TargetMode="External" /><Relationship Type="http://schemas.openxmlformats.org/officeDocument/2006/relationships/hyperlink" Id="rId57" Target="https://www.cbo.gov/publication/53312" TargetMode="External" /><Relationship Type="http://schemas.openxmlformats.org/officeDocument/2006/relationships/hyperlink" Id="rId43" Target="https://www.cbo.gov/publication/55824" TargetMode="External" /><Relationship Type="http://schemas.openxmlformats.org/officeDocument/2006/relationships/hyperlink" Id="rId23" Target="https://www.congress.gov/112/plaws/publ25/PLAW-112publ25.pdf" TargetMode="External" /><Relationship Type="http://schemas.openxmlformats.org/officeDocument/2006/relationships/hyperlink" Id="rId39" Target="https://www.congress.gov/bill/107th-congress/house-joint-resolution/114" TargetMode="External" /><Relationship Type="http://schemas.openxmlformats.org/officeDocument/2006/relationships/hyperlink" Id="rId56" Target="https://www.congress.gov/bill/115th-congress/house-bill/1/text/eh" TargetMode="External" /><Relationship Type="http://schemas.openxmlformats.org/officeDocument/2006/relationships/hyperlink" Id="rId21" Target="https://www.congress.gov/crs-product/R46738" TargetMode="External" /><Relationship Type="http://schemas.openxmlformats.org/officeDocument/2006/relationships/hyperlink" Id="rId61" Target="https://www.federalregister.gov/documents/2021/01/27/2021-01922/termination-of-emergency-with-respect-to-the-southern-border-of-the-united-states-and-redirection-of" TargetMode="External" /><Relationship Type="http://schemas.openxmlformats.org/officeDocument/2006/relationships/hyperlink" Id="rId26" Target="https://www.federalregister.gov/presidential-documents/executive-orders" TargetMode="External" /><Relationship Type="http://schemas.openxmlformats.org/officeDocument/2006/relationships/hyperlink" Id="rId41" Target="https://www.gao.gov/legal/congressional-review-act/faqs-on-the-congressional-review-act" TargetMode="External" /><Relationship Type="http://schemas.openxmlformats.org/officeDocument/2006/relationships/hyperlink" Id="rId32" Target="https://www.govinfo.gov/content/pkg/CREC-2013-10-08/pdf/CREC-2013-10-08.pdf" TargetMode="External" /><Relationship Type="http://schemas.openxmlformats.org/officeDocument/2006/relationships/hyperlink" Id="rId42" Target="https://www.jct.gov/getattachment/45580637-252a-4c6f-b434-a2085f417920/x-68-17-5054.pdf" TargetMode="External" /><Relationship Type="http://schemas.openxmlformats.org/officeDocument/2006/relationships/hyperlink" Id="rId51" Target="https://www.newyorker.com/magazine/2010/08/30/covert-operations" TargetMode="External" /><Relationship Type="http://schemas.openxmlformats.org/officeDocument/2006/relationships/hyperlink" Id="rId53" Target="https://www.pewresearch.org/politics/2013/10/16/tea-partys-image-turns-more-negative/" TargetMode="External" /><Relationship Type="http://schemas.openxmlformats.org/officeDocument/2006/relationships/hyperlink" Id="rId40" Target="https://www.pewresearch.org/short-reads/2015/10/20/house-freedom-caucus-what-is-it-and-whos-in-it/?utm_source=chatgpt.com" TargetMode="External" /><Relationship Type="http://schemas.openxmlformats.org/officeDocument/2006/relationships/hyperlink" Id="rId24" Target="https://www.presidency.ucsb.edu/documents/inaugural-address-14" TargetMode="External" /><Relationship Type="http://schemas.openxmlformats.org/officeDocument/2006/relationships/hyperlink" Id="rId46" Target="https://www.propublica.org/article/what-we-found-in-trump-administration-drained-swamp-hundreds-of-ex-lobbyists-and-washington-dc-insiders" TargetMode="External" /><Relationship Type="http://schemas.openxmlformats.org/officeDocument/2006/relationships/hyperlink" Id="rId52" Target="https://www.reuters.com/article/business/healthcare-pharmaceuticals/house-votes-to-begin-repealing-obamacare-idUSKBN14X1SJ/" TargetMode="External" /><Relationship Type="http://schemas.openxmlformats.org/officeDocument/2006/relationships/hyperlink" Id="rId34" Target="https://www.reuters.com/article/world/trump-taps-goldman-sachs-executive-cohn-for-key-economic-post-idUSKBN1412HH/" TargetMode="External" /><Relationship Type="http://schemas.openxmlformats.org/officeDocument/2006/relationships/hyperlink" Id="rId25" Target="https://www.reuters.com/article/world/us/spotlight-shines-stage-right-on-us-house-freedom-caucus-idUSKCN0S92TF/?utm_source=chatgpt.com" TargetMode="External" /><Relationship Type="http://schemas.openxmlformats.org/officeDocument/2006/relationships/hyperlink" Id="rId66" Target="https://www.reuters.com/business/media-telecom/fox-news-extends-streak-sets-cable-news-records-2020-2020-12-30/" TargetMode="External" /><Relationship Type="http://schemas.openxmlformats.org/officeDocument/2006/relationships/hyperlink" Id="rId35" Target="https://www.reuters.com/world/us/biden-secures-235th-confirmed-judicial-appointee-one-more-than-trump-2024-12-21/" TargetMode="External" /><Relationship Type="http://schemas.openxmlformats.org/officeDocument/2006/relationships/hyperlink" Id="rId47" Target="https://www.reuters.com/world/us/mccarthy-says-he-thinks-he-will-survive-leadership-challenge-us-house-2023-10-03/" TargetMode="External" /><Relationship Type="http://schemas.openxmlformats.org/officeDocument/2006/relationships/hyperlink" Id="rId45" Target="https://www.sdu.dk/-/media/files/om_sdu/aarets_gang/hca_lectures/williamson%2Bskocpol%2Bcoggin%2Btea%2Bparty.pdf" TargetMode="External" /><Relationship Type="http://schemas.openxmlformats.org/officeDocument/2006/relationships/hyperlink" Id="rId75" Target="https://www.senate.gov/legislative/LIS/roll_call_votes/vote1102/vote_110_2_00213.htm" TargetMode="External" /><Relationship Type="http://schemas.openxmlformats.org/officeDocument/2006/relationships/hyperlink" Id="rId65" Target="https://www.theatlantic.com/ideas/archive/2019/01/tucker-carlson/5794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2026-02-15T02:42:17Z</dcterms:created>
  <dcterms:modified xsi:type="dcterms:W3CDTF">2026-02-15T02:42:17Z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