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E0414">
      <w:pPr>
        <w:spacing w:before="480" w:after="460"/>
        <w:jc w:val="center"/>
      </w:pP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AI 前端自动化测试浏览器扩展使用手册</w:t>
      </w:r>
    </w:p>
    <w:p w14:paraId="3C0A7F29">
      <w:pPr>
        <w:spacing w:after="360"/>
        <w:jc w:val="center"/>
      </w:pPr>
      <w:r>
        <w:rPr>
          <w:rFonts w:ascii="仿宋" w:hAnsi="仿宋" w:eastAsia="仿宋" w:cs="仿宋"/>
          <w:color w:val="595959"/>
          <w:sz w:val="22"/>
          <w:szCs w:val="22"/>
        </w:rPr>
        <w:t>版本：V0.2.0     适用对象：前端开发人员</w:t>
      </w:r>
    </w:p>
    <w:p w14:paraId="20B42842">
      <w:pPr>
        <w:keepNext/>
        <w:spacing w:before="260" w:after="18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一、概览</w:t>
      </w:r>
    </w:p>
    <w:p w14:paraId="00A8BB96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1.1 产品简介</w:t>
      </w:r>
    </w:p>
    <w:p w14:paraId="7846584C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AI 前端自动化测试浏览器扩展是一款 Chrome Side Panel 扩展。用户只需提供被测页面、业务需求和项目源码，AI 即可完成项目结构分析、测试用例生成、用例分组、真实浏览器操作、结果汇总和失败诊断。</w:t>
      </w:r>
    </w:p>
    <w:p w14:paraId="4E9ADC5E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产品适用于前端页面功能测试、回归测试和需求符合性检查。它既能读取与当前页面相关的源码，也能通过浏览器真实点击、输入、滚动和截图完成验证，减少手工编写自动化脚本的工作量。</w:t>
      </w:r>
    </w:p>
    <w:p w14:paraId="758070C0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1.2 主要功能</w:t>
      </w:r>
    </w:p>
    <w:tbl>
      <w:tblPr>
        <w:tblStyle w:val="11"/>
        <w:tblW w:w="9638" w:type="dxa"/>
        <w:tblInd w:w="0" w:type="dxa"/>
        <w:tblBorders>
          <w:top w:val="single" w:color="B7C4D8" w:sz="4" w:space="0"/>
          <w:left w:val="single" w:color="B7C4D8" w:sz="4" w:space="0"/>
          <w:bottom w:val="single" w:color="B7C4D8" w:sz="4" w:space="0"/>
          <w:right w:val="single" w:color="B7C4D8" w:sz="4" w:space="0"/>
          <w:insideH w:val="single" w:color="B7C4D8" w:sz="4" w:space="0"/>
          <w:insideV w:val="single" w:color="B7C4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138"/>
      </w:tblGrid>
      <w:tr w14:paraId="4B45F04E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7B7E8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功能模块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E6BEE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使用价值</w:t>
            </w:r>
          </w:p>
        </w:tc>
      </w:tr>
      <w:tr w14:paraId="24524C16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750DC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项目架构分析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B6B2D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上传源码后自动梳理目录、页面路由、菜单、接口、组件和业务模块，为后续测试提供依据。</w:t>
            </w:r>
          </w:p>
        </w:tc>
      </w:tr>
      <w:tr w14:paraId="5D0376C0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75054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需求分析与用例生成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FF4C2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根据原始需求和架构分析结果，自动生成标准测试用例；同时检查需求要求的功能是否缺失或多余。</w:t>
            </w:r>
          </w:p>
        </w:tc>
      </w:tr>
      <w:tr w14:paraId="18D3C480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574BB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用例覆盖设计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4F181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对下拉框、搜索框、按钮、分页、弹窗、表格等常见控件逐项生成测试；覆盖增删改查、空状态、异常状态等场景。</w:t>
            </w:r>
          </w:p>
        </w:tc>
      </w:tr>
      <w:tr w14:paraId="393C6F7F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5B09E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用例分组与执行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FDACC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将同页面的只读检查合并执行；新增、编辑、删除等会改数据的用例单独执行，避免相互影响。</w:t>
            </w:r>
          </w:p>
        </w:tc>
      </w:tr>
      <w:tr w14:paraId="1A0EDA1B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6F2B4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AI 自主测试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8B717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AI 可执行点击、输入、滚动、拖拽、截图、网络请求检查等操作，运行中支持中止、继续和追加指令。</w:t>
            </w:r>
          </w:p>
        </w:tc>
      </w:tr>
      <w:tr w14:paraId="72C7756F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DBAB5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报告与诊断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4985D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展示通过率、逐条结果和 AI 总结；失败时可查看操作过程、页面前后对照和相关诊断信息。</w:t>
            </w:r>
          </w:p>
        </w:tc>
      </w:tr>
    </w:tbl>
    <w:p w14:paraId="4EBB9717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1.3 适用场景</w:t>
      </w:r>
    </w:p>
    <w:p w14:paraId="3FD64C7C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管理后台、业务系统、表格列表、表单、弹窗、筛选、分页等常见前端页面的功能验证。</w:t>
      </w:r>
    </w:p>
    <w:p w14:paraId="772AA34D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版本上线前的回归测试：检查新增、编辑、删除、搜索、筛选、分页、导出等业务流程。</w:t>
      </w:r>
    </w:p>
    <w:p w14:paraId="1E111486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需求符合性检查：对照需求确认页面是否具备要求的功能入口，是否存在不在需求范围内的多余功能。</w:t>
      </w:r>
    </w:p>
    <w:p w14:paraId="38A856E3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数据一致性检查：对比接口响应与页面展示，确认关键字段完整且显示一致。</w:t>
      </w:r>
    </w:p>
    <w:p w14:paraId="793566F2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1.4 使用前准备</w:t>
      </w:r>
    </w:p>
    <w:tbl>
      <w:tblPr>
        <w:tblStyle w:val="11"/>
        <w:tblW w:w="9638" w:type="dxa"/>
        <w:tblInd w:w="0" w:type="dxa"/>
        <w:tblBorders>
          <w:top w:val="single" w:color="B7C4D8" w:sz="4" w:space="0"/>
          <w:left w:val="single" w:color="B7C4D8" w:sz="4" w:space="0"/>
          <w:bottom w:val="single" w:color="B7C4D8" w:sz="4" w:space="0"/>
          <w:right w:val="single" w:color="B7C4D8" w:sz="4" w:space="0"/>
          <w:insideH w:val="single" w:color="B7C4D8" w:sz="4" w:space="0"/>
          <w:insideV w:val="single" w:color="B7C4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138"/>
      </w:tblGrid>
      <w:tr w14:paraId="2E080801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A677B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354C3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要求</w:t>
            </w:r>
          </w:p>
        </w:tc>
      </w:tr>
      <w:tr w14:paraId="7D8B2705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436FA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浏览器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63708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使用最新版 Chrome 浏览器。</w:t>
            </w:r>
          </w:p>
        </w:tc>
      </w:tr>
      <w:tr w14:paraId="3E4E28B5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D9CAE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被测页面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B5574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优先使用 HTTP(S) 页面；如测试本地文件，请在 Chrome 扩展详情中开启“允许访问文件网址”。</w:t>
            </w:r>
          </w:p>
        </w:tc>
      </w:tr>
      <w:tr w14:paraId="5CA47D68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B4939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AI 服务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ACE37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准备兼容 OpenAI Chat Completions 的 API 地址、API Key 和可用模型名称。</w:t>
            </w:r>
          </w:p>
        </w:tc>
      </w:tr>
      <w:tr w14:paraId="445A1263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F9CB2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项目源码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DF274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建议准备被测项目的 src 目录；支持 .js、.vue、.ts、.jsx、.tsx、.css、.json 等文本源码。</w:t>
            </w:r>
          </w:p>
        </w:tc>
      </w:tr>
      <w:tr w14:paraId="76A8FD75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B5700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测试环境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AF549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新增、编辑、保存、删除等操作会真实执行，请使用可写入的测试环境，避免直接操作生产数据。</w:t>
            </w:r>
          </w:p>
        </w:tc>
      </w:tr>
    </w:tbl>
    <w:p w14:paraId="66F68F82">
      <w:pPr>
        <w:keepNext/>
        <w:spacing w:before="260" w:after="18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二、实践操作</w:t>
      </w:r>
    </w:p>
    <w:p w14:paraId="1A1E7124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2.1 部署方式：加载 Chrome 扩展</w:t>
      </w:r>
    </w:p>
    <w:p w14:paraId="091B2D32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打开 Chrome 浏览器，在地址栏输入 chrome://extensions/ 并进入扩展管理页面。</w:t>
      </w:r>
    </w:p>
    <w:p w14:paraId="547F3878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打开页面右上角的“开发者模式”。</w:t>
      </w:r>
    </w:p>
    <w:p w14:paraId="762D679B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点击“加载已解压的扩展程序”。</w:t>
      </w:r>
    </w:p>
    <w:p w14:paraId="7CB50E65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选择本项目包含 manifest.json 的目录。</w:t>
      </w:r>
    </w:p>
    <w:p w14:paraId="08AD0219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加载完成后，点击 Chrome 工具栏中的扩展图标，打开 AI 前端自动化测试侧边栏。</w:t>
      </w:r>
    </w:p>
    <w:tbl>
      <w:tblPr>
        <w:tblStyle w:val="11"/>
        <w:tblW w:w="9638" w:type="dxa"/>
        <w:tblInd w:w="0" w:type="dxa"/>
        <w:tblBorders>
          <w:top w:val="single" w:color="B7C4D8" w:sz="4" w:space="0"/>
          <w:left w:val="single" w:color="B7C4D8" w:sz="4" w:space="0"/>
          <w:bottom w:val="single" w:color="B7C4D8" w:sz="4" w:space="0"/>
          <w:right w:val="single" w:color="B7C4D8" w:sz="4" w:space="0"/>
          <w:insideH w:val="single" w:color="B7C4D8" w:sz="4" w:space="0"/>
          <w:insideV w:val="single" w:color="B7C4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0"/>
        <w:gridCol w:w="8088"/>
      </w:tblGrid>
      <w:tr w14:paraId="19B390C7">
        <w:tc>
          <w:tcPr>
            <w:tcW w:w="155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EAF3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323F4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808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F7FB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6A5D1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本项目为原生 Manifest V3 扩展，无需执行 npm install、打包或构建命令；修改扩展代码后，在扩展管理页面点击“刷新”即可生效。</w:t>
            </w:r>
          </w:p>
        </w:tc>
      </w:tr>
    </w:tbl>
    <w:p w14:paraId="03C2BB4B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2.2 配置 AI 服务</w:t>
      </w:r>
    </w:p>
    <w:p w14:paraId="03546D87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打开侧边栏后，在“AI 配置”区域填写模型服务信息。配置只保存在当前浏览器的扩展本地存储中。</w:t>
      </w:r>
    </w:p>
    <w:tbl>
      <w:tblPr>
        <w:tblStyle w:val="11"/>
        <w:tblW w:w="9638" w:type="dxa"/>
        <w:tblInd w:w="0" w:type="dxa"/>
        <w:tblBorders>
          <w:top w:val="single" w:color="B7C4D8" w:sz="4" w:space="0"/>
          <w:left w:val="single" w:color="B7C4D8" w:sz="4" w:space="0"/>
          <w:bottom w:val="single" w:color="B7C4D8" w:sz="4" w:space="0"/>
          <w:right w:val="single" w:color="B7C4D8" w:sz="4" w:space="0"/>
          <w:insideH w:val="single" w:color="B7C4D8" w:sz="4" w:space="0"/>
          <w:insideV w:val="single" w:color="B7C4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138"/>
      </w:tblGrid>
      <w:tr w14:paraId="0D0D0956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D61EF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配置项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6E0FB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填写说明</w:t>
            </w:r>
          </w:p>
        </w:tc>
      </w:tr>
      <w:tr w14:paraId="74DE5A43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1EAD1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API URL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875D5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填写 OpenAI 兼容服务地址，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http://10.155.208.190:31114/aigateway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。</w:t>
            </w:r>
          </w:p>
        </w:tc>
      </w:tr>
      <w:tr w14:paraId="15B118ED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AD58F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API Key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FFEE7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填写对应服务的访问密钥。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需要使用openAI协议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。</w:t>
            </w:r>
          </w:p>
        </w:tc>
      </w:tr>
      <w:tr w14:paraId="1808C998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EA3C5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模型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E0110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 xml:space="preserve">填写服务端支持的模型名称，例如 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zhanlu/kimi-k3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。</w:t>
            </w:r>
          </w:p>
        </w:tc>
      </w:tr>
      <w:tr w14:paraId="074B0486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9E228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上下文大小（K）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6ED76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控制一次可提供给 AI 的源码和页面信息量；项目较大时可适当调高。</w:t>
            </w:r>
          </w:p>
        </w:tc>
      </w:tr>
      <w:tr w14:paraId="59A2DF87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98DCF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模型支持图片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141E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若模型支持图片输入，可开启；AI 可根据截图检查页面布局和视觉状态。</w:t>
            </w:r>
          </w:p>
        </w:tc>
      </w:tr>
      <w:tr w14:paraId="71890486">
        <w:tc>
          <w:tcPr>
            <w:tcW w:w="25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6F5D2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启用深度思考模式</w:t>
            </w:r>
          </w:p>
        </w:tc>
        <w:tc>
          <w:tcPr>
            <w:tcW w:w="71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7B0C8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仅当所用模型支持 thinking 参数时开启。</w:t>
            </w:r>
          </w:p>
        </w:tc>
      </w:tr>
    </w:tbl>
    <w:p w14:paraId="42F52BCF">
      <w:pPr>
        <w:spacing w:before="80" w:after="0"/>
        <w:jc w:val="center"/>
      </w:pPr>
      <w:r>
        <w:drawing>
          <wp:inline distT="0" distB="0" distL="0" distR="0">
            <wp:extent cx="2286000" cy="4105275"/>
            <wp:effectExtent l="0" t="0" r="0" b="0"/>
            <wp:docPr id="1" name="侧边栏 AI 配置与需求录入界面" descr="侧边栏 AI 配置与需求录入界面" title="侧边栏 AI 配置与需求录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侧边栏 AI 配置与需求录入界面" descr="侧边栏 AI 配置与需求录入界面" title="侧边栏 AI 配置与需求录入界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AFEA">
      <w:pPr>
        <w:spacing w:before="60" w:after="140"/>
        <w:jc w:val="center"/>
      </w:pPr>
      <w:r>
        <w:rPr>
          <w:rFonts w:ascii="仿宋" w:hAnsi="仿宋" w:eastAsia="仿宋" w:cs="仿宋"/>
          <w:color w:val="595959"/>
          <w:sz w:val="20"/>
          <w:szCs w:val="20"/>
        </w:rPr>
        <w:t>图 1  AI 配置、目标标签页选择和原始需求录入界面（真实运行截图）</w:t>
      </w:r>
    </w:p>
    <w:p w14:paraId="478AE829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2.3 完整测试流程</w:t>
      </w:r>
    </w:p>
    <w:p w14:paraId="2EF28285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打开被测页面，在侧边栏的“目标标签页”中选择该页面。系统会先检查页面是否可以测试。</w:t>
      </w:r>
    </w:p>
    <w:p w14:paraId="0786A84A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在“原始需求”中用自然语言描述本次要验证的功能，例如“验证商品管理页面的新增、编辑、删除、搜索和分页功能”。</w:t>
      </w:r>
    </w:p>
    <w:p w14:paraId="43A60E9B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上传项目源码目录。通常上传 src 目录即可；上传新源码后，旧的架构分析结果会自动失效。</w:t>
      </w:r>
    </w:p>
    <w:p w14:paraId="57F3BFA3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点击“分析架构”。系统会先按常见框架写法快速梳理页面、接口和组件，再由 AI 补全业务分析。</w:t>
      </w:r>
      <w:r>
        <w:rPr>
          <w:rFonts w:hint="eastAsia" w:ascii="仿宋" w:hAnsi="仿宋" w:eastAsia="仿宋" w:cs="仿宋"/>
          <w:color w:val="000000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  <w:t>分析结果可以导出，便于下次直接导入，无需每次测试都重新分析</w:t>
      </w:r>
      <w:r>
        <w:rPr>
          <w:rFonts w:hint="eastAsia" w:ascii="仿宋" w:hAnsi="仿宋" w:eastAsia="仿宋" w:cs="仿宋"/>
          <w:color w:val="000000"/>
          <w:sz w:val="24"/>
          <w:szCs w:val="24"/>
          <w:lang w:eastAsia="zh-CN"/>
        </w:rPr>
        <w:t>）</w:t>
      </w:r>
    </w:p>
    <w:p w14:paraId="19FE0EC9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点击“AI 生成（基于需求+架构）”。系统会自动生成测试用例；也可以手动补充、修改或导出用例</w:t>
      </w:r>
      <w:r>
        <w:rPr>
          <w:rFonts w:hint="eastAsia" w:ascii="仿宋" w:hAnsi="仿宋" w:eastAsia="仿宋" w:cs="仿宋"/>
          <w:color w:val="000000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lang w:val="en-US" w:eastAsia="zh-CN"/>
        </w:rPr>
        <w:t>需要满足用例格式</w:t>
      </w:r>
      <w:r>
        <w:rPr>
          <w:rFonts w:hint="eastAsia" w:ascii="仿宋" w:hAnsi="仿宋" w:eastAsia="仿宋" w:cs="仿宋"/>
          <w:color w:val="000000"/>
          <w:sz w:val="24"/>
          <w:szCs w:val="24"/>
          <w:lang w:eastAsia="zh-CN"/>
        </w:rPr>
        <w:t>）</w:t>
      </w:r>
      <w:r>
        <w:rPr>
          <w:rFonts w:ascii="仿宋" w:hAnsi="仿宋" w:eastAsia="仿宋" w:cs="仿宋"/>
          <w:color w:val="000000"/>
          <w:sz w:val="24"/>
          <w:szCs w:val="24"/>
        </w:rPr>
        <w:t>。</w:t>
      </w:r>
    </w:p>
    <w:p w14:paraId="46676FC4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确认用例后，点击“运行 AI 测试”。AI 将依次执行操作、读取页面状态、检查接口响应并记录结果。</w:t>
      </w:r>
    </w:p>
    <w:p w14:paraId="0A293450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运行过程中如需调整，可在输入框追加指令，例如“跳过当前用例”“检查弹窗”“换一种方式”。</w:t>
      </w:r>
    </w:p>
    <w:p w14:paraId="3B705FAD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测试完成后查看通过率、用例明细和 AI 总结；需要留档时导出 JSON 或 Markdown 报告。</w:t>
      </w:r>
    </w:p>
    <w:p w14:paraId="352B074E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2.4 架构分析与测试用例生成</w:t>
      </w:r>
    </w:p>
    <w:p w14:paraId="55801E20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架构分析会输出项目目录结构、页面路由、导航菜单、业务模块、页面接口关系和潜在问题等内容。分析结果会作为后续生成测试用例的依据。</w:t>
      </w:r>
    </w:p>
    <w:p w14:paraId="3A45CB79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测试用例生成时，系统会逐条核对需求、清点页面控件，并重点覆盖下拉框、搜索框、按钮、Tab、分页、排序、表格、弹窗、图表、日期选择器、开关、导航、导出和刷新等常见控件。</w:t>
      </w:r>
    </w:p>
    <w:tbl>
      <w:tblPr>
        <w:tblStyle w:val="11"/>
        <w:tblW w:w="9638" w:type="dxa"/>
        <w:tblInd w:w="0" w:type="dxa"/>
        <w:tblBorders>
          <w:top w:val="single" w:color="B7C4D8" w:sz="4" w:space="0"/>
          <w:left w:val="single" w:color="B7C4D8" w:sz="4" w:space="0"/>
          <w:bottom w:val="single" w:color="B7C4D8" w:sz="4" w:space="0"/>
          <w:right w:val="single" w:color="B7C4D8" w:sz="4" w:space="0"/>
          <w:insideH w:val="single" w:color="B7C4D8" w:sz="4" w:space="0"/>
          <w:insideV w:val="single" w:color="B7C4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0"/>
        <w:gridCol w:w="8088"/>
      </w:tblGrid>
      <w:tr w14:paraId="733288B1">
        <w:tc>
          <w:tcPr>
            <w:tcW w:w="155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EAF3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5EC44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建议</w:t>
            </w:r>
          </w:p>
        </w:tc>
        <w:tc>
          <w:tcPr>
            <w:tcW w:w="808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F7FB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179B4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需求描述尽量写清楚业务范围、目标页面、操作动作和预期结果。例如：“商品管理页支持按名称搜索、按分类筛选、新增商品、编辑商品、删除商品和分页查看。”</w:t>
            </w:r>
          </w:p>
        </w:tc>
      </w:tr>
    </w:tbl>
    <w:p w14:paraId="21529A73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2.5 运行测试与人工干预</w:t>
      </w:r>
    </w:p>
    <w:p w14:paraId="735B7F1D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AI 测试运行时，会实时展示它当前看到的页面信息、准备执行的操作和执行结果。系统通过浏览器真实点击、输入、滚动和拖拽完成操作，尽量还原用户实际使用过程。</w:t>
      </w:r>
    </w:p>
    <w:p w14:paraId="670A7B4F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如同一操作反复失败且页面没有变化，系统会停止无效重试并记录原因，避免长时间卡在同一位置。</w:t>
      </w:r>
    </w:p>
    <w:p w14:paraId="542AB233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2.6 查看结果与导出报告</w:t>
      </w:r>
    </w:p>
    <w:p w14:paraId="620BA1C0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测试结束后，侧边栏会展示总用例数、通过数、失败数和通过率，并列出每条用例的操作和验证结果。AI 会自动给出本次测试覆盖范围、失败原因和复测建议。</w:t>
      </w:r>
    </w:p>
    <w:p w14:paraId="3E1BD806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对于失败用例，可查看 AI 操作过程、页面前后对照、相关接口响应和工具诊断。导出前会自动隐藏密钥、Token、Cookie 等敏感信息。</w:t>
      </w:r>
    </w:p>
    <w:p w14:paraId="3FEB9E84">
      <w:pPr>
        <w:keepNext/>
        <w:spacing w:before="260" w:after="18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三、注意事项</w:t>
      </w:r>
    </w:p>
    <w:p w14:paraId="42A5343B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运行测试前请关闭被测标签页的 Chrome DevTools，以及可能占用浏览器调试能力的其他自动化工具；同一标签页只能同时被一个调试工具连接。</w:t>
      </w:r>
    </w:p>
    <w:p w14:paraId="148A5439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新增、编辑、保存、提交、删除、上传和下载等操作会在被测页面真实执行。请使用测试环境，并准备可清理的测试数据。</w:t>
      </w:r>
    </w:p>
    <w:p w14:paraId="240F08AB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浏览器内部页面、已关闭标签页、受浏览器限制的页面和禁止脚本运行的页面无法测试。</w:t>
      </w:r>
    </w:p>
    <w:p w14:paraId="4219D039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如测试本地文件，请在扩展详情页开启“允许访问文件网址”；如测试跨域页面或跨域 iframe，部分元素可能无法读取。</w:t>
      </w:r>
    </w:p>
    <w:p w14:paraId="53381B6A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视觉检查依赖所配置模型是否支持图片输入。若模型不支持图片，可关闭“模型支持图片”，系统仍可使用页面结构和文本信息完成常规测试。</w:t>
      </w:r>
    </w:p>
    <w:p w14:paraId="752D24AB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请妥善保管 API Key。虽然扩展会在导出诊断时自动隐藏敏感信息，但不建议在共享截图或公开报告中展示配置区域。</w:t>
      </w:r>
    </w:p>
    <w:p w14:paraId="41FE53AC">
      <w:pPr>
        <w:pStyle w:val="16"/>
        <w:numPr>
          <w:ilvl w:val="0"/>
          <w:numId w:val="2"/>
        </w:numPr>
        <w:spacing w:after="60" w:line="360" w:lineRule="auto"/>
      </w:pPr>
      <w:r>
        <w:rPr>
          <w:rFonts w:ascii="仿宋" w:hAnsi="仿宋" w:eastAsia="仿宋" w:cs="仿宋"/>
          <w:color w:val="000000"/>
          <w:sz w:val="24"/>
          <w:szCs w:val="24"/>
        </w:rPr>
        <w:t>项目源码仅在扩展侧建立索引，并按测试需要向 AI 提供相关片段；上传前请确认源码内容符合本单位的数据与安全管理要求。</w:t>
      </w:r>
    </w:p>
    <w:p w14:paraId="75C1E2C7">
      <w:pPr>
        <w:keepNext/>
        <w:spacing w:before="260" w:after="18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四、附录</w:t>
      </w:r>
    </w:p>
    <w:p w14:paraId="52650E5C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4.1 常见问题</w:t>
      </w:r>
    </w:p>
    <w:tbl>
      <w:tblPr>
        <w:tblStyle w:val="11"/>
        <w:tblW w:w="9638" w:type="dxa"/>
        <w:tblInd w:w="0" w:type="dxa"/>
        <w:tblBorders>
          <w:top w:val="single" w:color="B7C4D8" w:sz="4" w:space="0"/>
          <w:left w:val="single" w:color="B7C4D8" w:sz="4" w:space="0"/>
          <w:bottom w:val="single" w:color="B7C4D8" w:sz="4" w:space="0"/>
          <w:right w:val="single" w:color="B7C4D8" w:sz="4" w:space="0"/>
          <w:insideH w:val="single" w:color="B7C4D8" w:sz="4" w:space="0"/>
          <w:insideV w:val="single" w:color="B7C4D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0"/>
        <w:gridCol w:w="6538"/>
      </w:tblGrid>
      <w:tr w14:paraId="0843B52E">
        <w:tc>
          <w:tcPr>
            <w:tcW w:w="31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4ECC3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问题</w:t>
            </w:r>
          </w:p>
        </w:tc>
        <w:tc>
          <w:tcPr>
            <w:tcW w:w="65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D2D41">
            <w:pPr>
              <w:spacing w:after="0" w:line="30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1"/>
                <w:szCs w:val="21"/>
              </w:rPr>
              <w:t>处理建议</w:t>
            </w:r>
          </w:p>
        </w:tc>
      </w:tr>
      <w:tr w14:paraId="2EF503CD">
        <w:tc>
          <w:tcPr>
            <w:tcW w:w="31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39FDC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点击“运行 AI 测试”后提示无法连接调试能力</w:t>
            </w:r>
          </w:p>
        </w:tc>
        <w:tc>
          <w:tcPr>
            <w:tcW w:w="65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A4CB6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关闭当前标签页的 DevTools 和其他自动化工具后重试；必要时刷新扩展并重新打开侧边栏。</w:t>
            </w:r>
          </w:p>
        </w:tc>
      </w:tr>
      <w:tr w14:paraId="60DB2C22">
        <w:tc>
          <w:tcPr>
            <w:tcW w:w="31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D8B70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目标标签页不可选择或提示不支持</w:t>
            </w:r>
          </w:p>
        </w:tc>
        <w:tc>
          <w:tcPr>
            <w:tcW w:w="65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71BDD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确认页面已打开且为可访问的 HTTP(S) 页面；本地文件需开启“允许访问文件网址”。</w:t>
            </w:r>
          </w:p>
        </w:tc>
      </w:tr>
      <w:tr w14:paraId="2D41E3CB">
        <w:tc>
          <w:tcPr>
            <w:tcW w:w="31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0C50B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AI 没有生成预期数量的用例</w:t>
            </w:r>
          </w:p>
        </w:tc>
        <w:tc>
          <w:tcPr>
            <w:tcW w:w="65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B690C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补充原始需求中的页面范围、操作动作、字段规则和异常场景；确认已上传相关源码并完成架构分析。</w:t>
            </w:r>
          </w:p>
        </w:tc>
      </w:tr>
      <w:tr w14:paraId="4AA41A26">
        <w:tc>
          <w:tcPr>
            <w:tcW w:w="31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BDA48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测试在某一步反复失败</w:t>
            </w:r>
          </w:p>
        </w:tc>
        <w:tc>
          <w:tcPr>
            <w:tcW w:w="65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75F41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查看运行日志与 AI 总结；可追加“检查弹窗”“换一种方式”等指令，或开启视觉能力后重新测试。</w:t>
            </w:r>
          </w:p>
        </w:tc>
      </w:tr>
      <w:tr w14:paraId="381704BD">
        <w:tc>
          <w:tcPr>
            <w:tcW w:w="3100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B96F7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导出报告中是否会包含密钥</w:t>
            </w:r>
          </w:p>
        </w:tc>
        <w:tc>
          <w:tcPr>
            <w:tcW w:w="6538" w:type="dxa"/>
            <w:tcBorders>
              <w:top w:val="single" w:color="B7C4D8" w:sz="4" w:space="0"/>
              <w:left w:val="single" w:color="B7C4D8" w:sz="4" w:space="0"/>
              <w:bottom w:val="single" w:color="B7C4D8" w:sz="4" w:space="0"/>
              <w:right w:val="single" w:color="B7C4D8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7405">
            <w:pPr>
              <w:spacing w:after="0" w:line="30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color w:val="000000"/>
                <w:sz w:val="20"/>
                <w:szCs w:val="20"/>
              </w:rPr>
              <w:t>不会。报告与诊断导出会隐藏 Key、Token、Cookie 和 Bearer 等敏感信息。</w:t>
            </w:r>
          </w:p>
        </w:tc>
      </w:tr>
    </w:tbl>
    <w:p w14:paraId="60CC17FC">
      <w:pPr>
        <w:keepNext/>
        <w:spacing w:before="180" w:after="100"/>
      </w:pPr>
      <w:r>
        <w:rPr>
          <w:rFonts w:ascii="黑体" w:hAnsi="黑体" w:eastAsia="黑体" w:cs="黑体"/>
          <w:b/>
          <w:bCs/>
          <w:color w:val="000000"/>
          <w:sz w:val="24"/>
          <w:szCs w:val="24"/>
        </w:rPr>
        <w:t>4.2 支持的项目源码类型</w:t>
      </w:r>
    </w:p>
    <w:p w14:paraId="707993F1">
      <w:pPr>
        <w:spacing w:before="0" w:after="80" w:line="360" w:lineRule="auto"/>
        <w:ind w:firstLine="480"/>
        <w:jc w:val="both"/>
      </w:pPr>
      <w:r>
        <w:rPr>
          <w:rFonts w:ascii="仿宋" w:hAnsi="仿宋" w:eastAsia="仿宋" w:cs="仿宋"/>
          <w:color w:val="000000"/>
          <w:sz w:val="24"/>
          <w:szCs w:val="24"/>
        </w:rPr>
        <w:t>当前支持读取 .js、.vue、.ts、.jsx、.tsx、.css、.json 等文本源码。建议优先上传与被测页面直接相关的 src 目录，以提高分析与用例生成的准确性。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B5982">
    <w:pPr>
      <w:jc w:val="center"/>
    </w:pPr>
    <w:r>
      <w:rPr>
        <w:rFonts w:ascii="仿宋" w:hAnsi="仿宋" w:eastAsia="仿宋" w:cs="仿宋"/>
        <w:color w:val="666666"/>
        <w:sz w:val="18"/>
        <w:szCs w:val="18"/>
      </w:rPr>
      <w:t xml:space="preserve">AI 前端自动化测试浏览器扩展使用手册  ·  第 </w:t>
    </w:r>
    <w:r>
      <w:rPr>
        <w:rFonts w:ascii="仿宋" w:hAnsi="仿宋" w:eastAsia="仿宋" w:cs="仿宋"/>
        <w:color w:val="666666"/>
        <w:sz w:val="18"/>
        <w:szCs w:val="18"/>
      </w:rPr>
      <w:fldChar w:fldCharType="begin"/>
    </w:r>
    <w:r>
      <w:rPr>
        <w:rFonts w:ascii="仿宋" w:hAnsi="仿宋" w:eastAsia="仿宋" w:cs="仿宋"/>
        <w:color w:val="666666"/>
        <w:sz w:val="18"/>
        <w:szCs w:val="18"/>
      </w:rPr>
      <w:instrText xml:space="preserve">PAGE</w:instrText>
    </w:r>
    <w:r>
      <w:rPr>
        <w:rFonts w:ascii="仿宋" w:hAnsi="仿宋" w:eastAsia="仿宋" w:cs="仿宋"/>
        <w:color w:val="666666"/>
        <w:sz w:val="18"/>
        <w:szCs w:val="18"/>
      </w:rPr>
      <w:fldChar w:fldCharType="separate"/>
    </w:r>
    <w:r>
      <w:rPr>
        <w:rFonts w:ascii="仿宋" w:hAnsi="仿宋" w:eastAsia="仿宋" w:cs="仿宋"/>
        <w:color w:val="666666"/>
        <w:sz w:val="18"/>
        <w:szCs w:val="18"/>
      </w:rPr>
      <w:fldChar w:fldCharType="end"/>
    </w:r>
    <w:r>
      <w:rPr>
        <w:rFonts w:ascii="仿宋" w:hAnsi="仿宋" w:eastAsia="仿宋" w:cs="仿宋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CE9A0">
    <w:pPr>
      <w:pBdr>
        <w:bottom w:val="single" w:color="4F81BD" w:sz="6" w:space="1"/>
      </w:pBdr>
    </w:pPr>
    <w:r>
      <w:rPr>
        <w:rFonts w:ascii="仿宋" w:hAnsi="仿宋" w:eastAsia="仿宋" w:cs="仿宋"/>
        <w:color w:val="666666"/>
        <w:sz w:val="18"/>
        <w:szCs w:val="18"/>
      </w:rPr>
      <w:t>AI 前端自动化测试浏览器扩展使用手册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F77DAC"/>
    <w:multiLevelType w:val="singleLevel"/>
    <w:tmpl w:val="C5F77DAC"/>
    <w:lvl w:ilvl="0" w:tentative="0">
      <w:start w:val="1"/>
      <w:numFmt w:val="bullet"/>
      <w:lvlText w:val="•"/>
      <w:lvlJc w:val="left"/>
      <w:pPr>
        <w:ind w:left="600" w:hanging="360"/>
      </w:pPr>
    </w:lvl>
  </w:abstractNum>
  <w:abstractNum w:abstractNumId="1">
    <w:nsid w:val="FCFBDD77"/>
    <w:multiLevelType w:val="singleLevel"/>
    <w:tmpl w:val="FCFBDD77"/>
    <w:lvl w:ilvl="0" w:tentative="0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EF1AB0"/>
    <w:rsid w:val="376F3665"/>
    <w:rsid w:val="37DFAD09"/>
    <w:rsid w:val="41B54122"/>
    <w:rsid w:val="57DD692E"/>
    <w:rsid w:val="7ABED8E7"/>
    <w:rsid w:val="7DAF8B8B"/>
    <w:rsid w:val="7F9CFEF8"/>
    <w:rsid w:val="7FFB5E69"/>
    <w:rsid w:val="CCFF638D"/>
    <w:rsid w:val="DF27A876"/>
    <w:rsid w:val="ED1EF578"/>
    <w:rsid w:val="EEBB64E0"/>
    <w:rsid w:val="F1776781"/>
    <w:rsid w:val="F779E518"/>
    <w:rsid w:val="FEFF88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前端自动化测试项目组</dc:creator>
  <dc:description>Chrome Side Panel 浏览器扩展使用手册</dc:description>
  <cp:lastModifiedBy>十六夜咲夜</cp:lastModifiedBy>
  <dcterms:modified xsi:type="dcterms:W3CDTF">2026-07-31T16:01:01Z</dcterms:modified>
  <dc:title>AI 前端自动化测试浏览器扩展使用手册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A93BD94C18D393A9AD546C6A20E6CE4B_42</vt:lpwstr>
  </property>
</Properties>
</file>