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drawing>
          <wp:inline xmlns:a="http://schemas.openxmlformats.org/drawingml/2006/main" xmlns:pic="http://schemas.openxmlformats.org/drawingml/2006/picture">
            <wp:extent cx="1655999" cy="504000"/>
            <wp:docPr id="1" name="Picture 1"/>
            <wp:cNvGraphicFramePr>
              <a:graphicFrameLocks noChangeAspect="1"/>
            </wp:cNvGraphicFramePr>
            <a:graphic>
              <a:graphicData uri="http://schemas.openxmlformats.org/drawingml/2006/picture">
                <pic:pic>
                  <pic:nvPicPr>
                    <pic:cNvPr id="0" name="spyon_logo_mono.png"/>
                    <pic:cNvPicPr/>
                  </pic:nvPicPr>
                  <pic:blipFill>
                    <a:blip r:embed="rId11"/>
                    <a:stretch>
                      <a:fillRect/>
                    </a:stretch>
                  </pic:blipFill>
                  <pic:spPr>
                    <a:xfrm>
                      <a:off x="0" y="0"/>
                      <a:ext cx="1655999" cy="504000"/>
                    </a:xfrm>
                    <a:prstGeom prst="rect"/>
                  </pic:spPr>
                </pic:pic>
              </a:graphicData>
            </a:graphic>
          </wp:inline>
        </w:drawing>
      </w:r>
    </w:p>
    <w:p>
      <w:pPr>
        <w:spacing w:before="560"/>
        <w:jc w:val="center"/>
      </w:pPr>
      <w:r>
        <w:rPr>
          <w:rFonts w:ascii="Times New Roman" w:hAnsi="Times New Roman" w:eastAsia="Times New Roman"/>
          <w:b/>
          <w:color w:val="000000"/>
          <w:sz w:val="34"/>
        </w:rPr>
        <w:t>ПОЛИТИКА КОНФИДЕНЦИАЛЬНОСТИ</w:t>
        <w:br/>
        <w:t>И СОГЛАСИЕ НА СБОР И ОБРАБОТКУ ПЕРСОНАЛЬНЫХ ДАННЫХ</w:t>
      </w:r>
    </w:p>
    <w:p>
      <w:pPr>
        <w:jc w:val="center"/>
      </w:pPr>
      <w:r>
        <w:rPr>
          <w:rFonts w:ascii="Times New Roman" w:hAnsi="Times New Roman" w:eastAsia="Times New Roman"/>
          <w:color w:val="000000"/>
          <w:sz w:val="22"/>
        </w:rPr>
        <w:t>для пользователей программного сервиса Spyon</w:t>
      </w:r>
    </w:p>
    <w:p/>
    <w:tbl>
      <w:tblPr>
        <w:tblW w:type="auto" w:w="0"/>
        <w:jc w:val="center"/>
        <w:tblLayout w:type="fixed"/>
        <w:tblLook w:firstColumn="1" w:firstRow="1" w:lastColumn="0" w:lastRow="0" w:noHBand="0" w:noVBand="1" w:val="04A0"/>
      </w:tblPr>
      <w:tblGrid>
        <w:gridCol w:w="2381"/>
        <w:gridCol w:w="5839"/>
      </w:tblGrid>
      <w:tr>
        <w:tc>
          <w:tcPr>
            <w:tcW w:type="dxa" w:w="4986"/>
            <w:shd w:fill="F2F2F2"/>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Документ</w:t>
            </w:r>
          </w:p>
        </w:tc>
        <w:tc>
          <w:tcPr>
            <w:tcW w:type="dxa" w:w="4986"/>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SPYON-PD-001</w:t>
            </w:r>
          </w:p>
        </w:tc>
      </w:tr>
      <w:tr>
        <w:tc>
          <w:tcPr>
            <w:tcW w:type="dxa" w:w="4986"/>
            <w:shd w:fill="F2F2F2"/>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Версия</w:t>
            </w:r>
          </w:p>
        </w:tc>
        <w:tc>
          <w:tcPr>
            <w:tcW w:type="dxa" w:w="4986"/>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1.0</w:t>
            </w:r>
          </w:p>
        </w:tc>
      </w:tr>
      <w:tr>
        <w:tc>
          <w:tcPr>
            <w:tcW w:type="dxa" w:w="4986"/>
            <w:shd w:fill="F2F2F2"/>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Дата редакции</w:t>
            </w:r>
          </w:p>
        </w:tc>
        <w:tc>
          <w:tcPr>
            <w:tcW w:type="dxa" w:w="4986"/>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27 августа 2026 года</w:t>
            </w:r>
          </w:p>
        </w:tc>
      </w:tr>
      <w:tr>
        <w:tc>
          <w:tcPr>
            <w:tcW w:type="dxa" w:w="4986"/>
            <w:shd w:fill="F2F2F2"/>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Статус</w:t>
            </w:r>
          </w:p>
        </w:tc>
        <w:tc>
          <w:tcPr>
            <w:tcW w:type="dxa" w:w="4986"/>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Проект для согласования</w:t>
            </w:r>
          </w:p>
        </w:tc>
      </w:tr>
      <w:tr>
        <w:tc>
          <w:tcPr>
            <w:tcW w:type="dxa" w:w="4986"/>
            <w:shd w:fill="F2F2F2"/>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Адрес публикации PDF после утверждения</w:t>
            </w:r>
          </w:p>
        </w:tc>
        <w:tc>
          <w:tcPr>
            <w:tcW w:type="dxa" w:w="4986"/>
            <w:vAlign w:val="center"/>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https://spyon.kz/politics.pdf</w:t>
            </w:r>
          </w:p>
        </w:tc>
      </w:tr>
    </w:tbl>
    <w:p/>
    <w:p>
      <w:pPr>
        <w:pStyle w:val="LegalSmall"/>
        <w:jc w:val="center"/>
      </w:pPr>
      <w:r>
        <w:rPr>
          <w:rFonts w:ascii="Times New Roman" w:hAnsi="Times New Roman" w:eastAsia="Times New Roman"/>
          <w:i/>
          <w:color w:val="666666"/>
          <w:sz w:val="18"/>
        </w:rPr>
        <w:t>Редакция предназначена для внутреннего согласования перед публикацией. После утверждения статус проекта удаляется без изменения номера и версии документа.</w:t>
      </w:r>
    </w:p>
    <w:p>
      <w:r>
        <w:br w:type="page"/>
      </w:r>
    </w:p>
    <w:p>
      <w:pPr>
        <w:keepLines w:val="0"/>
      </w:pPr>
      <w:r>
        <w:rPr>
          <w:rFonts w:ascii="Times New Roman" w:hAnsi="Times New Roman" w:eastAsia="Times New Roman"/>
          <w:color w:val="000000"/>
          <w:sz w:val="22"/>
        </w:rPr>
        <w:t>Товарищество с ограниченной ответственностью «ITP Mining», БИН 161240002661, является собственником и/или оператором базы персональных данных в рамках работы Spyon (далее — «Оператор») в пределах фактически выполняемых им функций. Настоящий документ определяет порядок обработки персональных данных Пользователей и представителей Заказчиков и одновременно содержит сведения, необходимые для дачи информированного согласия.</w:t>
      </w:r>
    </w:p>
    <w:p>
      <w:pPr>
        <w:keepLines w:val="0"/>
      </w:pPr>
      <w:r>
        <w:rPr>
          <w:rFonts w:ascii="Times New Roman" w:hAnsi="Times New Roman" w:eastAsia="Times New Roman"/>
          <w:color w:val="000000"/>
          <w:sz w:val="22"/>
        </w:rPr>
        <w:t>Актуальная редакция публикуется на https://spyon.kz/. PDF-версия предусмотрена по адресу https://spyon.kz/politics.pdf. Основная база персональных данных и резервные копии, содержащие персональные данные Spyon, размещаются на собственных серверных мощностях Исполнителя на территории Республики Казахстан.</w:t>
      </w:r>
    </w:p>
    <w:p>
      <w:pPr>
        <w:pStyle w:val="Heading1"/>
      </w:pPr>
      <w:r>
        <w:t>1. Общие положения</w:t>
      </w:r>
    </w:p>
    <w:p>
      <w:pPr>
        <w:keepLines w:val="0"/>
      </w:pPr>
      <w:r>
        <w:rPr>
          <w:rFonts w:ascii="Times New Roman" w:hAnsi="Times New Roman" w:eastAsia="Times New Roman"/>
          <w:color w:val="000000"/>
          <w:sz w:val="22"/>
        </w:rPr>
        <w:t>1.1. Spyon предназначен преимущественно для B2B-использования. Субъектом персональных данных является физическое лицо — Пользователь, представитель Заказчика, администратор или иное лицо, чьи персональные данные обрабатываются в связи с использованием Spyon.</w:t>
      </w:r>
    </w:p>
    <w:p>
      <w:pPr>
        <w:keepLines w:val="0"/>
      </w:pPr>
      <w:r>
        <w:rPr>
          <w:rFonts w:ascii="Times New Roman" w:hAnsi="Times New Roman" w:eastAsia="Times New Roman"/>
          <w:color w:val="000000"/>
          <w:sz w:val="22"/>
        </w:rPr>
        <w:t>1.2. Пользователь подтверждает, что предоставляет собственные персональные данные либо данные третьих лиц на законном основании и в объеме, необходимом для работы сервиса.</w:t>
      </w:r>
    </w:p>
    <w:p>
      <w:pPr>
        <w:keepLines w:val="0"/>
      </w:pPr>
      <w:r>
        <w:rPr>
          <w:rFonts w:ascii="Times New Roman" w:hAnsi="Times New Roman" w:eastAsia="Times New Roman"/>
          <w:color w:val="000000"/>
          <w:sz w:val="22"/>
        </w:rPr>
        <w:t>1.3. Оператор не продает персональные данные и не публикует их в общедоступных источниках по умолчанию.</w:t>
      </w:r>
    </w:p>
    <w:p>
      <w:pPr>
        <w:pStyle w:val="Heading1"/>
      </w:pPr>
      <w:r>
        <w:t>2. Перечень обрабатываемых данных</w:t>
      </w:r>
    </w:p>
    <w:p>
      <w:pPr>
        <w:pStyle w:val="ListBullet"/>
        <w:spacing w:after="40"/>
      </w:pPr>
      <w:r>
        <w:rPr>
          <w:rFonts w:ascii="Times New Roman" w:hAnsi="Times New Roman" w:eastAsia="Times New Roman"/>
          <w:color w:val="000000"/>
          <w:sz w:val="22"/>
        </w:rPr>
        <w:t>ФИО / отображаемое имя, рабочий email, номер телефона, должность или роль — если соответствующее поле используется;</w:t>
      </w:r>
    </w:p>
    <w:p>
      <w:pPr>
        <w:pStyle w:val="ListBullet"/>
        <w:spacing w:after="40"/>
      </w:pPr>
      <w:r>
        <w:rPr>
          <w:rFonts w:ascii="Times New Roman" w:hAnsi="Times New Roman" w:eastAsia="Times New Roman"/>
          <w:color w:val="000000"/>
          <w:sz w:val="22"/>
        </w:rPr>
        <w:t>сведения о Заказчике/рабочем пространстве: наименование компании, БИН/ИИН при применимости, адреса, рабочие контакты;</w:t>
      </w:r>
    </w:p>
    <w:p>
      <w:pPr>
        <w:pStyle w:val="ListBullet"/>
        <w:spacing w:after="40"/>
      </w:pPr>
      <w:r>
        <w:rPr>
          <w:rFonts w:ascii="Times New Roman" w:hAnsi="Times New Roman" w:eastAsia="Times New Roman"/>
          <w:color w:val="000000"/>
          <w:sz w:val="22"/>
        </w:rPr>
        <w:t>данные учетной записи: внутренний ID, роль, права, статусы подтверждения email и доступа;</w:t>
      </w:r>
    </w:p>
    <w:p>
      <w:pPr>
        <w:pStyle w:val="ListBullet"/>
        <w:spacing w:after="40"/>
      </w:pPr>
      <w:r>
        <w:rPr>
          <w:rFonts w:ascii="Times New Roman" w:hAnsi="Times New Roman" w:eastAsia="Times New Roman"/>
          <w:color w:val="000000"/>
          <w:sz w:val="22"/>
        </w:rPr>
        <w:t>данные аутентификации и безопасности: хэш пароля, события входа, IP-адрес, user-agent, идентификаторы сессии, время входа, события смены/восстановления пароля;</w:t>
      </w:r>
    </w:p>
    <w:p>
      <w:pPr>
        <w:pStyle w:val="ListBullet"/>
        <w:spacing w:after="40"/>
      </w:pPr>
      <w:r>
        <w:rPr>
          <w:rFonts w:ascii="Times New Roman" w:hAnsi="Times New Roman" w:eastAsia="Times New Roman"/>
          <w:color w:val="000000"/>
          <w:sz w:val="22"/>
        </w:rPr>
        <w:t>договорные и платежные данные: выбранный Тариф, счета, статусы оплаты, сведения о платежном документе и сам файл подтверждения оплаты, если он загружен Пользователем;</w:t>
      </w:r>
    </w:p>
    <w:p>
      <w:pPr>
        <w:pStyle w:val="ListBullet"/>
        <w:spacing w:after="40"/>
      </w:pPr>
      <w:r>
        <w:rPr>
          <w:rFonts w:ascii="Times New Roman" w:hAnsi="Times New Roman" w:eastAsia="Times New Roman"/>
          <w:color w:val="000000"/>
          <w:sz w:val="22"/>
        </w:rPr>
        <w:t>данные подключений Маркетплейсов: ссылки, seller ID/slug, статусы интеграций, связанные технические события;</w:t>
      </w:r>
    </w:p>
    <w:p>
      <w:pPr>
        <w:pStyle w:val="ListBullet"/>
        <w:spacing w:after="40"/>
      </w:pPr>
      <w:r>
        <w:rPr>
          <w:rFonts w:ascii="Times New Roman" w:hAnsi="Times New Roman" w:eastAsia="Times New Roman"/>
          <w:color w:val="000000"/>
          <w:sz w:val="22"/>
        </w:rPr>
        <w:t>пользовательские настройки: язык, тема, валюта отображения, настройки уведомлений и иные параметры интерфейса;</w:t>
      </w:r>
    </w:p>
    <w:p>
      <w:pPr>
        <w:pStyle w:val="ListBullet"/>
        <w:spacing w:after="40"/>
      </w:pPr>
      <w:r>
        <w:rPr>
          <w:rFonts w:ascii="Times New Roman" w:hAnsi="Times New Roman" w:eastAsia="Times New Roman"/>
          <w:color w:val="000000"/>
          <w:sz w:val="22"/>
        </w:rPr>
        <w:t>идентификаторы внешних коммуникационных сервисов (например, Telegram chat/user ID) — только если Пользователь самостоятельно активировал соответствующую функцию;</w:t>
      </w:r>
    </w:p>
    <w:p>
      <w:pPr>
        <w:pStyle w:val="ListBullet"/>
        <w:spacing w:after="40"/>
      </w:pPr>
      <w:r>
        <w:rPr>
          <w:rFonts w:ascii="Times New Roman" w:hAnsi="Times New Roman" w:eastAsia="Times New Roman"/>
          <w:color w:val="000000"/>
          <w:sz w:val="22"/>
        </w:rPr>
        <w:t>журналы действий, ошибок, операций и событий безопасности;</w:t>
      </w:r>
    </w:p>
    <w:p>
      <w:pPr>
        <w:pStyle w:val="ListBullet"/>
        <w:spacing w:after="40"/>
      </w:pPr>
      <w:r>
        <w:rPr>
          <w:rFonts w:ascii="Times New Roman" w:hAnsi="Times New Roman" w:eastAsia="Times New Roman"/>
          <w:color w:val="000000"/>
          <w:sz w:val="22"/>
        </w:rPr>
        <w:t>переписка с поддержкой и иные данные, добровольно предоставленные Пользователем.</w:t>
      </w:r>
    </w:p>
    <w:p>
      <w:pPr>
        <w:keepLines w:val="0"/>
      </w:pPr>
      <w:r>
        <w:rPr>
          <w:rFonts w:ascii="Times New Roman" w:hAnsi="Times New Roman" w:eastAsia="Times New Roman"/>
          <w:color w:val="000000"/>
          <w:sz w:val="22"/>
        </w:rPr>
        <w:t>2.2. Оператор не запрашивает данные банковских карт через Spyon, если отдельная платежная функция прямо не внедрена и не описана в интерфейсе/обновленной Политике.</w:t>
      </w:r>
    </w:p>
    <w:p>
      <w:pPr>
        <w:keepLines w:val="0"/>
      </w:pPr>
      <w:r>
        <w:rPr>
          <w:rFonts w:ascii="Times New Roman" w:hAnsi="Times New Roman" w:eastAsia="Times New Roman"/>
          <w:color w:val="000000"/>
          <w:sz w:val="22"/>
        </w:rPr>
        <w:t>2.3. Пользователям запрещается загружать специальные категории или избыточные персональные данные третьих лиц в поля, для этого не предназначенные.</w:t>
      </w:r>
    </w:p>
    <w:p>
      <w:pPr>
        <w:pStyle w:val="Heading1"/>
      </w:pPr>
      <w:r>
        <w:t>3. Цели обработки</w:t>
      </w:r>
    </w:p>
    <w:p>
      <w:pPr>
        <w:pStyle w:val="ListBullet"/>
        <w:spacing w:after="40"/>
      </w:pPr>
      <w:r>
        <w:rPr>
          <w:rFonts w:ascii="Times New Roman" w:hAnsi="Times New Roman" w:eastAsia="Times New Roman"/>
          <w:color w:val="000000"/>
          <w:sz w:val="22"/>
        </w:rPr>
        <w:t>регистрация Заказчика и Пользователя, подтверждение email и управление учетной записью;</w:t>
      </w:r>
    </w:p>
    <w:p>
      <w:pPr>
        <w:pStyle w:val="ListBullet"/>
        <w:spacing w:after="40"/>
      </w:pPr>
      <w:r>
        <w:rPr>
          <w:rFonts w:ascii="Times New Roman" w:hAnsi="Times New Roman" w:eastAsia="Times New Roman"/>
          <w:color w:val="000000"/>
          <w:sz w:val="22"/>
        </w:rPr>
        <w:t>заключение и исполнение Публичной оферты / индивидуального договора;</w:t>
      </w:r>
    </w:p>
    <w:p>
      <w:pPr>
        <w:pStyle w:val="ListBullet"/>
        <w:spacing w:after="40"/>
      </w:pPr>
      <w:r>
        <w:rPr>
          <w:rFonts w:ascii="Times New Roman" w:hAnsi="Times New Roman" w:eastAsia="Times New Roman"/>
          <w:color w:val="000000"/>
          <w:sz w:val="22"/>
        </w:rPr>
        <w:t>предоставление функций Тарифа, управление ролями, лимитами, счетами и статусами оплаты;</w:t>
      </w:r>
    </w:p>
    <w:p>
      <w:pPr>
        <w:pStyle w:val="ListBullet"/>
        <w:spacing w:after="40"/>
      </w:pPr>
      <w:r>
        <w:rPr>
          <w:rFonts w:ascii="Times New Roman" w:hAnsi="Times New Roman" w:eastAsia="Times New Roman"/>
          <w:color w:val="000000"/>
          <w:sz w:val="22"/>
        </w:rPr>
        <w:t>подключение Маркетплейсов и обработка действий, инициированных Пользователем;</w:t>
      </w:r>
    </w:p>
    <w:p>
      <w:pPr>
        <w:pStyle w:val="ListBullet"/>
        <w:spacing w:after="40"/>
      </w:pPr>
      <w:r>
        <w:rPr>
          <w:rFonts w:ascii="Times New Roman" w:hAnsi="Times New Roman" w:eastAsia="Times New Roman"/>
          <w:color w:val="000000"/>
          <w:sz w:val="22"/>
        </w:rPr>
        <w:t>техническая поддержка, диагностика, устранение ошибок и восстановление доступа;</w:t>
      </w:r>
    </w:p>
    <w:p>
      <w:pPr>
        <w:pStyle w:val="ListBullet"/>
        <w:spacing w:after="40"/>
      </w:pPr>
      <w:r>
        <w:rPr>
          <w:rFonts w:ascii="Times New Roman" w:hAnsi="Times New Roman" w:eastAsia="Times New Roman"/>
          <w:color w:val="000000"/>
          <w:sz w:val="22"/>
        </w:rPr>
        <w:t>информационная безопасность, аудит, предотвращение злоупотреблений и расследование инцидентов;</w:t>
      </w:r>
    </w:p>
    <w:p>
      <w:pPr>
        <w:pStyle w:val="ListBullet"/>
        <w:spacing w:after="40"/>
      </w:pPr>
      <w:r>
        <w:rPr>
          <w:rFonts w:ascii="Times New Roman" w:hAnsi="Times New Roman" w:eastAsia="Times New Roman"/>
          <w:color w:val="000000"/>
          <w:sz w:val="22"/>
        </w:rPr>
        <w:t>отправка обязательных сервисных уведомлений и выбранных Пользователем операционных уведомлений;</w:t>
      </w:r>
    </w:p>
    <w:p>
      <w:pPr>
        <w:pStyle w:val="ListBullet"/>
        <w:spacing w:after="40"/>
      </w:pPr>
      <w:r>
        <w:rPr>
          <w:rFonts w:ascii="Times New Roman" w:hAnsi="Times New Roman" w:eastAsia="Times New Roman"/>
          <w:color w:val="000000"/>
          <w:sz w:val="22"/>
        </w:rPr>
        <w:t>исполнение обязанностей по финансовому, налоговому, договорному и иному обязательному учету и хранению документов;</w:t>
      </w:r>
    </w:p>
    <w:p>
      <w:pPr>
        <w:pStyle w:val="ListBullet"/>
        <w:spacing w:after="40"/>
      </w:pPr>
      <w:r>
        <w:rPr>
          <w:rFonts w:ascii="Times New Roman" w:hAnsi="Times New Roman" w:eastAsia="Times New Roman"/>
          <w:color w:val="000000"/>
          <w:sz w:val="22"/>
        </w:rPr>
        <w:t>защита прав и законных интересов Оператора и Заказчика, включая разрешение споров;</w:t>
      </w:r>
    </w:p>
    <w:p>
      <w:pPr>
        <w:pStyle w:val="ListBullet"/>
        <w:spacing w:after="40"/>
      </w:pPr>
      <w:r>
        <w:rPr>
          <w:rFonts w:ascii="Times New Roman" w:hAnsi="Times New Roman" w:eastAsia="Times New Roman"/>
          <w:color w:val="000000"/>
          <w:sz w:val="22"/>
        </w:rPr>
        <w:t>выполнение обязательных требований законодательства и законных запросов уполномоченных органов;</w:t>
      </w:r>
    </w:p>
    <w:p>
      <w:pPr>
        <w:pStyle w:val="ListBullet"/>
        <w:spacing w:after="40"/>
      </w:pPr>
      <w:r>
        <w:rPr>
          <w:rFonts w:ascii="Times New Roman" w:hAnsi="Times New Roman" w:eastAsia="Times New Roman"/>
          <w:color w:val="000000"/>
          <w:sz w:val="22"/>
        </w:rPr>
        <w:t>улучшение устойчивости и качества Spyon на основе обезличенной/агрегированной статистики.</w:t>
      </w:r>
    </w:p>
    <w:p>
      <w:pPr>
        <w:pStyle w:val="Heading1"/>
      </w:pPr>
      <w:r>
        <w:t>4. Правовые основания и принципы обработки</w:t>
      </w:r>
    </w:p>
    <w:p>
      <w:pPr>
        <w:keepLines w:val="0"/>
      </w:pPr>
      <w:r>
        <w:rPr>
          <w:rFonts w:ascii="Times New Roman" w:hAnsi="Times New Roman" w:eastAsia="Times New Roman"/>
          <w:color w:val="000000"/>
          <w:sz w:val="22"/>
        </w:rPr>
        <w:t>4.1. Сбор и обработка осуществляются с согласия субъекта, для исполнения договорных отношений и/или на ином законном основании в случаях, предусмотренных законодательством Республики Казахстан.</w:t>
      </w:r>
    </w:p>
    <w:p>
      <w:pPr>
        <w:keepLines w:val="0"/>
      </w:pPr>
      <w:r>
        <w:rPr>
          <w:rFonts w:ascii="Times New Roman" w:hAnsi="Times New Roman" w:eastAsia="Times New Roman"/>
          <w:color w:val="000000"/>
          <w:sz w:val="22"/>
        </w:rPr>
        <w:t>4.2. Обработка ограничивается конкретными, заранее определенными и законными целями. Оператор стремится собирать только данные, необходимые и достаточные для соответствующей цели.</w:t>
      </w:r>
    </w:p>
    <w:p>
      <w:pPr>
        <w:keepLines w:val="0"/>
      </w:pPr>
      <w:r>
        <w:rPr>
          <w:rFonts w:ascii="Times New Roman" w:hAnsi="Times New Roman" w:eastAsia="Times New Roman"/>
          <w:color w:val="000000"/>
          <w:sz w:val="22"/>
        </w:rPr>
        <w:t>4.3. Согласие предоставляется способом, позволяющим подтвердить его получение, в том числе путем обязательной отметки в интерфейсе Spyon с фиксацией версии документа и технических атрибутов акцепта.</w:t>
      </w:r>
    </w:p>
    <w:p>
      <w:pPr>
        <w:pStyle w:val="Heading1"/>
      </w:pPr>
      <w:r>
        <w:t>5. Источники персональных данных</w:t>
      </w:r>
    </w:p>
    <w:p>
      <w:pPr>
        <w:pStyle w:val="ListBullet"/>
        <w:spacing w:after="40"/>
      </w:pPr>
      <w:r>
        <w:rPr>
          <w:rFonts w:ascii="Times New Roman" w:hAnsi="Times New Roman" w:eastAsia="Times New Roman"/>
          <w:color w:val="000000"/>
          <w:sz w:val="22"/>
        </w:rPr>
        <w:t>непосредственно от субъекта при регистрации и использовании Spyon;</w:t>
      </w:r>
    </w:p>
    <w:p>
      <w:pPr>
        <w:pStyle w:val="ListBullet"/>
        <w:spacing w:after="40"/>
      </w:pPr>
      <w:r>
        <w:rPr>
          <w:rFonts w:ascii="Times New Roman" w:hAnsi="Times New Roman" w:eastAsia="Times New Roman"/>
          <w:color w:val="000000"/>
          <w:sz w:val="22"/>
        </w:rPr>
        <w:t>от администратора Заказчика, создающего или администрирующего учетную запись Пользователя;</w:t>
      </w:r>
    </w:p>
    <w:p>
      <w:pPr>
        <w:pStyle w:val="ListBullet"/>
        <w:spacing w:after="40"/>
      </w:pPr>
      <w:r>
        <w:rPr>
          <w:rFonts w:ascii="Times New Roman" w:hAnsi="Times New Roman" w:eastAsia="Times New Roman"/>
          <w:color w:val="000000"/>
          <w:sz w:val="22"/>
        </w:rPr>
        <w:t>из технических журналов Spyon;</w:t>
      </w:r>
    </w:p>
    <w:p>
      <w:pPr>
        <w:pStyle w:val="ListBullet"/>
        <w:spacing w:after="40"/>
      </w:pPr>
      <w:r>
        <w:rPr>
          <w:rFonts w:ascii="Times New Roman" w:hAnsi="Times New Roman" w:eastAsia="Times New Roman"/>
          <w:color w:val="000000"/>
          <w:sz w:val="22"/>
        </w:rPr>
        <w:t>из подключенных Пользователем Маркетплейсов и общедоступных источников — только в объеме, необходимом для функций сервиса;</w:t>
      </w:r>
    </w:p>
    <w:p>
      <w:pPr>
        <w:pStyle w:val="ListBullet"/>
        <w:spacing w:after="40"/>
      </w:pPr>
      <w:r>
        <w:rPr>
          <w:rFonts w:ascii="Times New Roman" w:hAnsi="Times New Roman" w:eastAsia="Times New Roman"/>
          <w:color w:val="000000"/>
          <w:sz w:val="22"/>
        </w:rPr>
        <w:t>от банков, операторов связи, почтовых/коммуникационных сервисов и иных контрагентов — только в объеме, необходимом для конкретной операции и при наличии законного основания.</w:t>
      </w:r>
    </w:p>
    <w:p>
      <w:pPr>
        <w:pStyle w:val="Heading1"/>
      </w:pPr>
      <w:r>
        <w:t>6. Действия с персональными данными</w:t>
      </w:r>
    </w:p>
    <w:p>
      <w:pPr>
        <w:keepLines w:val="0"/>
      </w:pPr>
      <w:r>
        <w:rPr>
          <w:rFonts w:ascii="Times New Roman" w:hAnsi="Times New Roman" w:eastAsia="Times New Roman"/>
          <w:color w:val="000000"/>
          <w:sz w:val="22"/>
        </w:rPr>
        <w:t>В пределах заявленных целей Оператор может осуществлять сбор, запись, систематизацию, накопление, хранение, уточнение, изменение, использование, предоставление доступа уполномоченным лицам, передачу при наличии законного основания, обезличивание, резервное копирование, блокирование и уничтожение персональных данных.</w:t>
      </w:r>
    </w:p>
    <w:p>
      <w:pPr>
        <w:pStyle w:val="Heading1"/>
      </w:pPr>
      <w:r>
        <w:t>7. Хранение данных и серверная инфраструктура</w:t>
      </w:r>
    </w:p>
    <w:p>
      <w:pPr>
        <w:keepLines w:val="0"/>
      </w:pPr>
      <w:r>
        <w:rPr>
          <w:rFonts w:ascii="Times New Roman" w:hAnsi="Times New Roman" w:eastAsia="Times New Roman"/>
          <w:color w:val="000000"/>
          <w:sz w:val="22"/>
        </w:rPr>
        <w:t>7.1. Основная база Spyon, содержащая персональные данные, и резервные копии, содержащие персональные данные, размещаются на собственных серверных мощностях Оператора на территории Республики Казахстан.</w:t>
      </w:r>
    </w:p>
    <w:p>
      <w:pPr>
        <w:keepLines w:val="0"/>
      </w:pPr>
      <w:r>
        <w:rPr>
          <w:rFonts w:ascii="Times New Roman" w:hAnsi="Times New Roman" w:eastAsia="Times New Roman"/>
          <w:color w:val="000000"/>
          <w:sz w:val="22"/>
        </w:rPr>
        <w:t>7.2. Доступ к серверной инфраструктуре предоставляется ограниченному кругу уполномоченных лиц по принципу минимально необходимого доступа. Административные действия подлежат техническому контролю и, где это реализовано, журналированию.</w:t>
      </w:r>
    </w:p>
    <w:p>
      <w:pPr>
        <w:keepLines w:val="0"/>
      </w:pPr>
      <w:r>
        <w:rPr>
          <w:rFonts w:ascii="Times New Roman" w:hAnsi="Times New Roman" w:eastAsia="Times New Roman"/>
          <w:color w:val="000000"/>
          <w:sz w:val="22"/>
        </w:rPr>
        <w:t>7.3. Срок хранения определяется достижением целей обработки и применимыми обязательствами. Данные действующей учетной записи хранятся в течение срока использования Spyon; после прекращения договора данные, не требуемые для обязательного учета, безопасности, разрешения спора или защиты прав, подлежат удалению/обезличиванию в соответствии с внутренним графиком хранения и законодательством.</w:t>
      </w:r>
    </w:p>
    <w:p>
      <w:pPr>
        <w:keepLines w:val="0"/>
      </w:pPr>
      <w:r>
        <w:rPr>
          <w:rFonts w:ascii="Times New Roman" w:hAnsi="Times New Roman" w:eastAsia="Times New Roman"/>
          <w:color w:val="000000"/>
          <w:sz w:val="22"/>
        </w:rPr>
        <w:t>7.4. Электронные записи о принятии Оферты/Согласия и связанные доказательства могут храниться в течение срока договорных отношений и не менее общего срока исковой давности после их завершения, если более длительный срок не установлен законом или объективно необходим для незавершенного спора/обязательства.</w:t>
      </w:r>
    </w:p>
    <w:p>
      <w:pPr>
        <w:keepLines w:val="0"/>
      </w:pPr>
      <w:r>
        <w:rPr>
          <w:rFonts w:ascii="Times New Roman" w:hAnsi="Times New Roman" w:eastAsia="Times New Roman"/>
          <w:color w:val="000000"/>
          <w:sz w:val="22"/>
        </w:rPr>
        <w:t>7.5. Резервные копии могут сохранять удаленные данные до завершения очередного цикла ротации резервных копий. В этот период доступ к таким данным ограничивается целями аварийного восстановления и безопасности.</w:t>
      </w:r>
    </w:p>
    <w:p>
      <w:pPr>
        <w:pStyle w:val="Heading1"/>
      </w:pPr>
      <w:r>
        <w:t>8. Передача третьим лицам</w:t>
      </w:r>
    </w:p>
    <w:p>
      <w:pPr>
        <w:keepLines w:val="0"/>
      </w:pPr>
      <w:r>
        <w:rPr>
          <w:rFonts w:ascii="Times New Roman" w:hAnsi="Times New Roman" w:eastAsia="Times New Roman"/>
          <w:color w:val="000000"/>
          <w:sz w:val="22"/>
        </w:rPr>
        <w:t>8.1. Оператор вправе передавать персональные данные третьим лицам только при наличии законного основания и в минимально необходимом объеме, в частности: работникам и подрядчикам, обеспечивающим инфраструктуру/поддержку и связанным обязанностью конфиденциальности; банкам и платежным участникам в связи с расчетами; поставщикам связи/email при отправке сервисных сообщений; государственным органам по законному требованию; внешним сервисам, которые Пользователь самостоятельно подключает к Spyon.</w:t>
      </w:r>
    </w:p>
    <w:p>
      <w:pPr>
        <w:keepLines w:val="0"/>
      </w:pPr>
      <w:r>
        <w:rPr>
          <w:rFonts w:ascii="Times New Roman" w:hAnsi="Times New Roman" w:eastAsia="Times New Roman"/>
          <w:color w:val="000000"/>
          <w:sz w:val="22"/>
        </w:rPr>
        <w:t>8.2. Оператор не передает третьим лицам персональные данные для самостоятельной рекламы третьих лиц без отдельного законного основания/согласия.</w:t>
      </w:r>
    </w:p>
    <w:p>
      <w:pPr>
        <w:keepLines w:val="0"/>
      </w:pPr>
      <w:r>
        <w:rPr>
          <w:rFonts w:ascii="Times New Roman" w:hAnsi="Times New Roman" w:eastAsia="Times New Roman"/>
          <w:color w:val="000000"/>
          <w:sz w:val="22"/>
        </w:rPr>
        <w:t>8.3. Заказчик может выступать самостоятельным собственником/оператором персональных данных своих работников. В таком случае Оператор обрабатывает переданные Заказчиком данные только в целях предоставления Spyon и согласно договору.</w:t>
      </w:r>
    </w:p>
    <w:p>
      <w:pPr>
        <w:pStyle w:val="Heading1"/>
      </w:pPr>
      <w:r>
        <w:t>9. Трансграничная передача</w:t>
      </w:r>
    </w:p>
    <w:p>
      <w:pPr>
        <w:keepLines w:val="0"/>
      </w:pPr>
      <w:r>
        <w:rPr>
          <w:rFonts w:ascii="Times New Roman" w:hAnsi="Times New Roman" w:eastAsia="Times New Roman"/>
          <w:color w:val="000000"/>
          <w:sz w:val="22"/>
        </w:rPr>
        <w:t>9.1. Основная база Spyon и ее резервные копии, содержащие персональные данные, не переносятся на постоянное хранение за пределы Республики Казахстан.</w:t>
      </w:r>
    </w:p>
    <w:p>
      <w:pPr>
        <w:keepLines w:val="0"/>
      </w:pPr>
      <w:r>
        <w:rPr>
          <w:rFonts w:ascii="Times New Roman" w:hAnsi="Times New Roman" w:eastAsia="Times New Roman"/>
          <w:color w:val="000000"/>
          <w:sz w:val="22"/>
        </w:rPr>
        <w:t>9.2. При добровольном подключении Пользователем внешнего иностранного Маркетплейса, мессенджера или иного коммуникационного сервиса отдельные технические идентификаторы, параметры запроса и содержание инициированных Пользователем уведомлений могут быть переданы соответствующему внешнему сервису за пределами Республики Казахстан в объеме, технически необходимом для выбранной функции.</w:t>
      </w:r>
    </w:p>
    <w:p>
      <w:pPr>
        <w:keepLines w:val="0"/>
      </w:pPr>
      <w:r>
        <w:rPr>
          <w:rFonts w:ascii="Times New Roman" w:hAnsi="Times New Roman" w:eastAsia="Times New Roman"/>
          <w:color w:val="000000"/>
          <w:sz w:val="22"/>
        </w:rPr>
        <w:t>9.3. Если такая передача содержит персональные данные и требует отдельного согласия, Spyon должен информировать Пользователя до активации соответствующей функции и зафиксировать необходимое согласие. Пользователь может не подключать необязательную внешнюю интеграцию.</w:t>
      </w:r>
    </w:p>
    <w:p>
      <w:pPr>
        <w:pStyle w:val="Heading1"/>
      </w:pPr>
      <w:r>
        <w:t>10. Распространение в общедоступных источниках</w:t>
      </w:r>
    </w:p>
    <w:p>
      <w:pPr>
        <w:keepLines w:val="0"/>
      </w:pPr>
      <w:r>
        <w:rPr>
          <w:rFonts w:ascii="Times New Roman" w:hAnsi="Times New Roman" w:eastAsia="Times New Roman"/>
          <w:color w:val="000000"/>
          <w:sz w:val="22"/>
        </w:rPr>
        <w:t>Spyon по умолчанию не распространяет персональные данные Пользователей в общедоступных источниках. Если в будущем появится функция публичного профиля, рейтинга, отзыва или иного публичного размещения персональных данных, для нее должно быть предусмотрено отдельное информирование и законное основание.</w:t>
      </w:r>
    </w:p>
    <w:p>
      <w:pPr>
        <w:pStyle w:val="Heading1"/>
      </w:pPr>
      <w:r>
        <w:t>11. Защита персональных данных</w:t>
      </w:r>
    </w:p>
    <w:p>
      <w:pPr>
        <w:pStyle w:val="ListBullet"/>
        <w:spacing w:after="40"/>
      </w:pPr>
      <w:r>
        <w:rPr>
          <w:rFonts w:ascii="Times New Roman" w:hAnsi="Times New Roman" w:eastAsia="Times New Roman"/>
          <w:color w:val="000000"/>
          <w:sz w:val="22"/>
        </w:rPr>
        <w:t>разграничение доступа по ролям и принципу минимально необходимых прав;</w:t>
      </w:r>
    </w:p>
    <w:p>
      <w:pPr>
        <w:pStyle w:val="ListBullet"/>
        <w:spacing w:after="40"/>
      </w:pPr>
      <w:r>
        <w:rPr>
          <w:rFonts w:ascii="Times New Roman" w:hAnsi="Times New Roman" w:eastAsia="Times New Roman"/>
          <w:color w:val="000000"/>
          <w:sz w:val="22"/>
        </w:rPr>
        <w:t>хэширование паролей и запрет хранения пользовательских паролей в открытом виде;</w:t>
      </w:r>
    </w:p>
    <w:p>
      <w:pPr>
        <w:pStyle w:val="ListBullet"/>
        <w:spacing w:after="40"/>
      </w:pPr>
      <w:r>
        <w:rPr>
          <w:rFonts w:ascii="Times New Roman" w:hAnsi="Times New Roman" w:eastAsia="Times New Roman"/>
          <w:color w:val="000000"/>
          <w:sz w:val="22"/>
        </w:rPr>
        <w:t>защищенные сетевые соединения и контроль административного доступа;</w:t>
      </w:r>
    </w:p>
    <w:p>
      <w:pPr>
        <w:pStyle w:val="ListBullet"/>
        <w:spacing w:after="40"/>
      </w:pPr>
      <w:r>
        <w:rPr>
          <w:rFonts w:ascii="Times New Roman" w:hAnsi="Times New Roman" w:eastAsia="Times New Roman"/>
          <w:color w:val="000000"/>
          <w:sz w:val="22"/>
        </w:rPr>
        <w:t>журналирование критических событий и действий, где это предусмотрено архитектурой;</w:t>
      </w:r>
    </w:p>
    <w:p>
      <w:pPr>
        <w:pStyle w:val="ListBullet"/>
        <w:spacing w:after="40"/>
      </w:pPr>
      <w:r>
        <w:rPr>
          <w:rFonts w:ascii="Times New Roman" w:hAnsi="Times New Roman" w:eastAsia="Times New Roman"/>
          <w:color w:val="000000"/>
          <w:sz w:val="22"/>
        </w:rPr>
        <w:t>резервное копирование и проверяемые процедуры восстановления;</w:t>
      </w:r>
    </w:p>
    <w:p>
      <w:pPr>
        <w:pStyle w:val="ListBullet"/>
        <w:spacing w:after="40"/>
      </w:pPr>
      <w:r>
        <w:rPr>
          <w:rFonts w:ascii="Times New Roman" w:hAnsi="Times New Roman" w:eastAsia="Times New Roman"/>
          <w:color w:val="000000"/>
          <w:sz w:val="22"/>
        </w:rPr>
        <w:t>блокирование/отзыв учетных записей при прекращении полномочий или признаках компрометации;</w:t>
      </w:r>
    </w:p>
    <w:p>
      <w:pPr>
        <w:pStyle w:val="ListBullet"/>
        <w:spacing w:after="40"/>
      </w:pPr>
      <w:r>
        <w:rPr>
          <w:rFonts w:ascii="Times New Roman" w:hAnsi="Times New Roman" w:eastAsia="Times New Roman"/>
          <w:color w:val="000000"/>
          <w:sz w:val="22"/>
        </w:rPr>
        <w:t>организационные меры, внутренние правила доступа и реагирования на инциденты;</w:t>
      </w:r>
    </w:p>
    <w:p>
      <w:pPr>
        <w:pStyle w:val="ListBullet"/>
        <w:spacing w:after="40"/>
      </w:pPr>
      <w:r>
        <w:rPr>
          <w:rFonts w:ascii="Times New Roman" w:hAnsi="Times New Roman" w:eastAsia="Times New Roman"/>
          <w:color w:val="000000"/>
          <w:sz w:val="22"/>
        </w:rPr>
        <w:t>периодический пересмотр мер защиты с учетом изменений архитектуры и законодательства.</w:t>
      </w:r>
    </w:p>
    <w:p>
      <w:pPr>
        <w:keepLines w:val="0"/>
      </w:pPr>
      <w:r>
        <w:rPr>
          <w:rFonts w:ascii="Times New Roman" w:hAnsi="Times New Roman" w:eastAsia="Times New Roman"/>
          <w:color w:val="000000"/>
          <w:sz w:val="22"/>
        </w:rPr>
        <w:t>11.2. При выявлении инцидента безопасности, затрагивающего персональные данные, Оператор принимает меры по локализации, расследованию, восстановлению и выполнению обязанностей по уведомлению субъектов/уполномоченных органов в случаях и сроки, установленные законодательством Республики Казахстан.</w:t>
      </w:r>
    </w:p>
    <w:p>
      <w:pPr>
        <w:pStyle w:val="Heading1"/>
      </w:pPr>
      <w:r>
        <w:t>12. Права субъекта персональных данных</w:t>
      </w:r>
    </w:p>
    <w:p>
      <w:pPr>
        <w:pStyle w:val="ListBullet"/>
        <w:spacing w:after="40"/>
      </w:pPr>
      <w:r>
        <w:rPr>
          <w:rFonts w:ascii="Times New Roman" w:hAnsi="Times New Roman" w:eastAsia="Times New Roman"/>
          <w:color w:val="000000"/>
          <w:sz w:val="22"/>
        </w:rPr>
        <w:t>получать сведения о факте, целях, источниках, способах и сроках обработки своих персональных данных в предусмотренных законом пределах;</w:t>
      </w:r>
    </w:p>
    <w:p>
      <w:pPr>
        <w:pStyle w:val="ListBullet"/>
        <w:spacing w:after="40"/>
      </w:pPr>
      <w:r>
        <w:rPr>
          <w:rFonts w:ascii="Times New Roman" w:hAnsi="Times New Roman" w:eastAsia="Times New Roman"/>
          <w:color w:val="000000"/>
          <w:sz w:val="22"/>
        </w:rPr>
        <w:t>требовать изменения и дополнения данных при наличии оснований;</w:t>
      </w:r>
    </w:p>
    <w:p>
      <w:pPr>
        <w:pStyle w:val="ListBullet"/>
        <w:spacing w:after="40"/>
      </w:pPr>
      <w:r>
        <w:rPr>
          <w:rFonts w:ascii="Times New Roman" w:hAnsi="Times New Roman" w:eastAsia="Times New Roman"/>
          <w:color w:val="000000"/>
          <w:sz w:val="22"/>
        </w:rPr>
        <w:t>требовать блокирования или уничтожения данных, обрабатываемых с нарушением законодательства;</w:t>
      </w:r>
    </w:p>
    <w:p>
      <w:pPr>
        <w:pStyle w:val="ListBullet"/>
        <w:spacing w:after="40"/>
      </w:pPr>
      <w:r>
        <w:rPr>
          <w:rFonts w:ascii="Times New Roman" w:hAnsi="Times New Roman" w:eastAsia="Times New Roman"/>
          <w:color w:val="000000"/>
          <w:sz w:val="22"/>
        </w:rPr>
        <w:t>отзывать согласие, кроме случаев, когда отзыв противоречит закону либо существует неисполненное обязательство/иное законное основание обработки;</w:t>
      </w:r>
    </w:p>
    <w:p>
      <w:pPr>
        <w:pStyle w:val="ListBullet"/>
        <w:spacing w:after="40"/>
      </w:pPr>
      <w:r>
        <w:rPr>
          <w:rFonts w:ascii="Times New Roman" w:hAnsi="Times New Roman" w:eastAsia="Times New Roman"/>
          <w:color w:val="000000"/>
          <w:sz w:val="22"/>
        </w:rPr>
        <w:t>возражать против неправомерной передачи, распространения или обработки;</w:t>
      </w:r>
    </w:p>
    <w:p>
      <w:pPr>
        <w:pStyle w:val="ListBullet"/>
        <w:spacing w:after="40"/>
      </w:pPr>
      <w:r>
        <w:rPr>
          <w:rFonts w:ascii="Times New Roman" w:hAnsi="Times New Roman" w:eastAsia="Times New Roman"/>
          <w:color w:val="000000"/>
          <w:sz w:val="22"/>
        </w:rPr>
        <w:t>обращаться к Оператору и в уполномоченный орган для защиты своих прав.</w:t>
      </w:r>
    </w:p>
    <w:p>
      <w:pPr>
        <w:keepLines w:val="0"/>
      </w:pPr>
      <w:r>
        <w:rPr>
          <w:rFonts w:ascii="Times New Roman" w:hAnsi="Times New Roman" w:eastAsia="Times New Roman"/>
          <w:color w:val="000000"/>
          <w:sz w:val="22"/>
        </w:rPr>
        <w:t>12.2. Запросы субъекта направляются на corp@itpmining.kz. Для предотвращения раскрытия данных постороннему лицу Оператор вправе запросить разумные сведения для подтверждения личности заявителя и его связи с соответствующей учетной записью.</w:t>
      </w:r>
    </w:p>
    <w:p>
      <w:pPr>
        <w:keepLines w:val="0"/>
      </w:pPr>
      <w:r>
        <w:rPr>
          <w:rFonts w:ascii="Times New Roman" w:hAnsi="Times New Roman" w:eastAsia="Times New Roman"/>
          <w:color w:val="000000"/>
          <w:sz w:val="22"/>
        </w:rPr>
        <w:t>12.3. При действительном отзыве согласия Оператор прекращает обработку в срок, установленный законодательством, если дальнейшее хранение/обработка не требуется на ином законном основании. На дату настоящей редакции Закон предусматривает срок до пятнадцати рабочих дней для прекращения обработки либо предоставления мотивированного отказа при наличии законного основания продолжить обработку.</w:t>
      </w:r>
    </w:p>
    <w:p>
      <w:pPr>
        <w:pStyle w:val="Heading1"/>
      </w:pPr>
      <w:r>
        <w:t>13. Cookie, сессии и локальные настройки</w:t>
      </w:r>
    </w:p>
    <w:p>
      <w:pPr>
        <w:keepLines w:val="0"/>
      </w:pPr>
      <w:r>
        <w:rPr>
          <w:rFonts w:ascii="Times New Roman" w:hAnsi="Times New Roman" w:eastAsia="Times New Roman"/>
          <w:color w:val="000000"/>
          <w:sz w:val="22"/>
        </w:rPr>
        <w:t>13.1. Spyon может использовать необходимые cookie, session identifiers, CSRF-токены и локальное хранилище браузера для аутентификации, безопасности, сохранения языка, темы и других пользовательских настроек.</w:t>
      </w:r>
    </w:p>
    <w:p>
      <w:pPr>
        <w:keepLines w:val="0"/>
      </w:pPr>
      <w:r>
        <w:rPr>
          <w:rFonts w:ascii="Times New Roman" w:hAnsi="Times New Roman" w:eastAsia="Times New Roman"/>
          <w:color w:val="000000"/>
          <w:sz w:val="22"/>
        </w:rPr>
        <w:t>13.2. Если в будущем будут подключены сторонние рекламные или необязательные аналитические cookie/SDK, настоящая Политика и механизм согласия должны быть обновлены до их использования.</w:t>
      </w:r>
    </w:p>
    <w:p>
      <w:pPr>
        <w:pStyle w:val="Heading1"/>
      </w:pPr>
      <w:r>
        <w:t>14. Срок действия, изменение и версия Политики</w:t>
      </w:r>
    </w:p>
    <w:p>
      <w:pPr>
        <w:keepLines w:val="0"/>
      </w:pPr>
      <w:r>
        <w:rPr>
          <w:rFonts w:ascii="Times New Roman" w:hAnsi="Times New Roman" w:eastAsia="Times New Roman"/>
          <w:color w:val="000000"/>
          <w:sz w:val="22"/>
        </w:rPr>
        <w:t>14.1. Каждая редакция имеет номер документа, версию и дату. Существенные изменения перечня данных, целей, получателей, трансграничной передачи или иных параметров, затрагивающих ранее данное согласие, сопровождаются повторным информированием и, если требуется законодательством, получением нового согласия.</w:t>
      </w:r>
    </w:p>
    <w:p>
      <w:pPr>
        <w:keepLines w:val="0"/>
      </w:pPr>
      <w:r>
        <w:rPr>
          <w:rFonts w:ascii="Times New Roman" w:hAnsi="Times New Roman" w:eastAsia="Times New Roman"/>
          <w:color w:val="000000"/>
          <w:sz w:val="22"/>
        </w:rPr>
        <w:t>14.2. Согласие действует с момента его предоставления до достижения целей обработки и завершения применимых договорных/законных обязательств, но не дольше необходимого срока. Для отдельных записей применяются специальные сроки хранения, предусмотренные разделом 7 и законодательством.</w:t>
      </w:r>
    </w:p>
    <w:p>
      <w:pPr>
        <w:pStyle w:val="Heading1"/>
      </w:pPr>
      <w:r>
        <w:t>15. Согласие субъекта на сбор и обработку персональных данных</w:t>
      </w:r>
    </w:p>
    <w:p>
      <w:pPr>
        <w:keepLines w:val="0"/>
      </w:pPr>
      <w:r>
        <w:rPr>
          <w:rFonts w:ascii="Times New Roman" w:hAnsi="Times New Roman" w:eastAsia="Times New Roman"/>
          <w:color w:val="000000"/>
          <w:sz w:val="22"/>
        </w:rPr>
        <w:t>Ниже приведены сведения, на основании которых обязательная отметка при регистрации должна фиксировать информированное согласие субъекта.</w:t>
      </w:r>
    </w:p>
    <w:tbl>
      <w:tblPr>
        <w:tblW w:type="auto" w:w="0"/>
        <w:jc w:val="center"/>
        <w:tblLook w:firstColumn="1" w:firstRow="1" w:lastColumn="0" w:lastRow="0" w:noHBand="0" w:noVBand="1" w:val="04A0"/>
      </w:tblPr>
      <w:tblGrid>
        <w:gridCol w:w="4986"/>
        <w:gridCol w:w="4986"/>
      </w:tblGrid>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Оператор</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Товарищество с ограниченной ответственностью «ITP Mining», БИН 161240002661</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Субъект</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Физическое лицо, идентифицированное регистрационными данными Spyon (ФИО/имя, email и иные введенные данные)</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Период согласия</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С даты предоставления до достижения целей обработки и завершения применимых договорных/законных обязательств; отдельные записи хранятся в сроки, указанные в Политике и законодательстве</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Передача третьим лицам</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Допускается в случаях и объеме, описанных в разделе 8, либо на ином законном основании</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Трансграничная передача</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Основная база и резервные копии хранятся в РК; ограниченная передача возможна при добровольном подключении внешних иностранных сервисов в порядке раздела 9</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Публикация в общедоступных источниках</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По умолчанию отсутствует; для публичной функции требуется отдельное основание</w:t>
            </w:r>
          </w:p>
        </w:tc>
      </w:tr>
      <w:tr>
        <w:tc>
          <w:tcPr>
            <w:tcW w:type="dxa" w:w="4986"/>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8"/>
              </w:rPr>
              <w:t>Перечень данных</w:t>
            </w:r>
          </w:p>
        </w:tc>
        <w:tc>
          <w:tcPr>
            <w:tcW w:type="dxa" w:w="4986"/>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8"/>
              </w:rPr>
              <w:t>Категории, перечисленные в разделе 2 настоящего документа</w:t>
            </w:r>
          </w:p>
        </w:tc>
      </w:tr>
    </w:tbl>
    <w:p>
      <w:pPr>
        <w:spacing w:before="200"/>
      </w:pPr>
      <w:r>
        <w:rPr>
          <w:rFonts w:ascii="Times New Roman" w:hAnsi="Times New Roman" w:eastAsia="Times New Roman"/>
          <w:b/>
          <w:color w:val="000000"/>
          <w:sz w:val="22"/>
        </w:rPr>
        <w:t>Рекомендуемая обязательная формулировка отметки при регистрации:</w:t>
      </w:r>
    </w:p>
    <w:p>
      <w:pPr>
        <w:spacing w:before="80" w:after="160"/>
        <w:ind w:left="283" w:right="283"/>
        <w:pBdr>
          <w:top w:val="single" w:sz="6" w:space="5" w:color="BFBFBF"/>
          <w:bottom w:val="single" w:sz="6" w:space="5" w:color="BFBFBF"/>
          <w:left w:val="single" w:sz="6" w:space="5" w:color="BFBFBF"/>
          <w:right w:val="single" w:sz="6" w:space="5" w:color="BFBFBF"/>
        </w:pBdr>
      </w:pPr>
      <w:r>
        <w:rPr>
          <w:rFonts w:ascii="Times New Roman" w:hAnsi="Times New Roman" w:eastAsia="Times New Roman"/>
          <w:color w:val="000000"/>
          <w:sz w:val="21"/>
        </w:rPr>
        <w:t>«Я ознакомился(ась) с Политикой конфиденциальности Spyon и даю ТОО «ITP Mining», БИН 161240002661, согласие на сбор и обработку моих персональных данных на условиях настоящей Политики и Согласия. Мне предоставлена информация о сроке обработки, передаче третьим лицам, наличии ограниченной трансграничной передачи при подключении внешних сервисов, отсутствии публикации в общедоступных источниках по умолчанию и перечне собираемых данных.»</w:t>
      </w:r>
    </w:p>
    <w:p>
      <w:pPr>
        <w:pStyle w:val="Heading1"/>
      </w:pPr>
      <w:r>
        <w:t>16. Учет согласия и доказательства</w:t>
      </w:r>
    </w:p>
    <w:p>
      <w:pPr>
        <w:keepLines w:val="0"/>
      </w:pPr>
      <w:r>
        <w:rPr>
          <w:rFonts w:ascii="Times New Roman" w:hAnsi="Times New Roman" w:eastAsia="Times New Roman"/>
          <w:color w:val="000000"/>
          <w:sz w:val="22"/>
        </w:rPr>
        <w:t>Для подтверждения получения согласия Spyon вправе сохранять отдельную запись: ID Пользователя/Заказчика, ФИО/имя и email, дату и время, номер/версию/контрольную сумму документа, точный текст отметки, IP-адрес, user-agent, язык и сведения об отзыве/повторном согласии. Обычное изменение профиля не должно незаметно изменять историческую запись согласия.</w:t>
      </w:r>
    </w:p>
    <w:p>
      <w:r>
        <w:br w:type="page"/>
      </w:r>
    </w:p>
    <w:p>
      <w:pPr>
        <w:pStyle w:val="Heading1"/>
      </w:pPr>
      <w:r>
        <w:t>Реквизиты Исполнителя</w:t>
      </w:r>
    </w:p>
    <w:tbl>
      <w:tblPr>
        <w:tblW w:type="auto" w:w="0"/>
        <w:jc w:val="center"/>
        <w:tblLayout w:type="fixed"/>
        <w:tblLook w:firstColumn="1" w:firstRow="1" w:lastColumn="0" w:lastRow="0" w:noHBand="0" w:noVBand="1" w:val="04A0"/>
      </w:tblPr>
      <w:tblGrid>
        <w:gridCol w:w="2835"/>
        <w:gridCol w:w="5669"/>
      </w:tblGrid>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Исполнитель</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Товарищество с ограниченной ответственностью «ITP Mining»</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БИН</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161240002661</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Юридический адрес</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Республика Казахстан, г. Астана, пр. Б. Момышулы, д. 12/А, секция «В», офис 305</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Фактический адрес</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Республика Казахстан, индекс 010010, г. Астана, пр. Б. Момышулы, д. 12/А, офис 305 (БЦ «Меруерт», секция «В»)</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Телефон</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+7 (7172) 702 598</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Email для юридически значимых уведомлений</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corp@itpmining.kz</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Общий email</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info@itpmining.kz</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Банк</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АО «Kaspi Bank», г. Астана</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БИК</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CASPKZKA</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ИИК / IBAN</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KZ20722S000001855383 (KZT)</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Кбе</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17</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Свидетельство по НДС</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Серия 62001, № 1005454 от 01.01.2017</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Генеральный директор</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Тулубаев Дмитрий Сергеевич</w:t>
            </w:r>
          </w:p>
        </w:tc>
      </w:tr>
      <w:tr>
        <w:tc>
          <w:tcPr>
            <w:tcW w:type="dxa" w:w="2835"/>
            <w:shd w:fill="F2F2F2"/>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color w:val="000000"/>
                <w:sz w:val="19"/>
              </w:rPr>
              <w:t>Сайт сервиса</w:t>
            </w:r>
          </w:p>
        </w:tc>
        <w:tc>
          <w:tcPr>
            <w:tcW w:type="dxa" w:w="5669"/>
            <w:tcBorders>
              <w:top w:val="single" w:sz="4" w:color="BFBFBF"/>
              <w:bottom w:val="single" w:sz="4" w:color="BFBFBF"/>
              <w:left w:val="single" w:sz="4" w:color="BFBFBF"/>
              <w:right w:val="single" w:sz="4" w:color="BFBFBF"/>
            </w:tcBorders>
          </w:tcPr>
          <w:p>
            <w:pPr>
              <w:spacing w:after="0"/>
            </w:pPr>
            <w:r>
              <w:rPr>
                <w:rFonts w:ascii="Times New Roman" w:hAnsi="Times New Roman" w:eastAsia="Times New Roman"/>
                <w:b w:val="0"/>
                <w:color w:val="000000"/>
                <w:sz w:val="19"/>
              </w:rPr>
              <w:t>https://spyon.kz/</w:t>
            </w:r>
          </w:p>
        </w:tc>
      </w:tr>
    </w:tbl>
    <w:sectPr w:rsidR="00FC693F" w:rsidRPr="0006063C" w:rsidSect="00034616">
      <w:headerReference w:type="default" r:id="rId9"/>
      <w:footerReference w:type="default" r:id="rId10"/>
      <w:pgSz w:w="12240" w:h="15840"/>
      <w:pgMar w:top="964" w:right="1020" w:bottom="85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66666"/>
        <w:sz w:val="16"/>
      </w:rPr>
      <w:t xml:space="preserve">SPYON-PD-001 | версия 1.0 | проект для согласования | стр. </w:t>
    </w:r>
    <w:r>
      <w:rPr>
        <w:rFonts w:ascii="Times New Roman" w:hAnsi="Times New Roman" w:eastAsia="Times New Roman"/>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BFBFBF"/>
      </w:pBdr>
    </w:pPr>
    <w:r>
      <w:drawing>
        <wp:inline xmlns:a="http://schemas.openxmlformats.org/drawingml/2006/main" xmlns:pic="http://schemas.openxmlformats.org/drawingml/2006/picture">
          <wp:extent cx="827999" cy="252000"/>
          <wp:docPr id="1" name="Picture 1"/>
          <wp:cNvGraphicFramePr>
            <a:graphicFrameLocks noChangeAspect="1"/>
          </wp:cNvGraphicFramePr>
          <a:graphic>
            <a:graphicData uri="http://schemas.openxmlformats.org/drawingml/2006/picture">
              <pic:pic>
                <pic:nvPicPr>
                  <pic:cNvPr id="0" name="spyon_logo_mono.png"/>
                  <pic:cNvPicPr/>
                </pic:nvPicPr>
                <pic:blipFill>
                  <a:blip r:embed="rId1"/>
                  <a:stretch>
                    <a:fillRect/>
                  </a:stretch>
                </pic:blipFill>
                <pic:spPr>
                  <a:xfrm>
                    <a:off x="0" y="0"/>
                    <a:ext cx="827999" cy="252000"/>
                  </a:xfrm>
                  <a:prstGeom prst="rect"/>
                </pic:spPr>
              </pic:pic>
            </a:graphicData>
          </a:graphic>
        </wp:inline>
      </w:drawing>
    </w:r>
    <w:r>
      <w:rPr>
        <w:rFonts w:ascii="Times New Roman" w:hAnsi="Times New Roman" w:eastAsia="Times New Roman"/>
        <w:color w:val="666666"/>
        <w:sz w:val="17"/>
      </w:rPr>
      <w:t xml:space="preserve">    Политика конфиденциальности и согласие    |    SPYON-PD-001    |    версия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Times New Roman" w:hAnsi="Times New Roman" w:eastAsia="Times New Roman"/>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