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655999" cy="5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yon_logo_mo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Times New Roman" w:hAnsi="Times New Roman" w:eastAsia="Times New Roman"/>
          <w:b/>
          <w:color w:val="000000"/>
          <w:sz w:val="34"/>
        </w:rPr>
        <w:t>ПУБЛИЧНАЯ ОФЕРТА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2"/>
        </w:rPr>
        <w:t>о заключении договора предоставления доступа к программному сервису Spyon и оказания сопутствующих информационно-аналитических услуг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839"/>
      </w:tblGrid>
      <w:tr>
        <w:tc>
          <w:tcPr>
            <w:tcW w:type="dxa" w:w="4986"/>
            <w:shd w:fill="F2F2F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Документ</w:t>
            </w:r>
          </w:p>
        </w:tc>
        <w:tc>
          <w:tcPr>
            <w:tcW w:type="dxa" w:w="4986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SPYON-OF-001</w:t>
            </w:r>
          </w:p>
        </w:tc>
      </w:tr>
      <w:tr>
        <w:tc>
          <w:tcPr>
            <w:tcW w:type="dxa" w:w="4986"/>
            <w:shd w:fill="F2F2F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Версия</w:t>
            </w:r>
          </w:p>
        </w:tc>
        <w:tc>
          <w:tcPr>
            <w:tcW w:type="dxa" w:w="4986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4986"/>
            <w:shd w:fill="F2F2F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Дата редакции</w:t>
            </w:r>
          </w:p>
        </w:tc>
        <w:tc>
          <w:tcPr>
            <w:tcW w:type="dxa" w:w="4986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27 августа 2026 года</w:t>
            </w:r>
          </w:p>
        </w:tc>
      </w:tr>
      <w:tr>
        <w:tc>
          <w:tcPr>
            <w:tcW w:type="dxa" w:w="4986"/>
            <w:shd w:fill="F2F2F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Статус</w:t>
            </w:r>
          </w:p>
        </w:tc>
        <w:tc>
          <w:tcPr>
            <w:tcW w:type="dxa" w:w="4986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Проект для согласования</w:t>
            </w:r>
          </w:p>
        </w:tc>
      </w:tr>
      <w:tr>
        <w:tc>
          <w:tcPr>
            <w:tcW w:type="dxa" w:w="4986"/>
            <w:shd w:fill="F2F2F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Адрес публикации PDF после утверждения</w:t>
            </w:r>
          </w:p>
        </w:tc>
        <w:tc>
          <w:tcPr>
            <w:tcW w:type="dxa" w:w="4986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https://spyon.kz/contract.pdf</w:t>
            </w:r>
          </w:p>
        </w:tc>
      </w:tr>
    </w:tbl>
    <w:p/>
    <w:p>
      <w:pPr>
        <w:pStyle w:val="LegalSmall"/>
        <w:jc w:val="center"/>
      </w:pPr>
      <w:r>
        <w:rPr>
          <w:rFonts w:ascii="Times New Roman" w:hAnsi="Times New Roman" w:eastAsia="Times New Roman"/>
          <w:i/>
          <w:color w:val="666666"/>
          <w:sz w:val="18"/>
        </w:rPr>
        <w:t>Редакция предназначена для внутреннего согласования перед публикацией. После утверждения статус проекта удаляется без изменения номера и версии документа.</w:t>
      </w:r>
    </w:p>
    <w:p>
      <w:r>
        <w:br w:type="page"/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Товарищество с ограниченной ответственностью «ITP Mining», БИН 161240002661, именуемое далее «Исполнитель», публикует настоящую Публичную оферту (далее — «Оферта») о заключении договора предоставления доступа к программному сервису Spyon и оказания сопутствующих услуг. Оферта адресована юридическим лицам, индивидуальным предпринимателям и их уполномоченным представителям, использующим Spyon в предпринимательской или профессиональной деятельности.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Оферта не предназначена для приобретения услуг физическими лицами исключительно для личных, семейных или бытовых нужд. Если Исполнитель начнет предоставлять Spyon в таком режиме, соответствующие условия должны быть отдельно приведены в соответствие с обязательными нормами законодательства о защите прав потребителей.</w:t>
      </w:r>
    </w:p>
    <w:p>
      <w:pPr>
        <w:pStyle w:val="Heading1"/>
      </w:pPr>
      <w:r>
        <w:t>1. Термины и область применения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1.1. «Spyon» — программный сервис мониторинга, анализа, сопоставления и управления данными о товарах, ценах, предложениях и иных параметрах цифровых торговых площадок, доступный через интернет-интерфейс и иные поддерживаемые Исполнителем каналы.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1.2. «Заказчик» — юридическое лицо или индивидуальный предприниматель, от имени которого Пользователь принимает настоящую Оферту и использует Spyon.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1.3. «Пользователь» — физическое лицо, авторизованное Заказчиком на работу в Spyon.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1.4. «Тариф» — опубликованный в интерфейсе Spyon набор функций, лимитов, срока и цены доступа. Выбранный Заказчиком Тариф, период оплаты, дополнительные лимиты и сумма счета являются частью договора в соответствующем периоде.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1.5. «Дополнительные позиции» / «дополнительный лимит» — платное увеличение лимита позиций или иной квоты в пределах условий выбранного Тарифа.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1.6. «Маркетплейс» — независимый сторонний интернет-сервис, торговая площадка, сайт, API или иной внешний источник данных, не принадлежащий Исполнителю, если прямо не указано иное.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1.7. «Акцепт» — полное и безоговорочное принятие Оферты способом, предусмотренным разделом 2.</w:t>
      </w:r>
    </w:p>
    <w:p>
      <w:pPr>
        <w:pStyle w:val="Heading1"/>
      </w:pPr>
      <w:r>
        <w:t>2. Порядок заключения договора и электронный акцепт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2.1. Оферта является публичным предложением заключить договор на изложенных условиях. Договор заключается в электронной форме и не требует подписания отдельного бумажного экземпляра, если иное не согласовано Сторонами индивидуально.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2.2. Акцепт совершается уполномоченным представителем Заказчика путем одновременного: (a) заполнения регистрационных данных; (b) установки обязательной отметки о принятии Оферты; и (c) отправки регистрационной формы / подтверждения действия в интерфейсе Spyon. Оплата счета и фактическое использование сервиса дополнительно подтверждают принятие условий в соответствующей части.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2.3. Рекомендуемая обязательная формулировка отметки в интерфейсе: «Я подтверждаю, что уполномочен(а) действовать от имени указанной компании, ознакомился(ась) с Публичной офертой Spyon и безоговорочно принимаю ее условия».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2.4. Пользователь заверяет Исполнителя, что обладает необходимыми полномочиями действовать от имени Заказчика. Риск действий лица, получившего доступ к корпоративной учетной записи или указанному Заказчиком email вследствие нарушения Заказчиком требований безопасности, несет Заказчик, если иное не установлено законодательством или если компрометация произошла по вине Исполнителя.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2.5. Для доказуемости акцепта Исполнитель вправе сохранять: идентификатор Заказчика и Пользователя, email, наименование/БИН Заказчика, дату и время акцепта, номер и версию документа, контрольную сумму (hash) редакции, точный текст отметки, IP-адрес, user-agent и язык документа. Такая запись является частью электронного журнала юридически значимых событий.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2.6. Актуальная редакция Оферты публикуется на сайте https://spyon.kz/. PDF-версия настоящего документа предусмотрена по адресу https://spyon.kz/contract.pdf. Версия, акцептованная Заказчиком, должна сохраняться в неизменяемом виде и быть доступной для последующего воспроизведения.</w:t>
      </w:r>
    </w:p>
    <w:p>
      <w:pPr>
        <w:pStyle w:val="Heading1"/>
      </w:pPr>
      <w:r>
        <w:t>3. Предмет договора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3.1. Исполнитель предоставляет Заказчику удаленный доступ к Spyon в пределах выбранного и оплаченного либо пробного периода, а также оказывает сопутствующие технические и информационно-аналитические услуги, доступные в интерфейсе.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3.2. Spyon является инструментом автоматизации и аналитики. Исполнитель не принимает за Заказчика коммерческие, ценовые, закупочные, кадровые, юридические или иные управленческие решения и не гарантирует достижение конкретного объема продаж, прибыли, позиции в выдаче Маркетплейса либо иного коммерческого результата.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3.3. Конкретный состав функций может отличаться по Тарифам, Маркетплейсам и технической доступности внешних источников. Описание функций в интерфейсе, счете и документации применяется совместно с настоящей Офертой.</w:t>
      </w:r>
    </w:p>
    <w:p>
      <w:pPr>
        <w:pStyle w:val="Heading1"/>
      </w:pPr>
      <w:r>
        <w:t>4. Регистрация, учетные записи и безопасность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Заказчик предоставляет достоверные регистрационные и контактные данные и поддерживает их актуальность.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Заказчик назначает Пользователей и самостоятельно отвечает за предоставленные им права доступа.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Учетные данные являются персональными для конкретного Пользователя; передача пароля третьим лицам не допускается.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Заказчик обязан незамедлительно уведомить Исполнителя о подозрении на компрометацию учетной записи.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Исполнитель вправе временно заблокировать учетную запись при признаках несанкционированного доступа, автоматизированного злоупотребления, угрозы безопасности или нарушения закона.</w:t>
      </w:r>
    </w:p>
    <w:p>
      <w:pPr>
        <w:pStyle w:val="Heading1"/>
      </w:pPr>
      <w:r>
        <w:t>5. Тарифы, пробный период, счета и оплата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5.1. Актуальные Тарифы, цены, валюта, лимиты и доступные периоды отображаются до подтверждения выбора. Цена конкретного периода фиксируется в сформированном счете, если иное прямо не указано в интерфейсе.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5.2. НДС и иные обязательные платежи отражаются в счете и первичных документах в соответствии с применимым законодательством и налоговым статусом Исполнителя.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5.3. Пробный период (Trial), если предоставляется, предназначен для ознакомления, предоставляется однократно одному Заказчику и может иметь сокращенные функции/лимиты. Пробный период не является оплаченной услугой и не создает обязательства Исполнителя поддерживать его бессрочно.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5.4. До фактического подтверждения оплаты Исполнителем выбранный платный Тариф считается неоплаченным независимо от того, сформирован ли счет и загружен ли Заказчиком платежный документ. Заказчик вправе изменить такой Тариф. При смене ранее выставленный неоплаченный счет отменяется, а платежный документ, находящийся на проверке, снимается с проверки; история операций сохраняется.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5.5. Если текущий Тариф уже оплачен и активен, его оплаченный период не прекращается вследствие выбора другого Тарифа. Новый оплаченный Тариф начинает действовать после окончания текущего оплаченного периода, если иное прямо не согласовано в интерфейсе или индивидуальном договоре.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5.6. Повторный выбор того же активного Тарифа может использоваться как продление. Новый оплаченный период начинается после окончания текущего периода, если интерфейс не предусматривает иной вариант.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5.7. Загрузка платежного документа не является безусловным подтверждением оплаты. Оплата считается подтвержденной после подтверждения Исполнителем факта поступления денежных средств либо иного предусмотренного Исполнителем подтверждения.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5.8. Доступ к платному периоду активируется после подтверждения оплаты. При задержке межбанковского перевода, ошибке назначения платежа или необходимости идентификации платежа Исполнитель вправе запросить уточняющие сведения и активировать доступ после установления факта оплаты.</w:t>
      </w:r>
    </w:p>
    <w:p>
      <w:pPr>
        <w:pStyle w:val="Heading1"/>
      </w:pPr>
      <w:r>
        <w:t>6. Дополнительные лимиты и позиции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6.1. При наличии соответствующей функции Заказчик может приобрести дополнительные позиции/лимиты для конкретного Маркетплейса или иного параметра.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6.2. До оплаты интерфейс должен показывать вид дополнительного лимита, количество, применимый Маркетплейс, базовую цену, период действия и итоговую сумму. Если применяется пропорциональный расчет, Заказчику показывается принцип расчета.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6.3. Дополнительный лимит не действует дольше основного оплаченного Тарифа, к которому он относится, если иное прямо не указано при покупке.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6.4. Дополнительный лимит активируется после подтверждения оплаты Исполнителем. Отдельная ручная процедура подтверждения такого лимита не требуется, если она не предусмотрена специальными условиями конкретного продукта.</w:t>
      </w:r>
    </w:p>
    <w:p>
      <w:pPr>
        <w:pStyle w:val="Heading1"/>
      </w:pPr>
      <w:r>
        <w:t>7. Маркетплейсы и внешние источники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7.1. Spyon взаимодействует с независимыми Маркетплейсами и внешними источниками. Исполнитель не является владельцем или представителем соответствующих Маркетплейсов и не контролирует их правила, интерфейсы, API, антибот-механизмы, лимиты запросов, географические ограничения, доступность сайтов и качество исходных данных.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7.2. Подключение конкретного магазина может требовать отдельной технической проверки/подтверждения. Такая проверка относится исключительно к конкретному подключению Маркетплейса и не является подтверждением регистрации Заказчика, его Тарифа или оплаты.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7.3. Исполнитель вправе временно ограничить, изменить способ работы или приостановить конкретную интеграцию, если Маркетплейс изменил технические условия, ввел новые ограничения, прекратил доступ к данным либо действия интеграции могут нарушать закон, права третьих лиц или устойчивость сервиса.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7.4. Цены, карточки, остатки, рейтинги, позиции и иные сведения, полученные из внешних источников, могут изменяться между моментом получения данных и моментом их просмотра Заказчиком. Исполнитель принимает разумные меры для корректной обработки полученных данных, но не гарантирует их абсолютную полноту, неизменность и совпадение с интерфейсом Маркетплейса в каждую секунду.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7.5. Ошибка, блокировка, недоступность или изменение Маркетплейса/внешнего API не считается нарушением Исполнителя само по себе. Исполнитель отвечает за собственную часть сервиса и предпринимает разумные технические меры для адаптации интеграции, если такая адаптация технически и юридически возможна.</w:t>
      </w:r>
    </w:p>
    <w:p>
      <w:pPr>
        <w:pStyle w:val="Heading1"/>
      </w:pPr>
      <w:r>
        <w:t>8. Доступность, технические работы и устранение неисправностей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8.1. Если отдельный SLA не заключен, фиксированный процент доступности Spyon не гарантируется. Исполнитель принимает коммерчески разумные меры для стабильной работы сервиса и защиты данных.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8.2. Исполнитель вправе проводить плановые, аварийные и профилактические работы. О плановых работах Исполнитель по возможности уведомляет заранее через интерфейс или email. Срочные работы, необходимые для безопасности, предотвращения потери данных или адаптации к внешним изменениям, могут проводиться без предварительного уведомления.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8.3. Обращения в поддержку принимаются через интерфейс Spyon и/или по адресу corp@itpmining.kz. Обработка осуществляется в рабочие дни Республики Казахстан. Для корректной диагностики Заказчик предоставляет описание, время возникновения, скриншоты/логи и шаги воспроизведения, если это возможно.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8.4. Для критической воспроизводимой неисправности собственной инфраструктуры Spyon, полностью блокирующей доступ к сервису для Заказчика, Исполнитель начинает диагностику не позднее следующего рабочего дня и прикладывает разумные усилия к восстановлению в ориентировочный срок до 3 рабочих дней. Для некритических ошибок и отдельных функций ориентировочный срок устранения — до 10 рабочих дней. Эти сроки не являются отдельным SLA и могут быть разумно продлены, если исправление зависит от Маркетплейса, оператора связи, банка, браузера, внешнего провайдера, поставки обновления или иных обстоятельств вне разумного контроля Исполнителя.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8.5. Если полная недоступность Spyon произошла исключительно по вине Исполнителя и непрерывно продолжалась более 72 часов, Заказчик вправе направить обращение о продлении оплаченного периода на количество полных календарных дней подтвержденной недоступности. Продление является основным сервисным способом компенсации, если иное не предусмотрено обязательными нормами закона или индивидуальным договором.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8.6. Если выявленная неисправность является устранимой и не связана с умышленным нарушением со стороны Исполнителя, Заказчик до предъявления требования о досрочном прекращении договора или возмещении убытков по причине такой неисправности направляет Исполнителю уведомление и предоставляет разумный срок для устранения либо предоставления технически обоснованного плана исправления. Ориентировочно такой срок составляет до 10 рабочих дней с даты получения достаточной информации для воспроизведения проблемы, если иной срок не обусловлен критичностью, обязательными нормами законодательства или зависимостью от третьих лиц. Настоящий пункт не ограничивает права Заказчика в случаях, когда такие права не могут быть ограничены договором.</w:t>
      </w:r>
    </w:p>
    <w:p>
      <w:pPr>
        <w:pStyle w:val="Heading1"/>
      </w:pPr>
      <w:r>
        <w:t>9. Права и обязанности Заказчика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своевременно оплачивать выбранные Тарифы и дополнительные лимиты;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использовать Spyon законно и только в рамках предоставленных прав;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обеспечивать законность передаваемых данных, материалов и учетных записей;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не предпринимать попытки обхода ограничений, вмешательства в инфраструктуру, декомпиляции, несанкционированного сканирования или эксплуатации уязвимостей;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не использовать Spyon для нарушения прав Маркетплейсов, правообладателей, субъектов персональных данных или иных третьих лиц;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своевременно сообщать об ошибках и инцидентах, способных повлиять на безопасность или целостность данных.</w:t>
      </w:r>
    </w:p>
    <w:p>
      <w:pPr>
        <w:pStyle w:val="Heading1"/>
      </w:pPr>
      <w:r>
        <w:t>10. Права и обязанности Исполнителя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предоставлять доступ в объеме выбранного Тарифа и оплаченного периода;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принимать разумные организационные и технические меры защиты сервиса и данных;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обновлять, развивать и оптимизировать Spyon, сохраняя существенный объем уже оплаченной функциональности, кроме случаев, обусловленных законом, безопасностью либо изменениями внешних Маркетплейсов;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временно ограничивать отдельные функции или доступ при угрозе безопасности, нарушении настоящей Оферты, существенной просрочке оплаты, незаконной активности либо обязательном требовании государственного органа;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color w:val="000000"/>
          <w:sz w:val="22"/>
        </w:rPr>
        <w:t>привлекать работников и подрядчиков при условии соблюдения конфиденциальности и требований к защите данных.</w:t>
      </w:r>
    </w:p>
    <w:p>
      <w:pPr>
        <w:pStyle w:val="Heading1"/>
      </w:pPr>
      <w:r>
        <w:t>11. Интеллектуальная собственность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11.1. Исключительные права на Spyon, программный код, архитектуру, дизайн, базы служебных настроек, алгоритмы, документацию и иные элементы принадлежат Исполнителю и/или соответствующим правообладателям.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11.2. Заказчику предоставляется ограниченное, неисключительное, непередаваемое право использования Spyon в пределах срока и условий соответствующего Тарифа без передачи исходного кода и исключительных прав.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11.3. Заказчик сохраняет права на собственные данные и материалы. Для исполнения договора он предоставляет Исполнителю право технически обрабатывать такие данные в необходимом объеме, включая хранение, резервное копирование, преобразование форматов и отображение Пользователям Заказчика.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11.4. Обезличенная и агрегированная техническая статистика, не позволяющая идентифицировать Заказчика или физическое лицо, может использоваться для улучшения качества, производительности и безопасности Spyon.</w:t>
      </w:r>
    </w:p>
    <w:p>
      <w:pPr>
        <w:pStyle w:val="Heading1"/>
      </w:pPr>
      <w:r>
        <w:t>12. Конфиденциальность и персональные данные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12.1. Стороны обязуются сохранять конфиденциальность полученной друг от друга информации ограниченного доступа и использовать ее только для исполнения договора, если иное не предусмотрено законом или письменным соглашением.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12.2. Порядок обработки персональных данных Пользователей регулируется Политикой конфиденциальности и Согласием Spyon, опубликованными по адресу https://spyon.kz/politics.pdf.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12.3. Заказчик несет ответственность за наличие законного основания для передачи Исполнителю персональных данных своих работников, представителей и иных лиц, если такие данные загружаются Заказчиком в Spyon.</w:t>
      </w:r>
    </w:p>
    <w:p>
      <w:pPr>
        <w:pStyle w:val="Heading1"/>
      </w:pPr>
      <w:r>
        <w:t>13. Гарантии и ограничения результата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13.1. Исполнитель гарантирует наличие у него прав на предоставление доступа к Spyon и обязуется оказывать услуги добросовестно и профессионально в объеме настоящей Оферты.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13.2. Spyon не является юридической, финансовой, аудиторской, налоговой или инвестиционной консультацией. Любые аналитические показатели требуют самостоятельной оценки Заказчиком.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13.3. Исполнитель не гарантирует отсутствие всех программных ошибок, поскольку сложное программное обеспечение и внешние интеграции объективно могут содержать дефекты. Выявление дефекта само по себе не является существенным нарушением договора, если Исполнитель принимает разумные меры по его диагностике и устранению в порядке раздела 8.</w:t>
      </w:r>
    </w:p>
    <w:p>
      <w:pPr>
        <w:pStyle w:val="Heading1"/>
      </w:pPr>
      <w:r>
        <w:t>14. Ответственность Сторон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14.1. Стороны несут ответственность в соответствии с законодательством Республики Казахстан и настоящей Офертой.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14.2. В пределах, допустимых законодательством, Исполнитель не возмещает упущенную выгоду, косвенные, последующие или репутационные потери, потери от решений Заказчика, основанных на данных внешних Маркетплейсов, а также убытки, возникшие из-за действий Пользователей Заказчика, недостоверных исходных данных, отказов связи, банков, Маркетплейсов и иных третьих лиц.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14.3. Совокупная договорная ответственность Исполнителя по требованиям, связанным с одним событием или серией взаимосвязанных событий, в пределах, разрешенных законом, ограничивается суммой фактически уплаченной Заказчиком Исполнителю за Spyon за три календарных месяца, непосредственно предшествующих событию, послужившему основанием требования. Ограничение не применяется к умышленному нарушению и иным случаям, в которых ограничение ответственности запрещено законодательством Республики Казахстан.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14.4. Заказчик отвечает за действия своих Пользователей, незаконную загрузку/использование данных, нарушение прав третьих лиц и использование Spyon способом, противоречащим настоящей Оферте или законодательству.</w:t>
      </w:r>
    </w:p>
    <w:p>
      <w:pPr>
        <w:pStyle w:val="Heading1"/>
      </w:pPr>
      <w:r>
        <w:t>15. Приостановление, прекращение и возвраты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15.1. Заказчик может прекратить использование Spyon в любое время. Прекращение использования само по себе не создает право на возврат стоимости уже начавшегося оплаченного периода, кроме случаев, прямо предусмотренных законом, настоящей Офертой или индивидуальным соглашением.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15.2. До начала будущего оплаченного периода Заказчик вправе обратиться к Исполнителю с запросом на отмену такого периода. Возможность и сумма возврата определяются с учетом факта поступления средств, уже понесенных комиссий/расходов, требований законодательства и того, был ли доступ фактически предоставлен.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15.3. Исполнитель вправе приостановить доступ при существенной просрочке оплаты, угрозе безопасности, нарушении закона, злоупотреблении сервисом, компрометации учетной записи или обязательном требовании уполномоченного органа.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15.4. При прекращении договора Исполнитель блокирует доступ Пользователей и далее хранит/удаляет данные в соответствии с Политикой конфиденциальности и обязательными сроками законодательства.</w:t>
      </w:r>
    </w:p>
    <w:p>
      <w:pPr>
        <w:pStyle w:val="Heading1"/>
      </w:pPr>
      <w:r>
        <w:t>16. Форс-мажор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Сторона освобождается от ответственности за неисполнение обязательства в той мере, в какой оно вызвано чрезвычайными и непредотвратимыми при данных условиях обстоятельствами вне разумного контроля Стороны, при наличии причинной связи и надлежащего уведомления другой Стороны. К таким обстоятельствам могут относиться масштабные аварии инфраструктуры, стихийные бедствия, военные действия, акты государственных органов, массовые сбои связи и иные обстоятельства, отвечающие требованиям законодательства Республики Казахстан. Само отсутствие денежных средств форс-мажором не является.</w:t>
      </w:r>
    </w:p>
    <w:p>
      <w:pPr>
        <w:pStyle w:val="Heading1"/>
      </w:pPr>
      <w:r>
        <w:t>17. Изменение Оферты и версионность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17.1. Исполнитель вправе обновлять Оферту. Каждая редакция имеет номер, версию и дату. Новая редакция применяется к новым акцептам с момента публикации, а к действующим отношениям — после доведения изменений до Заказчика и в пределах, допустимых законодательством и настоящим разделом.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17.2. Условия уже оплаченного периода, включая цену и существенный объем оплаченного доступа, не изменяются задним числом в ущерб Заказчику, кроме случаев, прямо требуемых законодательством или необходимых для устранения угрозы безопасности/незаконности.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17.3. При существенных изменениях Исполнитель вправе запросить повторный акцепт в интерфейсе. До повторного акцепта отдельные новые функции могут быть недоступны, если их предоставление требует принятия обновленных условий.</w:t>
      </w:r>
    </w:p>
    <w:p>
      <w:pPr>
        <w:pStyle w:val="Heading1"/>
      </w:pPr>
      <w:r>
        <w:t>18. Уведомления и юридически значимые сообщения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18.1. Юридически значимые сообщения могут направляться через интерфейс Spyon и на email, указанный Заказчиком. Заказчик обязан поддерживать контактные данные актуальными.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18.2. Сообщения Исполнителю по юридическим вопросам, претензиям и вопросам обработки данных направляются на corp@itpmining.kz, если иной адрес не указан в интерфейсе или индивидуальном документе.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18.3. Сервисные уведомления о безопасности, оплате, изменении статуса подключения, окончании Тарифа и иных событиях исполнения договора не являются маркетинговой рассылкой. Маркетинговые сообщения при их использовании должны иметь отдельное законное основание/согласие.</w:t>
      </w:r>
    </w:p>
    <w:p>
      <w:pPr>
        <w:pStyle w:val="Heading1"/>
      </w:pPr>
      <w:r>
        <w:t>19. Применимое право и споры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19.1. К договору применяется право Республики Казахстан.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19.2. До обращения в суд Сторона направляет другой Стороне письменную претензию. Срок рассмотрения претензии — 15 рабочих дней со дня ее получения, если характер вопроса не требует объективно большего срока для получения документов или технического заключения; о таком продлении Сторона уведомляет заявителя.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19.3. При недостижении соглашения спор рассматривается судом Республики Казахстан по правилам подсудности, установленным законодательством Республики Казахстан, если Стороны не заключили отдельное арбитражное или иное соглашение о разрешении споров.</w:t>
      </w:r>
    </w:p>
    <w:p>
      <w:pPr>
        <w:pStyle w:val="Heading1"/>
      </w:pPr>
      <w:r>
        <w:t>20. Заключительные положения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20.1. Недействительность отдельного положения не влечет недействительность остальных положений договора, если договор может исполняться без такого положения.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20.2. Индивидуальный письменный договор, подписанный Сторонами, имеет приоритет над Офертой в части прямых противоречий.</w:t>
      </w:r>
    </w:p>
    <w:p>
      <w:pPr>
        <w:keepLines w:val="0"/>
      </w:pPr>
      <w:r>
        <w:rPr>
          <w:rFonts w:ascii="Times New Roman" w:hAnsi="Times New Roman" w:eastAsia="Times New Roman"/>
          <w:color w:val="000000"/>
          <w:sz w:val="22"/>
        </w:rPr>
        <w:t>20.3. Заголовки используются только для удобства. Электронные журналы, счета, подтверждения оплаты, выбранные Тарифы и зафиксированные версии документов могут использоваться для подтверждения содержания договорных отношений.</w:t>
      </w:r>
    </w:p>
    <w:p>
      <w:r>
        <w:br w:type="page"/>
      </w:r>
    </w:p>
    <w:p>
      <w:pPr>
        <w:pStyle w:val="Heading1"/>
      </w:pPr>
      <w:r>
        <w:t>Реквизиты Исполнителя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Исполнитель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Товарищество с ограниченной ответственностью «ITP Mining»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БИН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161240002661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Юридический адрес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Республика Казахстан, г. Астана, пр. Б. Момышулы, д. 12/А, секция «В», офис 305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Фактический адрес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Республика Казахстан, индекс 010010, г. Астана, пр. Б. Момышулы, д. 12/А, офис 305 (БЦ «Меруерт», секция «В»)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Телефон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+7 (7172) 702 598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Email для юридически значимых уведомлений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corp@itpmining.kz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Общий email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info@itpmining.kz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Банк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АО «Kaspi Bank», г. Астана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БИК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CASPKZKA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ИИК / IBAN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KZ20722S000001855383 (KZT)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Кбе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17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Свидетельство по НДС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Серия 62001, № 1005454 от 01.01.2017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Генеральный директор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Тулубаев Дмитрий Сергеевич</w:t>
            </w:r>
          </w:p>
        </w:tc>
      </w:tr>
      <w:tr>
        <w:tc>
          <w:tcPr>
            <w:tcW w:type="dxa" w:w="2835"/>
            <w:shd w:fill="F2F2F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Сайт сервиса</w:t>
            </w:r>
          </w:p>
        </w:tc>
        <w:tc>
          <w:tcPr>
            <w:tcW w:type="dxa" w:w="5669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https://spyon.kz/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color w:val="666666"/>
        <w:sz w:val="16"/>
      </w:rPr>
      <w:t xml:space="preserve">SPYON-OF-001 | версия 1.0 | проект для согласования | стр. </w:t>
    </w:r>
    <w:r>
      <w:rPr>
        <w:rFonts w:ascii="Times New Roman" w:hAnsi="Times New Roman" w:eastAsia="Times New Roman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BFBFBF"/>
      </w:pBdr>
    </w:pPr>
    <w:r>
      <w:drawing>
        <wp:inline xmlns:a="http://schemas.openxmlformats.org/drawingml/2006/main" xmlns:pic="http://schemas.openxmlformats.org/drawingml/2006/picture">
          <wp:extent cx="827999" cy="25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pyon_logo_mon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7999" cy="25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/>
        <w:color w:val="666666"/>
        <w:sz w:val="17"/>
      </w:rPr>
      <w:t xml:space="preserve">    Публичная оферта    |    SPYON-OF-001    |    версия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Small">
    <w:name w:val="Legal Small"/>
    <w:pPr>
      <w:spacing w:after="60" w:line="252" w:lineRule="auto"/>
    </w:pPr>
    <w:rPr>
      <w:rFonts w:ascii="Times New Roman" w:hAnsi="Times New Roman" w:eastAsia="Times New Roman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