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00A8E0"/>
          </w:tcPr>
          <w:p>
            <w:pPr>
              <w:spacing w:before="80" w:after="80"/>
            </w:pPr>
            <w:r>
              <w:rPr>
                <w:rFonts w:eastAsia="Noto Sans JP" w:ascii="Avenir Next" w:hAnsi="Avenir Next"/>
                <w:rFonts w:ascii="Noto Sans JP" w:hAnsi="Noto Sans JP"/>
                <w:b w:val="0"/>
                <w:color w:val="FFFFFF"/>
                <w:sz w:val="12"/>
              </w:rPr>
              <w:t xml:space="preserve"> </w:t>
            </w:r>
          </w:p>
        </w:tc>
      </w:tr>
    </w:tbl>
    <w:p/>
    <w:p>
      <w:pPr>
        <w:spacing w:before="400" w:after="160"/>
        <w:jc w:val="left"/>
      </w:pPr>
      <w:r>
        <w:rPr>
          <w:rFonts w:eastAsia="Noto Sans JP" w:ascii="Avenir Next" w:hAnsi="Avenir Next"/>
          <w:rFonts w:ascii="Noto Sans JP" w:hAnsi="Noto Sans JP"/>
          <w:b/>
          <w:color w:val="00A8E0"/>
          <w:sz w:val="56"/>
        </w:rPr>
        <w:t>薬剤抵抗性てんかんに、</w:t>
        <w:br/>
        <w:t>より確かな選択を。</w:t>
      </w:r>
    </w:p>
    <w:p>
      <w:pPr>
        <w:spacing w:before="80" w:after="120"/>
        <w:jc w:val="left"/>
      </w:pPr>
      <w:r>
        <w:rPr>
          <w:rFonts w:eastAsia="Noto Sans JP" w:ascii="Avenir Next" w:hAnsi="Avenir Next"/>
          <w:rFonts w:ascii="Noto Sans JP" w:hAnsi="Noto Sans JP"/>
          <w:b w:val="0"/>
          <w:color w:val="003087"/>
          <w:sz w:val="26"/>
        </w:rPr>
        <w:t>視床前核DBS（ANT-DBS）と迷走神経刺激療法（VNS）の有効性比較</w:t>
      </w:r>
    </w:p>
    <w:p>
      <w:pPr>
        <w:spacing w:after="80"/>
      </w:pPr>
      <w:r>
        <w:rPr>
          <w:rFonts w:eastAsia="Noto Sans JP" w:ascii="Avenir Next" w:hAnsi="Avenir Next"/>
          <w:rFonts w:ascii="Noto Sans JP" w:hAnsi="Noto Sans JP"/>
          <w:b w:val="0"/>
          <w:color w:val="007AB3"/>
          <w:sz w:val="18"/>
        </w:rPr>
        <w:t>Zhu J, et al. Journal of Clinical Neuroscience 90 (2021) 112–117</w:t>
      </w:r>
    </w:p>
    <w:p/>
    <w:tbl>
      <w:tblPr>
        <w:tblW w:type="auto" w:w="0"/>
        <w:jc w:val="center"/>
        <w:tblLook w:firstColumn="1" w:firstRow="1" w:lastColumn="0" w:lastRow="0" w:noHBand="0" w:noVBand="1" w:val="04A0"/>
      </w:tblPr>
      <w:tblGrid>
        <w:gridCol w:w="3213"/>
        <w:gridCol w:w="3213"/>
        <w:gridCol w:w="3213"/>
      </w:tblGrid>
      <w:tr>
        <w:tc>
          <w:tcPr>
            <w:tcW w:type="dxa" w:w="3118"/>
            <w:shd w:val="clear" w:color="auto" w:fill="003087"/>
          </w:tcPr>
          <w:p>
            <w:pPr>
              <w:spacing w:before="200"/>
              <w:jc w:val="center"/>
            </w:pPr>
            <w:r>
              <w:rPr>
                <w:rFonts w:eastAsia="Noto Sans JP" w:ascii="Avenir Next" w:hAnsi="Avenir Next"/>
                <w:rFonts w:ascii="Noto Sans JP" w:hAnsi="Noto Sans JP"/>
                <w:b/>
                <w:color w:val="00A8E0"/>
                <w:sz w:val="44"/>
              </w:rPr>
              <w:t>65.28%</w:t>
            </w:r>
          </w:p>
          <w:p>
            <w:pPr>
              <w:spacing w:after="200"/>
              <w:jc w:val="center"/>
            </w:pPr>
            <w:r>
              <w:rPr>
                <w:rFonts w:eastAsia="Noto Sans JP" w:ascii="Avenir Next" w:hAnsi="Avenir Next"/>
                <w:rFonts w:ascii="Noto Sans JP" w:hAnsi="Noto Sans JP"/>
                <w:b w:val="0"/>
                <w:color w:val="FFFFFF"/>
                <w:sz w:val="18"/>
              </w:rPr>
              <w:t>ANT-DBS</w:t>
              <w:br/>
              <w:t>発作減少率</w:t>
              <w:br/>
              <w:t>（術後12ヵ月）</w:t>
            </w:r>
          </w:p>
        </w:tc>
        <w:tc>
          <w:tcPr>
            <w:tcW w:type="dxa" w:w="3118"/>
            <w:shd w:val="clear" w:color="auto" w:fill="003087"/>
          </w:tcPr>
          <w:p>
            <w:pPr>
              <w:spacing w:before="200"/>
              <w:jc w:val="center"/>
            </w:pPr>
            <w:r>
              <w:rPr>
                <w:rFonts w:eastAsia="Noto Sans JP" w:ascii="Avenir Next" w:hAnsi="Avenir Next"/>
                <w:rFonts w:ascii="Noto Sans JP" w:hAnsi="Noto Sans JP"/>
                <w:b/>
                <w:color w:val="00A8E0"/>
                <w:sz w:val="44"/>
              </w:rPr>
              <w:t>72.22%</w:t>
            </w:r>
          </w:p>
          <w:p>
            <w:pPr>
              <w:spacing w:after="200"/>
              <w:jc w:val="center"/>
            </w:pPr>
            <w:r>
              <w:rPr>
                <w:rFonts w:eastAsia="Noto Sans JP" w:ascii="Avenir Next" w:hAnsi="Avenir Next"/>
                <w:rFonts w:ascii="Noto Sans JP" w:hAnsi="Noto Sans JP"/>
                <w:b w:val="0"/>
                <w:color w:val="FFFFFF"/>
                <w:sz w:val="18"/>
              </w:rPr>
              <w:t>ANT-DBS</w:t>
              <w:br/>
              <w:t>レスポンダー率</w:t>
              <w:br/>
              <w:t>（術後12ヵ月）</w:t>
            </w:r>
          </w:p>
        </w:tc>
        <w:tc>
          <w:tcPr>
            <w:tcW w:type="dxa" w:w="3118"/>
            <w:shd w:val="clear" w:color="auto" w:fill="003087"/>
          </w:tcPr>
          <w:p>
            <w:pPr>
              <w:spacing w:before="200"/>
              <w:jc w:val="center"/>
            </w:pPr>
            <w:r>
              <w:rPr>
                <w:rFonts w:eastAsia="Noto Sans JP" w:ascii="Avenir Next" w:hAnsi="Avenir Next"/>
                <w:rFonts w:ascii="Noto Sans JP" w:hAnsi="Noto Sans JP"/>
                <w:b/>
                <w:color w:val="00A8E0"/>
                <w:sz w:val="44"/>
              </w:rPr>
              <w:t>22.22%</w:t>
            </w:r>
          </w:p>
          <w:p>
            <w:pPr>
              <w:spacing w:after="200"/>
              <w:jc w:val="center"/>
            </w:pPr>
            <w:r>
              <w:rPr>
                <w:rFonts w:eastAsia="Noto Sans JP" w:ascii="Avenir Next" w:hAnsi="Avenir Next"/>
                <w:rFonts w:ascii="Noto Sans JP" w:hAnsi="Noto Sans JP"/>
                <w:b w:val="0"/>
                <w:color w:val="FFFFFF"/>
                <w:sz w:val="18"/>
              </w:rPr>
              <w:t>ANT-DBS</w:t>
              <w:br/>
              <w:t>発作消失率</w:t>
              <w:br/>
              <w:t>（術後12ヵ月）</w:t>
            </w:r>
          </w:p>
        </w:tc>
      </w:tr>
    </w:tbl>
    <w:p/>
    <w:p>
      <w:pPr>
        <w:jc w:val="right"/>
      </w:pPr>
      <w:r>
        <w:rPr>
          <w:rFonts w:eastAsia="Noto Sans JP" w:ascii="Avenir Next" w:hAnsi="Avenir Next"/>
          <w:rFonts w:ascii="Avenir Next" w:hAnsi="Avenir Next"/>
          <w:b w:val="0"/>
          <w:color w:val="003087"/>
          <w:sz w:val="20"/>
        </w:rPr>
        <w:t>Engineering the extraordinary</w:t>
      </w:r>
    </w:p>
    <w:p>
      <w:r>
        <w:br w:type="page"/>
      </w:r>
    </w:p>
    <w:tbl>
      <w:tblPr>
        <w:tblW w:type="auto" w:w="0"/>
        <w:jc w:val="left"/>
        <w:tblLook w:firstColumn="1" w:firstRow="1" w:lastColumn="0" w:lastRow="0" w:noHBand="0" w:noVBand="1" w:val="04A0"/>
      </w:tblPr>
      <w:tblGrid>
        <w:gridCol w:w="4819"/>
        <w:gridCol w:w="4819"/>
      </w:tblGrid>
      <w:tr>
        <w:tc>
          <w:tcPr>
            <w:tcW w:type="dxa" w:w="198"/>
            <w:shd w:val="clear" w:color="auto" w:fill="00A8E0"/>
          </w:tcPr>
          <w:p>
            <w:pPr>
              <w:spacing w:before="40" w:after="40"/>
            </w:pPr>
            <w:r>
              <w:rPr>
                <w:rFonts w:eastAsia="Noto Sans JP" w:ascii="Avenir Next" w:hAnsi="Avenir Next"/>
                <w:rFonts w:ascii="Noto Sans JP" w:hAnsi="Noto Sans JP"/>
                <w:b w:val="0"/>
                <w:sz w:val="12"/>
              </w:rPr>
              <w:t xml:space="preserve"> </w:t>
            </w:r>
          </w:p>
        </w:tc>
        <w:tc>
          <w:tcPr>
            <w:tcW w:type="dxa" w:w="4819"/>
          </w:tcPr>
          <w:p>
            <w:pPr>
              <w:spacing w:before="80" w:after="80"/>
            </w:pPr>
            <w:r>
              <w:rPr>
                <w:rFonts w:eastAsia="Noto Sans JP" w:ascii="Avenir Next" w:hAnsi="Avenir Next"/>
                <w:rFonts w:ascii="Noto Sans JP" w:hAnsi="Noto Sans JP"/>
                <w:b/>
                <w:color w:val="003087"/>
                <w:sz w:val="26"/>
              </w:rPr>
              <w:t>SECTION 1　疾患背景：今もコントロールできていない患者がいる</w:t>
            </w:r>
          </w:p>
        </w:tc>
      </w:tr>
    </w:tbl>
    <w:p>
      <w:pPr>
        <w:spacing w:after="80"/>
      </w:pPr>
    </w:p>
    <w:tbl>
      <w:tblPr>
        <w:tblW w:type="auto" w:w="0"/>
        <w:jc w:val="center"/>
        <w:tblLook w:firstColumn="1" w:firstRow="1" w:lastColumn="0" w:lastRow="0" w:noHBand="0" w:noVBand="1" w:val="04A0"/>
      </w:tblPr>
      <w:tblGrid>
        <w:gridCol w:w="9638"/>
      </w:tblGrid>
      <w:tr>
        <w:tc>
          <w:tcPr>
            <w:tcW w:type="dxa" w:w="9638"/>
            <w:shd w:val="clear" w:color="auto" w:fill="E8F5FF"/>
          </w:tcPr>
          <w:p>
            <w:pPr>
              <w:spacing w:before="200" w:after="200"/>
              <w:jc w:val="center"/>
            </w:pPr>
            <w:r>
              <w:rPr>
                <w:rFonts w:eastAsia="Noto Sans JP" w:ascii="Avenir Next" w:hAnsi="Avenir Next"/>
                <w:rFonts w:ascii="Noto Sans JP" w:hAnsi="Noto Sans JP"/>
                <w:b/>
                <w:color w:val="003087"/>
                <w:sz w:val="24"/>
              </w:rPr>
              <w:t>てんかん患者の約30%は、薬物療法では発作をコントロールできていません。</w:t>
            </w:r>
          </w:p>
        </w:tc>
      </w:tr>
    </w:tbl>
    <w:p/>
    <w:p>
      <w:pPr>
        <w:spacing w:after="120"/>
      </w:pPr>
      <w:r>
        <w:rPr>
          <w:rFonts w:eastAsia="Noto Sans JP" w:ascii="Avenir Next" w:hAnsi="Avenir Next"/>
          <w:rFonts w:ascii="Noto Sans JP" w:hAnsi="Noto Sans JP"/>
          <w:b w:val="0"/>
          <w:color w:val="1A1A2E"/>
          <w:sz w:val="20"/>
        </w:rPr>
        <w:t>世界に約7,000万人のてんかん患者が存在し、そのうち約3割が</w:t>
      </w:r>
      <w:r>
        <w:rPr>
          <w:rFonts w:eastAsia="Noto Sans JP" w:ascii="Avenir Next" w:hAnsi="Avenir Next"/>
          <w:rFonts w:ascii="Noto Sans JP" w:hAnsi="Noto Sans JP"/>
          <w:b/>
          <w:color w:val="003087"/>
          <w:sz w:val="20"/>
        </w:rPr>
        <w:t>薬剤抵抗性てんかん（DRE）</w:t>
      </w:r>
      <w:r>
        <w:rPr>
          <w:rFonts w:eastAsia="Noto Sans JP" w:ascii="Avenir Next" w:hAnsi="Avenir Next"/>
          <w:rFonts w:ascii="Noto Sans JP" w:hAnsi="Noto Sans JP"/>
          <w:b w:val="0"/>
          <w:color w:val="1A1A2E"/>
          <w:sz w:val="20"/>
        </w:rPr>
        <w:t>に分類されます。2剤以上の抗てんかん薬（AED）で適切に治療を行っても発作が持続するこれらの患者は、切除術の適応外であるか、手術後も発作が続くケースも少なくありません。</w:t>
      </w:r>
    </w:p>
    <w:p>
      <w:pPr>
        <w:spacing w:after="120"/>
      </w:pPr>
      <w:r>
        <w:rPr>
          <w:rFonts w:eastAsia="Noto Sans JP" w:ascii="Avenir Next" w:hAnsi="Avenir Next"/>
          <w:rFonts w:ascii="Noto Sans JP" w:hAnsi="Noto Sans JP"/>
          <w:b/>
          <w:color w:val="003087"/>
          <w:sz w:val="20"/>
        </w:rPr>
        <w:t>神経刺激療法は、薬物療法・切除術に次ぐ有力な選択肢です。</w:t>
      </w:r>
    </w:p>
    <w:tbl>
      <w:tblPr>
        <w:tblW w:type="auto" w:w="0"/>
        <w:jc w:val="center"/>
        <w:tblLook w:firstColumn="1" w:firstRow="1" w:lastColumn="0" w:lastRow="0" w:noHBand="0" w:noVBand="1" w:val="04A0"/>
      </w:tblPr>
      <w:tblGrid>
        <w:gridCol w:w="4819"/>
        <w:gridCol w:w="4819"/>
      </w:tblGrid>
      <w:tr>
        <w:tc>
          <w:tcPr>
            <w:tcW w:type="dxa" w:w="4819"/>
            <w:shd w:val="clear" w:color="auto" w:fill="003087"/>
          </w:tcPr>
          <w:p>
            <w:pPr>
              <w:spacing w:before="120" w:after="120"/>
              <w:jc w:val="center"/>
            </w:pPr>
            <w:r>
              <w:rPr>
                <w:rFonts w:eastAsia="Noto Sans JP" w:ascii="Avenir Next" w:hAnsi="Avenir Next"/>
                <w:rFonts w:ascii="Noto Sans JP" w:hAnsi="Noto Sans JP"/>
                <w:b/>
                <w:color w:val="FFFFFF"/>
                <w:sz w:val="20"/>
              </w:rPr>
              <w:t>VNS（迷走神経刺激療法）</w:t>
            </w:r>
          </w:p>
        </w:tc>
        <w:tc>
          <w:tcPr>
            <w:tcW w:type="dxa" w:w="4819"/>
            <w:shd w:val="clear" w:color="auto" w:fill="003087"/>
          </w:tcPr>
          <w:p>
            <w:pPr>
              <w:spacing w:before="120" w:after="120"/>
              <w:jc w:val="center"/>
            </w:pPr>
            <w:r>
              <w:rPr>
                <w:rFonts w:eastAsia="Noto Sans JP" w:ascii="Avenir Next" w:hAnsi="Avenir Next"/>
                <w:rFonts w:ascii="Noto Sans JP" w:hAnsi="Noto Sans JP"/>
                <w:b/>
                <w:color w:val="FFFFFF"/>
                <w:sz w:val="20"/>
              </w:rPr>
              <w:t>ANT-DBS（視床前核深部脳刺激療法）</w:t>
            </w:r>
          </w:p>
        </w:tc>
      </w:tr>
      <w:tr>
        <w:tc>
          <w:tcPr>
            <w:tcW w:type="dxa" w:w="4819"/>
            <w:shd w:val="clear" w:color="auto" w:fill="F5F7FA"/>
          </w:tcPr>
          <w:p>
            <w:pPr>
              <w:spacing w:before="160" w:after="160"/>
              <w:jc w:val="center"/>
            </w:pPr>
            <w:r>
              <w:rPr>
                <w:rFonts w:eastAsia="Noto Sans JP" w:ascii="Avenir Next" w:hAnsi="Avenir Next"/>
                <w:rFonts w:ascii="Noto Sans JP" w:hAnsi="Noto Sans JP"/>
                <w:b w:val="0"/>
                <w:color w:val="1A1A2E"/>
                <w:sz w:val="18"/>
              </w:rPr>
              <w:t>FDA承認：1997年（4歳以上）</w:t>
              <w:br/>
              <w:t>薬剤抵抗性てんかんの標準的神経刺激療法</w:t>
            </w:r>
          </w:p>
        </w:tc>
        <w:tc>
          <w:tcPr>
            <w:tcW w:type="dxa" w:w="4819"/>
            <w:shd w:val="clear" w:color="auto" w:fill="F5F7FA"/>
          </w:tcPr>
          <w:p>
            <w:pPr>
              <w:spacing w:before="160" w:after="160"/>
              <w:jc w:val="center"/>
            </w:pPr>
            <w:r>
              <w:rPr>
                <w:rFonts w:eastAsia="Noto Sans JP" w:ascii="Avenir Next" w:hAnsi="Avenir Next"/>
                <w:rFonts w:ascii="Noto Sans JP" w:hAnsi="Noto Sans JP"/>
                <w:b w:val="0"/>
                <w:color w:val="1A1A2E"/>
                <w:sz w:val="18"/>
              </w:rPr>
              <w:t>FDA承認：2018年（18歳以上）</w:t>
              <w:br/>
              <w:t>メドトロニック Activa™ システム使用</w:t>
            </w:r>
          </w:p>
        </w:tc>
      </w:tr>
    </w:tbl>
    <w:p/>
    <w:tbl>
      <w:tblPr>
        <w:tblW w:type="auto" w:w="0"/>
        <w:jc w:val="left"/>
        <w:tblLook w:firstColumn="1" w:firstRow="1" w:lastColumn="0" w:lastRow="0" w:noHBand="0" w:noVBand="1" w:val="04A0"/>
      </w:tblPr>
      <w:tblGrid>
        <w:gridCol w:w="4819"/>
        <w:gridCol w:w="4819"/>
      </w:tblGrid>
      <w:tr>
        <w:tc>
          <w:tcPr>
            <w:tcW w:type="dxa" w:w="198"/>
            <w:shd w:val="clear" w:color="auto" w:fill="00A8E0"/>
          </w:tcPr>
          <w:p>
            <w:pPr>
              <w:spacing w:before="40" w:after="40"/>
            </w:pPr>
            <w:r>
              <w:rPr>
                <w:rFonts w:eastAsia="Noto Sans JP" w:ascii="Avenir Next" w:hAnsi="Avenir Next"/>
                <w:rFonts w:ascii="Noto Sans JP" w:hAnsi="Noto Sans JP"/>
                <w:b w:val="0"/>
                <w:sz w:val="12"/>
              </w:rPr>
              <w:t xml:space="preserve"> </w:t>
            </w:r>
          </w:p>
        </w:tc>
        <w:tc>
          <w:tcPr>
            <w:tcW w:type="dxa" w:w="4819"/>
          </w:tcPr>
          <w:p>
            <w:pPr>
              <w:spacing w:before="80" w:after="80"/>
            </w:pPr>
            <w:r>
              <w:rPr>
                <w:rFonts w:eastAsia="Noto Sans JP" w:ascii="Avenir Next" w:hAnsi="Avenir Next"/>
                <w:rFonts w:ascii="Noto Sans JP" w:hAnsi="Noto Sans JP"/>
                <w:b/>
                <w:color w:val="003087"/>
                <w:sz w:val="26"/>
              </w:rPr>
              <w:t>SECTION 2　試験概要：同一チームによる厳格な単施設比較</w:t>
            </w:r>
          </w:p>
        </w:tc>
      </w:tr>
    </w:tbl>
    <w:p>
      <w:pPr>
        <w:spacing w:after="80"/>
      </w:pPr>
    </w:p>
    <w:p>
      <w:pPr>
        <w:spacing w:after="120"/>
      </w:pPr>
      <w:r>
        <w:rPr>
          <w:rFonts w:eastAsia="Noto Sans JP" w:ascii="Avenir Next" w:hAnsi="Avenir Next"/>
          <w:rFonts w:ascii="Noto Sans JP" w:hAnsi="Noto Sans JP"/>
          <w:b w:val="0"/>
          <w:color w:val="1A1A2E"/>
          <w:sz w:val="20"/>
        </w:rPr>
        <w:t>これまで異なる施設・異なる評価基準で行われてきたVNSとANT-DBSの比較を、同一施設・同一専門チームにより初めて実施した後ろ向き研究です。</w:t>
      </w:r>
    </w:p>
    <w:tbl>
      <w:tblPr>
        <w:tblW w:type="auto" w:w="0"/>
        <w:jc w:val="center"/>
        <w:tblLook w:firstColumn="1" w:firstRow="1" w:lastColumn="0" w:lastRow="0" w:noHBand="0" w:noVBand="1" w:val="04A0"/>
      </w:tblPr>
      <w:tblGrid>
        <w:gridCol w:w="4819"/>
        <w:gridCol w:w="4819"/>
      </w:tblGrid>
      <w:tr>
        <w:tc>
          <w:tcPr>
            <w:tcW w:type="dxa" w:w="4819"/>
            <w:shd w:val="clear" w:color="auto" w:fill="E8F5FF"/>
          </w:tcPr>
          <w:p>
            <w:pPr>
              <w:spacing w:before="100" w:after="100"/>
            </w:pPr>
            <w:r>
              <w:rPr>
                <w:rFonts w:eastAsia="Noto Sans JP" w:ascii="Avenir Next" w:hAnsi="Avenir Next"/>
                <w:rFonts w:ascii="Noto Sans JP" w:hAnsi="Noto Sans JP"/>
                <w:b/>
                <w:color w:val="003087"/>
                <w:sz w:val="18"/>
              </w:rPr>
              <w:t>試験デザイン</w:t>
            </w:r>
          </w:p>
        </w:tc>
        <w:tc>
          <w:tcPr>
            <w:tcW w:type="dxa" w:w="4819"/>
            <w:shd w:val="clear" w:color="auto" w:fill="F5F7FA"/>
          </w:tcPr>
          <w:p>
            <w:pPr>
              <w:spacing w:before="100" w:after="100"/>
            </w:pPr>
            <w:r>
              <w:rPr>
                <w:rFonts w:eastAsia="Noto Sans JP" w:ascii="Avenir Next" w:hAnsi="Avenir Next"/>
                <w:rFonts w:ascii="Noto Sans JP" w:hAnsi="Noto Sans JP"/>
                <w:b w:val="0"/>
                <w:color w:val="1A1A2E"/>
                <w:sz w:val="18"/>
              </w:rPr>
              <w:t>後ろ向き観察研究、単施設</w:t>
            </w:r>
          </w:p>
        </w:tc>
      </w:tr>
      <w:tr>
        <w:tc>
          <w:tcPr>
            <w:tcW w:type="dxa" w:w="4819"/>
            <w:shd w:val="clear" w:color="auto" w:fill="E8F5FF"/>
          </w:tcPr>
          <w:p>
            <w:pPr>
              <w:spacing w:before="100" w:after="100"/>
            </w:pPr>
            <w:r>
              <w:rPr>
                <w:rFonts w:eastAsia="Noto Sans JP" w:ascii="Avenir Next" w:hAnsi="Avenir Next"/>
                <w:rFonts w:ascii="Noto Sans JP" w:hAnsi="Noto Sans JP"/>
                <w:b/>
                <w:color w:val="003087"/>
                <w:sz w:val="18"/>
              </w:rPr>
              <w:t>施設</w:t>
            </w:r>
          </w:p>
        </w:tc>
        <w:tc>
          <w:tcPr>
            <w:tcW w:type="dxa" w:w="4819"/>
            <w:shd w:val="clear" w:color="auto" w:fill="FFFFFF"/>
          </w:tcPr>
          <w:p>
            <w:pPr>
              <w:spacing w:before="100" w:after="100"/>
            </w:pPr>
            <w:r>
              <w:rPr>
                <w:rFonts w:eastAsia="Noto Sans JP" w:ascii="Avenir Next" w:hAnsi="Avenir Next"/>
                <w:rFonts w:ascii="Noto Sans JP" w:hAnsi="Noto Sans JP"/>
                <w:b w:val="0"/>
                <w:color w:val="1A1A2E"/>
                <w:sz w:val="18"/>
              </w:rPr>
              <w:t>宣武医院 神経外科・機能神経外科センター（北京首都医科大学）</w:t>
            </w:r>
          </w:p>
        </w:tc>
      </w:tr>
      <w:tr>
        <w:tc>
          <w:tcPr>
            <w:tcW w:type="dxa" w:w="4819"/>
            <w:shd w:val="clear" w:color="auto" w:fill="E8F5FF"/>
          </w:tcPr>
          <w:p>
            <w:pPr>
              <w:spacing w:before="100" w:after="100"/>
            </w:pPr>
            <w:r>
              <w:rPr>
                <w:rFonts w:eastAsia="Noto Sans JP" w:ascii="Avenir Next" w:hAnsi="Avenir Next"/>
                <w:rFonts w:ascii="Noto Sans JP" w:hAnsi="Noto Sans JP"/>
                <w:b/>
                <w:color w:val="003087"/>
                <w:sz w:val="18"/>
              </w:rPr>
              <w:t>登録期間</w:t>
            </w:r>
          </w:p>
        </w:tc>
        <w:tc>
          <w:tcPr>
            <w:tcW w:type="dxa" w:w="4819"/>
            <w:shd w:val="clear" w:color="auto" w:fill="F5F7FA"/>
          </w:tcPr>
          <w:p>
            <w:pPr>
              <w:spacing w:before="100" w:after="100"/>
            </w:pPr>
            <w:r>
              <w:rPr>
                <w:rFonts w:eastAsia="Noto Sans JP" w:ascii="Avenir Next" w:hAnsi="Avenir Next"/>
                <w:rFonts w:ascii="Noto Sans JP" w:hAnsi="Noto Sans JP"/>
                <w:b w:val="0"/>
                <w:color w:val="1A1A2E"/>
                <w:sz w:val="18"/>
              </w:rPr>
              <w:t>2013年6月〜2018年7月</w:t>
            </w:r>
          </w:p>
        </w:tc>
      </w:tr>
      <w:tr>
        <w:tc>
          <w:tcPr>
            <w:tcW w:type="dxa" w:w="4819"/>
            <w:shd w:val="clear" w:color="auto" w:fill="E8F5FF"/>
          </w:tcPr>
          <w:p>
            <w:pPr>
              <w:spacing w:before="100" w:after="100"/>
            </w:pPr>
            <w:r>
              <w:rPr>
                <w:rFonts w:eastAsia="Noto Sans JP" w:ascii="Avenir Next" w:hAnsi="Avenir Next"/>
                <w:rFonts w:ascii="Noto Sans JP" w:hAnsi="Noto Sans JP"/>
                <w:b/>
                <w:color w:val="003087"/>
                <w:sz w:val="18"/>
              </w:rPr>
              <w:t>観察期間</w:t>
            </w:r>
          </w:p>
        </w:tc>
        <w:tc>
          <w:tcPr>
            <w:tcW w:type="dxa" w:w="4819"/>
            <w:shd w:val="clear" w:color="auto" w:fill="FFFFFF"/>
          </w:tcPr>
          <w:p>
            <w:pPr>
              <w:spacing w:before="100" w:after="100"/>
            </w:pPr>
            <w:r>
              <w:rPr>
                <w:rFonts w:eastAsia="Noto Sans JP" w:ascii="Avenir Next" w:hAnsi="Avenir Next"/>
                <w:rFonts w:ascii="Noto Sans JP" w:hAnsi="Noto Sans JP"/>
                <w:b w:val="0"/>
                <w:color w:val="1A1A2E"/>
                <w:sz w:val="18"/>
              </w:rPr>
              <w:t>術前ベースライン〜術後12ヵ月</w:t>
            </w:r>
          </w:p>
        </w:tc>
      </w:tr>
      <w:tr>
        <w:tc>
          <w:tcPr>
            <w:tcW w:type="dxa" w:w="4819"/>
            <w:shd w:val="clear" w:color="auto" w:fill="E8F5FF"/>
          </w:tcPr>
          <w:p>
            <w:pPr>
              <w:spacing w:before="100" w:after="100"/>
            </w:pPr>
            <w:r>
              <w:rPr>
                <w:rFonts w:eastAsia="Noto Sans JP" w:ascii="Avenir Next" w:hAnsi="Avenir Next"/>
                <w:rFonts w:ascii="Noto Sans JP" w:hAnsi="Noto Sans JP"/>
                <w:b/>
                <w:color w:val="003087"/>
                <w:sz w:val="18"/>
              </w:rPr>
              <w:t>評価間隔</w:t>
            </w:r>
          </w:p>
        </w:tc>
        <w:tc>
          <w:tcPr>
            <w:tcW w:type="dxa" w:w="4819"/>
            <w:shd w:val="clear" w:color="auto" w:fill="F5F7FA"/>
          </w:tcPr>
          <w:p>
            <w:pPr>
              <w:spacing w:before="100" w:after="100"/>
            </w:pPr>
            <w:r>
              <w:rPr>
                <w:rFonts w:eastAsia="Noto Sans JP" w:ascii="Avenir Next" w:hAnsi="Avenir Next"/>
                <w:rFonts w:ascii="Noto Sans JP" w:hAnsi="Noto Sans JP"/>
                <w:b w:val="0"/>
                <w:color w:val="1A1A2E"/>
                <w:sz w:val="18"/>
              </w:rPr>
              <w:t>術後3・6・9・12ヵ月</w:t>
            </w:r>
          </w:p>
        </w:tc>
      </w:tr>
      <w:tr>
        <w:tc>
          <w:tcPr>
            <w:tcW w:type="dxa" w:w="4819"/>
            <w:shd w:val="clear" w:color="auto" w:fill="E8F5FF"/>
          </w:tcPr>
          <w:p>
            <w:pPr>
              <w:spacing w:before="100" w:after="100"/>
            </w:pPr>
            <w:r>
              <w:rPr>
                <w:rFonts w:eastAsia="Noto Sans JP" w:ascii="Avenir Next" w:hAnsi="Avenir Next"/>
                <w:rFonts w:ascii="Noto Sans JP" w:hAnsi="Noto Sans JP"/>
                <w:b/>
                <w:color w:val="003087"/>
                <w:sz w:val="18"/>
              </w:rPr>
              <w:t>評価方法</w:t>
            </w:r>
          </w:p>
        </w:tc>
        <w:tc>
          <w:tcPr>
            <w:tcW w:type="dxa" w:w="4819"/>
            <w:shd w:val="clear" w:color="auto" w:fill="FFFFFF"/>
          </w:tcPr>
          <w:p>
            <w:pPr>
              <w:spacing w:before="100" w:after="100"/>
            </w:pPr>
            <w:r>
              <w:rPr>
                <w:rFonts w:eastAsia="Noto Sans JP" w:ascii="Avenir Next" w:hAnsi="Avenir Next"/>
                <w:rFonts w:ascii="Noto Sans JP" w:hAnsi="Noto Sans JP"/>
                <w:b w:val="0"/>
                <w:color w:val="1A1A2E"/>
                <w:sz w:val="18"/>
              </w:rPr>
              <w:t>外来での問診により発作頻度を記録</w:t>
            </w:r>
          </w:p>
        </w:tc>
      </w:tr>
    </w:tbl>
    <w:p/>
    <w:tbl>
      <w:tblPr>
        <w:tblW w:type="auto" w:w="0"/>
        <w:jc w:val="center"/>
        <w:tblLook w:firstColumn="1" w:firstRow="1" w:lastColumn="0" w:lastRow="0" w:noHBand="0" w:noVBand="1" w:val="04A0"/>
      </w:tblPr>
      <w:tblGrid>
        <w:gridCol w:w="4819"/>
        <w:gridCol w:w="4819"/>
      </w:tblGrid>
      <w:tr>
        <w:tc>
          <w:tcPr>
            <w:tcW w:type="dxa" w:w="4819"/>
            <w:shd w:val="clear" w:color="auto" w:fill="007AB3"/>
          </w:tcPr>
          <w:p>
            <w:pPr>
              <w:spacing w:before="160" w:after="160"/>
              <w:jc w:val="center"/>
            </w:pPr>
            <w:r>
              <w:rPr>
                <w:rFonts w:eastAsia="Noto Sans JP" w:ascii="Avenir Next" w:hAnsi="Avenir Next"/>
                <w:rFonts w:ascii="Noto Sans JP" w:hAnsi="Noto Sans JP"/>
                <w:b/>
                <w:color w:val="FFFFFF"/>
                <w:sz w:val="22"/>
              </w:rPr>
              <w:t>VNS群  N=17</w:t>
              <w:br/>
            </w:r>
            <w:r>
              <w:rPr>
                <w:rFonts w:eastAsia="Noto Sans JP" w:ascii="Avenir Next" w:hAnsi="Avenir Next"/>
                <w:rFonts w:ascii="Noto Sans JP" w:hAnsi="Noto Sans JP"/>
                <w:b w:val="0"/>
                <w:color w:val="FFFFFF"/>
                <w:sz w:val="18"/>
              </w:rPr>
              <w:t>平均年齢 20.24 ± 11.40歳</w:t>
              <w:br/>
              <w:t>範囲：5〜41歳</w:t>
              <w:br/>
              <w:t>焦点性発作：8例、全般発作：9例</w:t>
            </w:r>
          </w:p>
        </w:tc>
        <w:tc>
          <w:tcPr>
            <w:tcW w:type="dxa" w:w="4819"/>
            <w:shd w:val="clear" w:color="auto" w:fill="003087"/>
          </w:tcPr>
          <w:p>
            <w:pPr>
              <w:spacing w:before="160" w:after="160"/>
              <w:jc w:val="center"/>
            </w:pPr>
            <w:r>
              <w:rPr>
                <w:rFonts w:eastAsia="Noto Sans JP" w:ascii="Avenir Next" w:hAnsi="Avenir Next"/>
                <w:rFonts w:ascii="Noto Sans JP" w:hAnsi="Noto Sans JP"/>
                <w:b/>
                <w:color w:val="FFFFFF"/>
                <w:sz w:val="22"/>
              </w:rPr>
              <w:t>ANT-DBS群  N=18</w:t>
              <w:br/>
            </w:r>
            <w:r>
              <w:rPr>
                <w:rFonts w:eastAsia="Noto Sans JP" w:ascii="Avenir Next" w:hAnsi="Avenir Next"/>
                <w:rFonts w:ascii="Noto Sans JP" w:hAnsi="Noto Sans JP"/>
                <w:b w:val="0"/>
                <w:color w:val="FFFFFF"/>
                <w:sz w:val="18"/>
              </w:rPr>
              <w:t>平均年齢 28.94 ± 12.00歳</w:t>
              <w:br/>
              <w:t>範囲：12〜52歳</w:t>
              <w:br/>
              <w:t>焦点性発作：13例、全般発作：5例</w:t>
            </w:r>
          </w:p>
        </w:tc>
      </w:tr>
    </w:tbl>
    <w:p/>
    <w:p>
      <w:r>
        <w:br w:type="page"/>
      </w:r>
    </w:p>
    <w:tbl>
      <w:tblPr>
        <w:tblW w:type="auto" w:w="0"/>
        <w:jc w:val="left"/>
        <w:tblLook w:firstColumn="1" w:firstRow="1" w:lastColumn="0" w:lastRow="0" w:noHBand="0" w:noVBand="1" w:val="04A0"/>
      </w:tblPr>
      <w:tblGrid>
        <w:gridCol w:w="4819"/>
        <w:gridCol w:w="4819"/>
      </w:tblGrid>
      <w:tr>
        <w:tc>
          <w:tcPr>
            <w:tcW w:type="dxa" w:w="198"/>
            <w:shd w:val="clear" w:color="auto" w:fill="00A8E0"/>
          </w:tcPr>
          <w:p>
            <w:pPr>
              <w:spacing w:before="40" w:after="40"/>
            </w:pPr>
            <w:r>
              <w:rPr>
                <w:rFonts w:eastAsia="Noto Sans JP" w:ascii="Avenir Next" w:hAnsi="Avenir Next"/>
                <w:rFonts w:ascii="Noto Sans JP" w:hAnsi="Noto Sans JP"/>
                <w:b w:val="0"/>
                <w:sz w:val="12"/>
              </w:rPr>
              <w:t xml:space="preserve"> </w:t>
            </w:r>
          </w:p>
        </w:tc>
        <w:tc>
          <w:tcPr>
            <w:tcW w:type="dxa" w:w="4819"/>
          </w:tcPr>
          <w:p>
            <w:pPr>
              <w:spacing w:before="80" w:after="80"/>
            </w:pPr>
            <w:r>
              <w:rPr>
                <w:rFonts w:eastAsia="Noto Sans JP" w:ascii="Avenir Next" w:hAnsi="Avenir Next"/>
                <w:rFonts w:ascii="Noto Sans JP" w:hAnsi="Noto Sans JP"/>
                <w:b/>
                <w:color w:val="003087"/>
                <w:sz w:val="26"/>
              </w:rPr>
              <w:t>SECTION 3　主要結果：ANT-DBSは全時点でVNSを上回る発作減少を達成</w:t>
            </w:r>
          </w:p>
        </w:tc>
      </w:tr>
    </w:tbl>
    <w:p>
      <w:pPr>
        <w:spacing w:after="80"/>
      </w:pPr>
    </w:p>
    <w:p>
      <w:pPr>
        <w:spacing w:after="160"/>
      </w:pPr>
      <w:r>
        <w:rPr>
          <w:rFonts w:eastAsia="Noto Sans JP" w:ascii="Avenir Next" w:hAnsi="Avenir Next"/>
          <w:rFonts w:ascii="Noto Sans JP" w:hAnsi="Noto Sans JP"/>
          <w:b/>
          <w:color w:val="003087"/>
          <w:sz w:val="24"/>
        </w:rPr>
        <w:t>術後12ヵ月で、ANT-DBSはVNSを約17ポイント上回る発作減少率を示しました。</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087"/>
          </w:tcPr>
          <w:p>
            <w:pPr>
              <w:spacing w:before="100" w:after="100"/>
              <w:jc w:val="center"/>
            </w:pPr>
            <w:r>
              <w:rPr>
                <w:rFonts w:eastAsia="Noto Sans JP" w:ascii="Avenir Next" w:hAnsi="Avenir Next"/>
                <w:rFonts w:ascii="Noto Sans JP" w:hAnsi="Noto Sans JP"/>
                <w:b/>
                <w:color w:val="FFFFFF"/>
                <w:sz w:val="20"/>
              </w:rPr>
              <w:t>経過期間</w:t>
            </w:r>
          </w:p>
        </w:tc>
        <w:tc>
          <w:tcPr>
            <w:tcW w:type="dxa" w:w="3213"/>
            <w:shd w:val="clear" w:color="auto" w:fill="003087"/>
          </w:tcPr>
          <w:p>
            <w:pPr>
              <w:spacing w:before="100" w:after="100"/>
              <w:jc w:val="center"/>
            </w:pPr>
            <w:r>
              <w:rPr>
                <w:rFonts w:eastAsia="Noto Sans JP" w:ascii="Avenir Next" w:hAnsi="Avenir Next"/>
                <w:rFonts w:ascii="Noto Sans JP" w:hAnsi="Noto Sans JP"/>
                <w:b/>
                <w:color w:val="FFFFFF"/>
                <w:sz w:val="20"/>
              </w:rPr>
              <w:t>ANT-DBS（N=18）</w:t>
            </w:r>
          </w:p>
        </w:tc>
        <w:tc>
          <w:tcPr>
            <w:tcW w:type="dxa" w:w="3213"/>
            <w:shd w:val="clear" w:color="auto" w:fill="003087"/>
          </w:tcPr>
          <w:p>
            <w:pPr>
              <w:spacing w:before="100" w:after="100"/>
              <w:jc w:val="center"/>
            </w:pPr>
            <w:r>
              <w:rPr>
                <w:rFonts w:eastAsia="Noto Sans JP" w:ascii="Avenir Next" w:hAnsi="Avenir Next"/>
                <w:rFonts w:ascii="Noto Sans JP" w:hAnsi="Noto Sans JP"/>
                <w:b/>
                <w:color w:val="FFFFFF"/>
                <w:sz w:val="20"/>
              </w:rPr>
              <w:t>VNS（N=17）</w:t>
            </w:r>
          </w:p>
        </w:tc>
      </w:tr>
      <w:tr>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術後3ヵ月</w:t>
            </w:r>
          </w:p>
        </w:tc>
        <w:tc>
          <w:tcPr>
            <w:tcW w:type="dxa" w:w="3213"/>
            <w:shd w:val="clear" w:color="auto" w:fill="F5F7FA"/>
          </w:tcPr>
          <w:p>
            <w:pPr>
              <w:spacing w:before="100" w:after="100"/>
              <w:jc w:val="center"/>
            </w:pPr>
            <w:r>
              <w:rPr>
                <w:rFonts w:eastAsia="Noto Sans JP" w:ascii="Avenir Next" w:hAnsi="Avenir Next"/>
                <w:rFonts w:ascii="Noto Sans JP" w:hAnsi="Noto Sans JP"/>
                <w:b/>
                <w:color w:val="003087"/>
                <w:sz w:val="20"/>
              </w:rPr>
              <w:t>57.22%</w:t>
            </w:r>
          </w:p>
        </w:tc>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36.06%</w:t>
            </w:r>
          </w:p>
        </w:tc>
      </w:tr>
      <w:tr>
        <w:tc>
          <w:tcPr>
            <w:tcW w:type="dxa" w:w="3213"/>
            <w:shd w:val="clear" w:color="auto" w:fill="FFFFFF"/>
          </w:tcPr>
          <w:p>
            <w:pPr>
              <w:spacing w:before="100" w:after="100"/>
              <w:jc w:val="center"/>
            </w:pPr>
            <w:r>
              <w:rPr>
                <w:rFonts w:eastAsia="Noto Sans JP" w:ascii="Avenir Next" w:hAnsi="Avenir Next"/>
                <w:rFonts w:ascii="Noto Sans JP" w:hAnsi="Noto Sans JP"/>
                <w:b w:val="0"/>
                <w:color w:val="1A1A2E"/>
                <w:sz w:val="20"/>
              </w:rPr>
              <w:t>術後6ヵ月</w:t>
            </w:r>
          </w:p>
        </w:tc>
        <w:tc>
          <w:tcPr>
            <w:tcW w:type="dxa" w:w="3213"/>
            <w:shd w:val="clear" w:color="auto" w:fill="FFFFFF"/>
          </w:tcPr>
          <w:p>
            <w:pPr>
              <w:spacing w:before="100" w:after="100"/>
              <w:jc w:val="center"/>
            </w:pPr>
            <w:r>
              <w:rPr>
                <w:rFonts w:eastAsia="Noto Sans JP" w:ascii="Avenir Next" w:hAnsi="Avenir Next"/>
                <w:rFonts w:ascii="Noto Sans JP" w:hAnsi="Noto Sans JP"/>
                <w:b/>
                <w:color w:val="003087"/>
                <w:sz w:val="20"/>
              </w:rPr>
              <w:t>61.61%</w:t>
            </w:r>
          </w:p>
        </w:tc>
        <w:tc>
          <w:tcPr>
            <w:tcW w:type="dxa" w:w="3213"/>
            <w:shd w:val="clear" w:color="auto" w:fill="FFFFFF"/>
          </w:tcPr>
          <w:p>
            <w:pPr>
              <w:spacing w:before="100" w:after="100"/>
              <w:jc w:val="center"/>
            </w:pPr>
            <w:r>
              <w:rPr>
                <w:rFonts w:eastAsia="Noto Sans JP" w:ascii="Avenir Next" w:hAnsi="Avenir Next"/>
                <w:rFonts w:ascii="Noto Sans JP" w:hAnsi="Noto Sans JP"/>
                <w:b w:val="0"/>
                <w:color w:val="1A1A2E"/>
                <w:sz w:val="20"/>
              </w:rPr>
              <w:t>39.94%</w:t>
            </w:r>
          </w:p>
        </w:tc>
      </w:tr>
      <w:tr>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術後9ヵ月</w:t>
            </w:r>
          </w:p>
        </w:tc>
        <w:tc>
          <w:tcPr>
            <w:tcW w:type="dxa" w:w="3213"/>
            <w:shd w:val="clear" w:color="auto" w:fill="F5F7FA"/>
          </w:tcPr>
          <w:p>
            <w:pPr>
              <w:spacing w:before="100" w:after="100"/>
              <w:jc w:val="center"/>
            </w:pPr>
            <w:r>
              <w:rPr>
                <w:rFonts w:eastAsia="Noto Sans JP" w:ascii="Avenir Next" w:hAnsi="Avenir Next"/>
                <w:rFonts w:ascii="Noto Sans JP" w:hAnsi="Noto Sans JP"/>
                <w:b/>
                <w:color w:val="003087"/>
                <w:sz w:val="20"/>
              </w:rPr>
              <w:t>63.94%</w:t>
            </w:r>
          </w:p>
        </w:tc>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45.24%</w:t>
            </w:r>
          </w:p>
        </w:tc>
      </w:tr>
      <w:tr>
        <w:tc>
          <w:tcPr>
            <w:tcW w:type="dxa" w:w="3213"/>
            <w:shd w:val="clear" w:color="auto" w:fill="E8F5FF"/>
          </w:tcPr>
          <w:p>
            <w:pPr>
              <w:spacing w:before="100" w:after="100"/>
              <w:jc w:val="center"/>
            </w:pPr>
            <w:r>
              <w:rPr>
                <w:rFonts w:eastAsia="Noto Sans JP" w:ascii="Avenir Next" w:hAnsi="Avenir Next"/>
                <w:rFonts w:ascii="Noto Sans JP" w:hAnsi="Noto Sans JP"/>
                <w:b/>
                <w:color w:val="1A1A2E"/>
                <w:sz w:val="20"/>
              </w:rPr>
              <w:t>術後12ヵ月 ★</w:t>
            </w:r>
          </w:p>
        </w:tc>
        <w:tc>
          <w:tcPr>
            <w:tcW w:type="dxa" w:w="3213"/>
            <w:shd w:val="clear" w:color="auto" w:fill="E8F5FF"/>
          </w:tcPr>
          <w:p>
            <w:pPr>
              <w:spacing w:before="100" w:after="100"/>
              <w:jc w:val="center"/>
            </w:pPr>
            <w:r>
              <w:rPr>
                <w:rFonts w:eastAsia="Noto Sans JP" w:ascii="Avenir Next" w:hAnsi="Avenir Next"/>
                <w:rFonts w:ascii="Noto Sans JP" w:hAnsi="Noto Sans JP"/>
                <w:b/>
                <w:color w:val="00A8E0"/>
                <w:sz w:val="22"/>
              </w:rPr>
              <w:t>65.28%</w:t>
            </w:r>
          </w:p>
        </w:tc>
        <w:tc>
          <w:tcPr>
            <w:tcW w:type="dxa" w:w="3213"/>
            <w:shd w:val="clear" w:color="auto" w:fill="E8F5FF"/>
          </w:tcPr>
          <w:p>
            <w:pPr>
              <w:spacing w:before="100" w:after="100"/>
              <w:jc w:val="center"/>
            </w:pPr>
            <w:r>
              <w:rPr>
                <w:rFonts w:eastAsia="Noto Sans JP" w:ascii="Avenir Next" w:hAnsi="Avenir Next"/>
                <w:rFonts w:ascii="Noto Sans JP" w:hAnsi="Noto Sans JP"/>
                <w:b/>
                <w:color w:val="1A1A2E"/>
                <w:sz w:val="20"/>
              </w:rPr>
              <w:t>48.35%</w:t>
            </w:r>
          </w:p>
        </w:tc>
      </w:tr>
    </w:tbl>
    <w:p/>
    <w:p>
      <w:pPr>
        <w:spacing w:after="80"/>
      </w:pPr>
      <w:r>
        <w:rPr>
          <w:rFonts w:eastAsia="Noto Sans JP" w:ascii="Avenir Next" w:hAnsi="Avenir Next"/>
          <w:rFonts w:ascii="Noto Sans JP" w:hAnsi="Noto Sans JP"/>
          <w:b/>
          <w:color w:val="003087"/>
          <w:sz w:val="22"/>
        </w:rPr>
        <w:t>レスポンダー率・発作消失率（術後12ヵ月）</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087"/>
          </w:tcPr>
          <w:p>
            <w:pPr>
              <w:spacing w:before="100" w:after="100"/>
              <w:jc w:val="center"/>
            </w:pPr>
            <w:r>
              <w:rPr>
                <w:rFonts w:eastAsia="Noto Sans JP" w:ascii="Avenir Next" w:hAnsi="Avenir Next"/>
                <w:rFonts w:ascii="Noto Sans JP" w:hAnsi="Noto Sans JP"/>
                <w:b/>
                <w:color w:val="FFFFFF"/>
                <w:sz w:val="20"/>
              </w:rPr>
              <w:t>指標</w:t>
            </w:r>
          </w:p>
        </w:tc>
        <w:tc>
          <w:tcPr>
            <w:tcW w:type="dxa" w:w="3213"/>
            <w:shd w:val="clear" w:color="auto" w:fill="003087"/>
          </w:tcPr>
          <w:p>
            <w:pPr>
              <w:spacing w:before="100" w:after="100"/>
              <w:jc w:val="center"/>
            </w:pPr>
            <w:r>
              <w:rPr>
                <w:rFonts w:eastAsia="Noto Sans JP" w:ascii="Avenir Next" w:hAnsi="Avenir Next"/>
                <w:rFonts w:ascii="Noto Sans JP" w:hAnsi="Noto Sans JP"/>
                <w:b/>
                <w:color w:val="FFFFFF"/>
                <w:sz w:val="20"/>
              </w:rPr>
              <w:t>ANT-DBS（N=18）</w:t>
            </w:r>
          </w:p>
        </w:tc>
        <w:tc>
          <w:tcPr>
            <w:tcW w:type="dxa" w:w="3213"/>
            <w:shd w:val="clear" w:color="auto" w:fill="003087"/>
          </w:tcPr>
          <w:p>
            <w:pPr>
              <w:spacing w:before="100" w:after="100"/>
              <w:jc w:val="center"/>
            </w:pPr>
            <w:r>
              <w:rPr>
                <w:rFonts w:eastAsia="Noto Sans JP" w:ascii="Avenir Next" w:hAnsi="Avenir Next"/>
                <w:rFonts w:ascii="Noto Sans JP" w:hAnsi="Noto Sans JP"/>
                <w:b/>
                <w:color w:val="FFFFFF"/>
                <w:sz w:val="20"/>
              </w:rPr>
              <w:t>VNS（N=17）</w:t>
            </w:r>
          </w:p>
        </w:tc>
      </w:tr>
      <w:tr>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レスポンダー率</w:t>
              <w:br/>
              <w:t>（発作50%以上減少）</w:t>
            </w:r>
          </w:p>
        </w:tc>
        <w:tc>
          <w:tcPr>
            <w:tcW w:type="dxa" w:w="3213"/>
            <w:shd w:val="clear" w:color="auto" w:fill="F5F7FA"/>
          </w:tcPr>
          <w:p>
            <w:pPr>
              <w:spacing w:before="100" w:after="100"/>
              <w:jc w:val="center"/>
            </w:pPr>
            <w:r>
              <w:rPr>
                <w:rFonts w:eastAsia="Noto Sans JP" w:ascii="Avenir Next" w:hAnsi="Avenir Next"/>
                <w:rFonts w:ascii="Noto Sans JP" w:hAnsi="Noto Sans JP"/>
                <w:b/>
                <w:color w:val="00A8E0"/>
                <w:sz w:val="20"/>
              </w:rPr>
              <w:t>72.22%  (N=13)</w:t>
            </w:r>
          </w:p>
        </w:tc>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58.82%  (N=10)</w:t>
            </w:r>
          </w:p>
        </w:tc>
      </w:tr>
      <w:tr>
        <w:tc>
          <w:tcPr>
            <w:tcW w:type="dxa" w:w="3213"/>
            <w:shd w:val="clear" w:color="auto" w:fill="FFFFFF"/>
          </w:tcPr>
          <w:p>
            <w:pPr>
              <w:spacing w:before="100" w:after="100"/>
              <w:jc w:val="center"/>
            </w:pPr>
            <w:r>
              <w:rPr>
                <w:rFonts w:eastAsia="Noto Sans JP" w:ascii="Avenir Next" w:hAnsi="Avenir Next"/>
                <w:rFonts w:ascii="Noto Sans JP" w:hAnsi="Noto Sans JP"/>
                <w:b w:val="0"/>
                <w:color w:val="1A1A2E"/>
                <w:sz w:val="20"/>
              </w:rPr>
              <w:t>発作消失率</w:t>
            </w:r>
          </w:p>
        </w:tc>
        <w:tc>
          <w:tcPr>
            <w:tcW w:type="dxa" w:w="3213"/>
            <w:shd w:val="clear" w:color="auto" w:fill="FFFFFF"/>
          </w:tcPr>
          <w:p>
            <w:pPr>
              <w:spacing w:before="100" w:after="100"/>
              <w:jc w:val="center"/>
            </w:pPr>
            <w:r>
              <w:rPr>
                <w:rFonts w:eastAsia="Noto Sans JP" w:ascii="Avenir Next" w:hAnsi="Avenir Next"/>
                <w:rFonts w:ascii="Noto Sans JP" w:hAnsi="Noto Sans JP"/>
                <w:b/>
                <w:color w:val="00A8E0"/>
                <w:sz w:val="20"/>
              </w:rPr>
              <w:t>22.22%  (N=4)</w:t>
            </w:r>
          </w:p>
        </w:tc>
        <w:tc>
          <w:tcPr>
            <w:tcW w:type="dxa" w:w="3213"/>
            <w:shd w:val="clear" w:color="auto" w:fill="FFFFFF"/>
          </w:tcPr>
          <w:p>
            <w:pPr>
              <w:spacing w:before="100" w:after="100"/>
              <w:jc w:val="center"/>
            </w:pPr>
            <w:r>
              <w:rPr>
                <w:rFonts w:eastAsia="Noto Sans JP" w:ascii="Avenir Next" w:hAnsi="Avenir Next"/>
                <w:rFonts w:ascii="Noto Sans JP" w:hAnsi="Noto Sans JP"/>
                <w:b w:val="0"/>
                <w:color w:val="1A1A2E"/>
                <w:sz w:val="20"/>
              </w:rPr>
              <w:t>17.65%  (N=3)</w:t>
            </w:r>
          </w:p>
        </w:tc>
      </w:tr>
      <w:tr>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非レスポンダー</w:t>
            </w:r>
          </w:p>
        </w:tc>
        <w:tc>
          <w:tcPr>
            <w:tcW w:type="dxa" w:w="3213"/>
            <w:shd w:val="clear" w:color="auto" w:fill="F5F7FA"/>
          </w:tcPr>
          <w:p>
            <w:pPr>
              <w:spacing w:before="100" w:after="100"/>
              <w:jc w:val="center"/>
            </w:pPr>
            <w:r>
              <w:rPr>
                <w:rFonts w:eastAsia="Noto Sans JP" w:ascii="Avenir Next" w:hAnsi="Avenir Next"/>
                <w:rFonts w:ascii="Noto Sans JP" w:hAnsi="Noto Sans JP"/>
                <w:b/>
                <w:color w:val="00A8E0"/>
                <w:sz w:val="20"/>
              </w:rPr>
              <w:t>27.78%  (N=5)</w:t>
            </w:r>
          </w:p>
        </w:tc>
        <w:tc>
          <w:tcPr>
            <w:tcW w:type="dxa" w:w="3213"/>
            <w:shd w:val="clear" w:color="auto" w:fill="F5F7FA"/>
          </w:tcPr>
          <w:p>
            <w:pPr>
              <w:spacing w:before="100" w:after="100"/>
              <w:jc w:val="center"/>
            </w:pPr>
            <w:r>
              <w:rPr>
                <w:rFonts w:eastAsia="Noto Sans JP" w:ascii="Avenir Next" w:hAnsi="Avenir Next"/>
                <w:rFonts w:ascii="Noto Sans JP" w:hAnsi="Noto Sans JP"/>
                <w:b w:val="0"/>
                <w:color w:val="1A1A2E"/>
                <w:sz w:val="20"/>
              </w:rPr>
              <w:t>41.18%  (N=7)</w:t>
            </w:r>
          </w:p>
        </w:tc>
      </w:tr>
    </w:tbl>
    <w:p/>
    <w:tbl>
      <w:tblPr>
        <w:tblW w:type="auto" w:w="0"/>
        <w:jc w:val="left"/>
        <w:tblLook w:firstColumn="1" w:firstRow="1" w:lastColumn="0" w:lastRow="0" w:noHBand="0" w:noVBand="1" w:val="04A0"/>
      </w:tblPr>
      <w:tblGrid>
        <w:gridCol w:w="4819"/>
        <w:gridCol w:w="4819"/>
      </w:tblGrid>
      <w:tr>
        <w:tc>
          <w:tcPr>
            <w:tcW w:type="dxa" w:w="198"/>
            <w:shd w:val="clear" w:color="auto" w:fill="00A8E0"/>
          </w:tcPr>
          <w:p>
            <w:pPr>
              <w:spacing w:before="40" w:after="40"/>
            </w:pPr>
            <w:r>
              <w:rPr>
                <w:rFonts w:eastAsia="Noto Sans JP" w:ascii="Avenir Next" w:hAnsi="Avenir Next"/>
                <w:rFonts w:ascii="Noto Sans JP" w:hAnsi="Noto Sans JP"/>
                <w:b w:val="0"/>
                <w:sz w:val="12"/>
              </w:rPr>
              <w:t xml:space="preserve"> </w:t>
            </w:r>
          </w:p>
        </w:tc>
        <w:tc>
          <w:tcPr>
            <w:tcW w:type="dxa" w:w="4819"/>
          </w:tcPr>
          <w:p>
            <w:pPr>
              <w:spacing w:before="80" w:after="80"/>
            </w:pPr>
            <w:r>
              <w:rPr>
                <w:rFonts w:eastAsia="Noto Sans JP" w:ascii="Avenir Next" w:hAnsi="Avenir Next"/>
                <w:rFonts w:ascii="Noto Sans JP" w:hAnsi="Noto Sans JP"/>
                <w:b/>
                <w:color w:val="003087"/>
                <w:sz w:val="26"/>
              </w:rPr>
              <w:t>SECTION 4　患者選択の手引き：術前データから治療選択の根拠を</w:t>
            </w:r>
          </w:p>
        </w:tc>
      </w:tr>
    </w:tbl>
    <w:p>
      <w:pPr>
        <w:spacing w:after="80"/>
      </w:pPr>
    </w:p>
    <w:p>
      <w:pPr>
        <w:spacing w:after="160"/>
      </w:pPr>
      <w:r>
        <w:rPr>
          <w:rFonts w:eastAsia="Noto Sans JP" w:ascii="Avenir Next" w:hAnsi="Avenir Next"/>
          <w:rFonts w:ascii="Noto Sans JP" w:hAnsi="Noto Sans JP"/>
          <w:b w:val="0"/>
          <w:color w:val="1A1A2E"/>
          <w:sz w:val="20"/>
        </w:rPr>
        <w:t>本試験の結果は、術前の臨床的特徴に基づいた治療選択の可能性を示しています。</w:t>
      </w:r>
    </w:p>
    <w:tbl>
      <w:tblPr>
        <w:tblW w:type="auto" w:w="0"/>
        <w:jc w:val="center"/>
        <w:tblLook w:firstColumn="1" w:firstRow="1" w:lastColumn="0" w:lastRow="0" w:noHBand="0" w:noVBand="1" w:val="04A0"/>
      </w:tblPr>
      <w:tblGrid>
        <w:gridCol w:w="4819"/>
        <w:gridCol w:w="4819"/>
      </w:tblGrid>
      <w:tr>
        <w:tc>
          <w:tcPr>
            <w:tcW w:type="dxa" w:w="4819"/>
            <w:shd w:val="clear" w:color="auto" w:fill="003087"/>
          </w:tcPr>
          <w:p>
            <w:pPr>
              <w:spacing w:before="160" w:after="160"/>
              <w:jc w:val="center"/>
            </w:pPr>
            <w:r>
              <w:rPr>
                <w:rFonts w:eastAsia="Noto Sans JP" w:ascii="Avenir Next" w:hAnsi="Avenir Next"/>
                <w:rFonts w:ascii="Noto Sans JP" w:hAnsi="Noto Sans JP"/>
                <w:b/>
                <w:color w:val="FFFFFF"/>
                <w:sz w:val="20"/>
              </w:rPr>
              <w:t>ANT-DBSが適している可能性が高い患者</w:t>
            </w:r>
          </w:p>
        </w:tc>
        <w:tc>
          <w:tcPr>
            <w:tcW w:type="dxa" w:w="4819"/>
            <w:shd w:val="clear" w:color="auto" w:fill="007AB3"/>
          </w:tcPr>
          <w:p>
            <w:pPr>
              <w:spacing w:before="160" w:after="160"/>
              <w:jc w:val="center"/>
            </w:pPr>
            <w:r>
              <w:rPr>
                <w:rFonts w:eastAsia="Noto Sans JP" w:ascii="Avenir Next" w:hAnsi="Avenir Next"/>
                <w:rFonts w:ascii="Noto Sans JP" w:hAnsi="Noto Sans JP"/>
                <w:b/>
                <w:color w:val="FFFFFF"/>
                <w:sz w:val="20"/>
              </w:rPr>
              <w:t>VNSが適している可能性が高い患者</w:t>
            </w:r>
          </w:p>
        </w:tc>
      </w:tr>
      <w:tr>
        <w:tc>
          <w:tcPr>
            <w:tcW w:type="dxa" w:w="4819"/>
            <w:shd w:val="clear" w:color="auto" w:fill="E8F5FF"/>
          </w:tcPr>
          <w:p>
            <w:pPr>
              <w:spacing w:before="160" w:after="160"/>
            </w:pPr>
            <w:r>
              <w:rPr>
                <w:rFonts w:eastAsia="Noto Sans JP" w:ascii="Avenir Next" w:hAnsi="Avenir Next"/>
                <w:rFonts w:ascii="Noto Sans JP" w:hAnsi="Noto Sans JP"/>
                <w:b w:val="0"/>
                <w:color w:val="1A1A2E"/>
                <w:sz w:val="18"/>
              </w:rPr>
              <w:t>・手術時年齢が高い</w:t>
              <w:br/>
              <w:t>・焦点性発作（発作減少率 71.15%）</w:t>
              <w:br/>
              <w:t>・開頭術の既往がある（発作減少率 81.20%）</w:t>
              <w:br/>
              <w:t>・てんかん罹病期間が長い（P&lt;0.05）</w:t>
            </w:r>
          </w:p>
        </w:tc>
        <w:tc>
          <w:tcPr>
            <w:tcW w:type="dxa" w:w="4819"/>
            <w:shd w:val="clear" w:color="auto" w:fill="F5F7FA"/>
          </w:tcPr>
          <w:p>
            <w:pPr>
              <w:spacing w:before="160" w:after="160"/>
            </w:pPr>
            <w:r>
              <w:rPr>
                <w:rFonts w:eastAsia="Noto Sans JP" w:ascii="Avenir Next" w:hAnsi="Avenir Next"/>
                <w:rFonts w:ascii="Noto Sans JP" w:hAnsi="Noto Sans JP"/>
                <w:b w:val="0"/>
                <w:color w:val="1A1A2E"/>
                <w:sz w:val="18"/>
              </w:rPr>
              <w:t>・発症年齢が高い（P&lt;0.05）</w:t>
              <w:br/>
              <w:t>・手術時年齢が高い</w:t>
              <w:br/>
              <w:t>・焦点性発作（発作減少率 59.00%）</w:t>
            </w:r>
          </w:p>
        </w:tc>
      </w:tr>
    </w:tbl>
    <w:p/>
    <w:tbl>
      <w:tblPr>
        <w:tblW w:type="auto" w:w="0"/>
        <w:jc w:val="left"/>
        <w:tblLook w:firstColumn="1" w:firstRow="1" w:lastColumn="0" w:lastRow="0" w:noHBand="0" w:noVBand="1" w:val="04A0"/>
      </w:tblPr>
      <w:tblGrid>
        <w:gridCol w:w="4819"/>
        <w:gridCol w:w="4819"/>
      </w:tblGrid>
      <w:tr>
        <w:tc>
          <w:tcPr>
            <w:tcW w:type="dxa" w:w="198"/>
            <w:shd w:val="clear" w:color="auto" w:fill="00A8E0"/>
          </w:tcPr>
          <w:p>
            <w:pPr>
              <w:spacing w:before="40" w:after="40"/>
            </w:pPr>
            <w:r>
              <w:rPr>
                <w:rFonts w:eastAsia="Noto Sans JP" w:ascii="Avenir Next" w:hAnsi="Avenir Next"/>
                <w:rFonts w:ascii="Noto Sans JP" w:hAnsi="Noto Sans JP"/>
                <w:b w:val="0"/>
                <w:sz w:val="12"/>
              </w:rPr>
              <w:t xml:space="preserve"> </w:t>
            </w:r>
          </w:p>
        </w:tc>
        <w:tc>
          <w:tcPr>
            <w:tcW w:type="dxa" w:w="4819"/>
          </w:tcPr>
          <w:p>
            <w:pPr>
              <w:spacing w:before="80" w:after="80"/>
            </w:pPr>
            <w:r>
              <w:rPr>
                <w:rFonts w:eastAsia="Noto Sans JP" w:ascii="Avenir Next" w:hAnsi="Avenir Next"/>
                <w:rFonts w:ascii="Noto Sans JP" w:hAnsi="Noto Sans JP"/>
                <w:b/>
                <w:color w:val="003087"/>
                <w:sz w:val="26"/>
              </w:rPr>
              <w:t>SECTION 5　安全性：継続刺激による良好な忍容性</w:t>
            </w:r>
          </w:p>
        </w:tc>
      </w:tr>
    </w:tbl>
    <w:p>
      <w:pPr>
        <w:spacing w:after="80"/>
      </w:pPr>
    </w:p>
    <w:tbl>
      <w:tblPr>
        <w:tblW w:type="auto" w:w="0"/>
        <w:jc w:val="center"/>
        <w:tblLook w:firstColumn="1" w:firstRow="1" w:lastColumn="0" w:lastRow="0" w:noHBand="0" w:noVBand="1" w:val="04A0"/>
      </w:tblPr>
      <w:tblGrid>
        <w:gridCol w:w="9638"/>
      </w:tblGrid>
      <w:tr>
        <w:tc>
          <w:tcPr>
            <w:tcW w:type="dxa" w:w="9638"/>
            <w:shd w:val="clear" w:color="auto" w:fill="E8F5FF"/>
          </w:tcPr>
          <w:p>
            <w:pPr>
              <w:spacing w:before="200" w:after="200"/>
              <w:jc w:val="center"/>
            </w:pPr>
            <w:r>
              <w:rPr>
                <w:rFonts w:eastAsia="Noto Sans JP" w:ascii="Avenir Next" w:hAnsi="Avenir Next"/>
                <w:rFonts w:ascii="Noto Sans JP" w:hAnsi="Noto Sans JP"/>
                <w:b/>
                <w:color w:val="003087"/>
                <w:sz w:val="22"/>
              </w:rPr>
              <w:t>観察期間中、両治療とも重篤な合併症・副作用は報告されませんでした。</w:t>
            </w:r>
          </w:p>
        </w:tc>
      </w:tr>
    </w:tbl>
    <w:p/>
    <w:tbl>
      <w:tblPr>
        <w:tblW w:type="auto" w:w="0"/>
        <w:jc w:val="center"/>
        <w:tblLook w:firstColumn="1" w:firstRow="1" w:lastColumn="0" w:lastRow="0" w:noHBand="0" w:noVBand="1" w:val="04A0"/>
      </w:tblPr>
      <w:tblGrid>
        <w:gridCol w:w="4819"/>
        <w:gridCol w:w="4819"/>
      </w:tblGrid>
      <w:tr>
        <w:tc>
          <w:tcPr>
            <w:tcW w:type="dxa" w:w="4819"/>
            <w:shd w:val="clear" w:color="auto" w:fill="003087"/>
          </w:tcPr>
          <w:p>
            <w:pPr>
              <w:spacing w:before="100" w:after="100"/>
              <w:jc w:val="center"/>
            </w:pPr>
            <w:r>
              <w:rPr>
                <w:rFonts w:eastAsia="Noto Sans JP" w:ascii="Avenir Next" w:hAnsi="Avenir Next"/>
                <w:rFonts w:ascii="Noto Sans JP" w:hAnsi="Noto Sans JP"/>
                <w:b/>
                <w:color w:val="FFFFFF"/>
                <w:sz w:val="20"/>
              </w:rPr>
              <w:t>治療</w:t>
            </w:r>
          </w:p>
        </w:tc>
        <w:tc>
          <w:tcPr>
            <w:tcW w:type="dxa" w:w="4819"/>
            <w:shd w:val="clear" w:color="auto" w:fill="003087"/>
          </w:tcPr>
          <w:p>
            <w:pPr>
              <w:spacing w:before="100" w:after="100"/>
              <w:jc w:val="center"/>
            </w:pPr>
            <w:r>
              <w:rPr>
                <w:rFonts w:eastAsia="Noto Sans JP" w:ascii="Avenir Next" w:hAnsi="Avenir Next"/>
                <w:rFonts w:ascii="Noto Sans JP" w:hAnsi="Noto Sans JP"/>
                <w:b/>
                <w:color w:val="FFFFFF"/>
                <w:sz w:val="20"/>
              </w:rPr>
              <w:t>主な有害事象</w:t>
            </w:r>
          </w:p>
        </w:tc>
      </w:tr>
      <w:tr>
        <w:tc>
          <w:tcPr>
            <w:tcW w:type="dxa" w:w="4819"/>
            <w:shd w:val="clear" w:color="auto" w:fill="F5F7FA"/>
          </w:tcPr>
          <w:p>
            <w:pPr>
              <w:spacing w:before="100" w:after="100"/>
              <w:jc w:val="center"/>
            </w:pPr>
            <w:r>
              <w:rPr>
                <w:rFonts w:eastAsia="Noto Sans JP" w:ascii="Avenir Next" w:hAnsi="Avenir Next"/>
                <w:rFonts w:ascii="Noto Sans JP" w:hAnsi="Noto Sans JP"/>
                <w:b w:val="0"/>
                <w:color w:val="1A1A2E"/>
                <w:sz w:val="20"/>
              </w:rPr>
              <w:t>VNS</w:t>
            </w:r>
          </w:p>
        </w:tc>
        <w:tc>
          <w:tcPr>
            <w:tcW w:type="dxa" w:w="4819"/>
            <w:shd w:val="clear" w:color="auto" w:fill="F5F7FA"/>
          </w:tcPr>
          <w:p>
            <w:pPr>
              <w:spacing w:before="100" w:after="100"/>
              <w:jc w:val="center"/>
            </w:pPr>
            <w:r>
              <w:rPr>
                <w:rFonts w:eastAsia="Noto Sans JP" w:ascii="Avenir Next" w:hAnsi="Avenir Next"/>
                <w:rFonts w:ascii="Noto Sans JP" w:hAnsi="Noto Sans JP"/>
                <w:b w:val="0"/>
                <w:color w:val="1A1A2E"/>
                <w:sz w:val="20"/>
              </w:rPr>
              <w:t>嗄声、咳嗽、疼痛、呼吸困難</w:t>
            </w:r>
          </w:p>
        </w:tc>
      </w:tr>
      <w:tr>
        <w:tc>
          <w:tcPr>
            <w:tcW w:type="dxa" w:w="4819"/>
            <w:shd w:val="clear" w:color="auto" w:fill="FFFFFF"/>
          </w:tcPr>
          <w:p>
            <w:pPr>
              <w:spacing w:before="100" w:after="100"/>
              <w:jc w:val="center"/>
            </w:pPr>
            <w:r>
              <w:rPr>
                <w:rFonts w:eastAsia="Noto Sans JP" w:ascii="Avenir Next" w:hAnsi="Avenir Next"/>
                <w:rFonts w:ascii="Noto Sans JP" w:hAnsi="Noto Sans JP"/>
                <w:b w:val="0"/>
                <w:color w:val="1A1A2E"/>
                <w:sz w:val="20"/>
              </w:rPr>
              <w:t>ANT-DBS</w:t>
            </w:r>
          </w:p>
        </w:tc>
        <w:tc>
          <w:tcPr>
            <w:tcW w:type="dxa" w:w="4819"/>
            <w:shd w:val="clear" w:color="auto" w:fill="FFFFFF"/>
          </w:tcPr>
          <w:p>
            <w:pPr>
              <w:spacing w:before="100" w:after="100"/>
              <w:jc w:val="center"/>
            </w:pPr>
            <w:r>
              <w:rPr>
                <w:rFonts w:eastAsia="Noto Sans JP" w:ascii="Avenir Next" w:hAnsi="Avenir Next"/>
                <w:rFonts w:ascii="Noto Sans JP" w:hAnsi="Noto Sans JP"/>
                <w:b w:val="0"/>
                <w:color w:val="1A1A2E"/>
                <w:sz w:val="20"/>
              </w:rPr>
              <w:t>植込み部疼痛、感染、リード偏位</w:t>
            </w:r>
          </w:p>
        </w:tc>
      </w:tr>
    </w:tbl>
    <w:p/>
    <w:tbl>
      <w:tblPr>
        <w:tblW w:type="auto" w:w="0"/>
        <w:jc w:val="left"/>
        <w:tblLook w:firstColumn="1" w:firstRow="1" w:lastColumn="0" w:lastRow="0" w:noHBand="0" w:noVBand="1" w:val="04A0"/>
      </w:tblPr>
      <w:tblGrid>
        <w:gridCol w:w="4819"/>
        <w:gridCol w:w="4819"/>
      </w:tblGrid>
      <w:tr>
        <w:tc>
          <w:tcPr>
            <w:tcW w:type="dxa" w:w="198"/>
            <w:shd w:val="clear" w:color="auto" w:fill="00A8E0"/>
          </w:tcPr>
          <w:p>
            <w:pPr>
              <w:spacing w:before="40" w:after="40"/>
            </w:pPr>
            <w:r>
              <w:rPr>
                <w:rFonts w:eastAsia="Noto Sans JP" w:ascii="Avenir Next" w:hAnsi="Avenir Next"/>
                <w:rFonts w:ascii="Noto Sans JP" w:hAnsi="Noto Sans JP"/>
                <w:b w:val="0"/>
                <w:sz w:val="12"/>
              </w:rPr>
              <w:t xml:space="preserve"> </w:t>
            </w:r>
          </w:p>
        </w:tc>
        <w:tc>
          <w:tcPr>
            <w:tcW w:type="dxa" w:w="4819"/>
          </w:tcPr>
          <w:p>
            <w:pPr>
              <w:spacing w:before="80" w:after="80"/>
            </w:pPr>
            <w:r>
              <w:rPr>
                <w:rFonts w:eastAsia="Noto Sans JP" w:ascii="Avenir Next" w:hAnsi="Avenir Next"/>
                <w:rFonts w:ascii="Noto Sans JP" w:hAnsi="Noto Sans JP"/>
                <w:b/>
                <w:color w:val="003087"/>
                <w:sz w:val="26"/>
              </w:rPr>
              <w:t>まとめ</w:t>
            </w:r>
          </w:p>
        </w:tc>
      </w:tr>
    </w:tbl>
    <w:p>
      <w:pPr>
        <w:spacing w:after="80"/>
      </w:pP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087"/>
          </w:tcPr>
          <w:p>
            <w:pPr>
              <w:spacing w:before="200" w:after="200"/>
              <w:jc w:val="center"/>
            </w:pPr>
            <w:r>
              <w:rPr>
                <w:rFonts w:eastAsia="Noto Sans JP" w:ascii="Avenir Next" w:hAnsi="Avenir Next"/>
                <w:rFonts w:ascii="Noto Sans JP" w:hAnsi="Noto Sans JP"/>
                <w:b/>
                <w:color w:val="00A8E0"/>
                <w:sz w:val="36"/>
              </w:rPr>
              <w:t>01</w:t>
              <w:br/>
            </w:r>
            <w:r>
              <w:rPr>
                <w:rFonts w:eastAsia="Noto Sans JP" w:ascii="Avenir Next" w:hAnsi="Avenir Next"/>
                <w:rFonts w:ascii="Noto Sans JP" w:hAnsi="Noto Sans JP"/>
                <w:b w:val="0"/>
                <w:color w:val="FFFFFF"/>
                <w:sz w:val="18"/>
              </w:rPr>
              <w:t>ANT-DBSは全時点でVNSを上回る発作減少率を達成</w:t>
            </w:r>
          </w:p>
        </w:tc>
        <w:tc>
          <w:tcPr>
            <w:tcW w:type="dxa" w:w="3213"/>
            <w:shd w:val="clear" w:color="auto" w:fill="003087"/>
          </w:tcPr>
          <w:p>
            <w:pPr>
              <w:spacing w:before="200" w:after="200"/>
              <w:jc w:val="center"/>
            </w:pPr>
            <w:r>
              <w:rPr>
                <w:rFonts w:eastAsia="Noto Sans JP" w:ascii="Avenir Next" w:hAnsi="Avenir Next"/>
                <w:rFonts w:ascii="Noto Sans JP" w:hAnsi="Noto Sans JP"/>
                <w:b/>
                <w:color w:val="00A8E0"/>
                <w:sz w:val="36"/>
              </w:rPr>
              <w:t>02</w:t>
              <w:br/>
            </w:r>
            <w:r>
              <w:rPr>
                <w:rFonts w:eastAsia="Noto Sans JP" w:ascii="Avenir Next" w:hAnsi="Avenir Next"/>
                <w:rFonts w:ascii="Noto Sans JP" w:hAnsi="Noto Sans JP"/>
                <w:b w:val="0"/>
                <w:color w:val="FFFFFF"/>
                <w:sz w:val="18"/>
              </w:rPr>
              <w:t>術前の臨床データで治療選択の根拠を得られる可能性</w:t>
            </w:r>
          </w:p>
        </w:tc>
        <w:tc>
          <w:tcPr>
            <w:tcW w:type="dxa" w:w="3213"/>
            <w:shd w:val="clear" w:color="auto" w:fill="003087"/>
          </w:tcPr>
          <w:p>
            <w:pPr>
              <w:spacing w:before="200" w:after="200"/>
              <w:jc w:val="center"/>
            </w:pPr>
            <w:r>
              <w:rPr>
                <w:rFonts w:eastAsia="Noto Sans JP" w:ascii="Avenir Next" w:hAnsi="Avenir Next"/>
                <w:rFonts w:ascii="Noto Sans JP" w:hAnsi="Noto Sans JP"/>
                <w:b/>
                <w:color w:val="00A8E0"/>
                <w:sz w:val="36"/>
              </w:rPr>
              <w:t>03</w:t>
              <w:br/>
            </w:r>
            <w:r>
              <w:rPr>
                <w:rFonts w:eastAsia="Noto Sans JP" w:ascii="Avenir Next" w:hAnsi="Avenir Next"/>
                <w:rFonts w:ascii="Noto Sans JP" w:hAnsi="Noto Sans JP"/>
                <w:b w:val="0"/>
                <w:color w:val="FFFFFF"/>
                <w:sz w:val="18"/>
              </w:rPr>
              <w:t>両治療とも時間経過で効果が蓄積し、安全に継続可能</w:t>
            </w:r>
          </w:p>
        </w:tc>
      </w:tr>
    </w:tbl>
    <w:p/>
    <w:tbl>
      <w:tblPr>
        <w:tblW w:type="auto" w:w="0"/>
        <w:jc w:val="center"/>
        <w:tblLook w:firstColumn="1" w:firstRow="1" w:lastColumn="0" w:lastRow="0" w:noHBand="0" w:noVBand="1" w:val="04A0"/>
      </w:tblPr>
      <w:tblGrid>
        <w:gridCol w:w="9638"/>
      </w:tblGrid>
      <w:tr>
        <w:tc>
          <w:tcPr>
            <w:tcW w:type="dxa" w:w="9638"/>
            <w:shd w:val="clear" w:color="auto" w:fill="00A8E0"/>
          </w:tcPr>
          <w:p>
            <w:pPr>
              <w:spacing w:before="240" w:after="240"/>
              <w:jc w:val="center"/>
            </w:pPr>
            <w:r>
              <w:rPr>
                <w:rFonts w:eastAsia="Noto Sans JP" w:ascii="Avenir Next" w:hAnsi="Avenir Next"/>
                <w:rFonts w:ascii="Noto Sans JP" w:hAnsi="Noto Sans JP"/>
                <w:b/>
                <w:color w:val="FFFFFF"/>
                <w:sz w:val="28"/>
              </w:rPr>
              <w:t>薬剤抵抗性てんかんの患者さんに、次のステップを。</w:t>
              <w:br/>
            </w:r>
            <w:r>
              <w:rPr>
                <w:rFonts w:eastAsia="Noto Sans JP" w:ascii="Avenir Next" w:hAnsi="Avenir Next"/>
                <w:rFonts w:ascii="Noto Sans JP" w:hAnsi="Noto Sans JP"/>
                <w:b w:val="0"/>
                <w:color w:val="FFFFFF"/>
                <w:sz w:val="20"/>
              </w:rPr>
              <w:t>ANT-DBSの治療選択・デバイス情報は、メドトロニック担当者へお問い合わせください。</w:t>
            </w:r>
          </w:p>
        </w:tc>
      </w:tr>
    </w:tbl>
    <w:p/>
    <w:p>
      <w:pPr>
        <w:spacing w:before="160"/>
      </w:pPr>
      <w:r>
        <w:rPr>
          <w:rFonts w:eastAsia="Noto Sans JP" w:ascii="Avenir Next" w:hAnsi="Avenir Next"/>
          <w:rFonts w:ascii="Noto Sans JP" w:hAnsi="Noto Sans JP"/>
          <w:b/>
          <w:color w:val="003087"/>
          <w:sz w:val="18"/>
        </w:rPr>
        <w:t>Medtronic Activa™ PC（型番：37601）/ Activa™ RC（型番：37612）</w:t>
        <w:br/>
      </w:r>
      <w:r>
        <w:rPr>
          <w:rFonts w:eastAsia="Noto Sans JP" w:ascii="Avenir Next" w:hAnsi="Avenir Next"/>
          <w:rFonts w:ascii="Noto Sans JP" w:hAnsi="Noto Sans JP"/>
          <w:b w:val="0"/>
          <w:color w:val="666666"/>
          <w:sz w:val="16"/>
        </w:rPr>
        <w:t>本資材は医療従事者向けの情報提供を目的として作成されています。記載の臨床データはZhu J, et al. J Clin Neurosci. 2021;90:112–117 を出典とします。</w:t>
        <w:br/>
      </w:r>
    </w:p>
    <w:p>
      <w:pPr>
        <w:jc w:val="right"/>
      </w:pPr>
      <w:r>
        <w:rPr>
          <w:rFonts w:eastAsia="Noto Sans JP" w:ascii="Avenir Next" w:hAnsi="Avenir Next"/>
          <w:rFonts w:ascii="Avenir Next" w:hAnsi="Avenir Next"/>
          <w:b w:val="0"/>
          <w:color w:val="003087"/>
          <w:sz w:val="18"/>
        </w:rPr>
        <w:t>Engineering the extraordinary   |   Medtronic</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