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91F6E" w14:textId="52A6763E" w:rsidR="00502852" w:rsidRPr="004C3FB8" w:rsidRDefault="00BB280D" w:rsidP="00577E2B">
      <w:pPr>
        <w:pStyle w:val="Title"/>
        <w:jc w:val="center"/>
        <w:rPr>
          <w:rFonts w:asciiTheme="minorHAnsi" w:hAnsiTheme="minorHAnsi" w:cstheme="minorHAnsi"/>
          <w:b/>
          <w:bCs/>
        </w:rPr>
      </w:pPr>
      <w:r>
        <w:rPr>
          <w:rFonts w:asciiTheme="minorHAnsi" w:hAnsiTheme="minorHAnsi" w:cstheme="minorHAnsi"/>
          <w:b/>
          <w:bCs/>
        </w:rPr>
        <w:t>MGM</w:t>
      </w:r>
      <w:r w:rsidR="00577E2B">
        <w:rPr>
          <w:rFonts w:asciiTheme="minorHAnsi" w:hAnsiTheme="minorHAnsi" w:cstheme="minorHAnsi"/>
          <w:b/>
          <w:bCs/>
        </w:rPr>
        <w:t xml:space="preserve"> </w:t>
      </w:r>
      <w:r>
        <w:rPr>
          <w:rFonts w:asciiTheme="minorHAnsi" w:hAnsiTheme="minorHAnsi" w:cstheme="minorHAnsi"/>
          <w:b/>
          <w:bCs/>
        </w:rPr>
        <w:t>Resort International</w:t>
      </w:r>
    </w:p>
    <w:p w14:paraId="0051AE28" w14:textId="5D01CEDF" w:rsidR="00BA00C3" w:rsidRDefault="003E587C" w:rsidP="00CA5287">
      <w:pPr>
        <w:pStyle w:val="Title"/>
        <w:jc w:val="center"/>
        <w:rPr>
          <w:rFonts w:asciiTheme="minorHAnsi" w:hAnsiTheme="minorHAnsi" w:cstheme="minorHAnsi"/>
          <w:b/>
          <w:bCs/>
        </w:rPr>
      </w:pPr>
      <w:r>
        <w:rPr>
          <w:rFonts w:asciiTheme="minorHAnsi" w:hAnsiTheme="minorHAnsi" w:cstheme="minorHAnsi"/>
          <w:b/>
          <w:bCs/>
        </w:rPr>
        <w:t>FY</w:t>
      </w:r>
      <w:r w:rsidR="00380274">
        <w:rPr>
          <w:rFonts w:asciiTheme="minorHAnsi" w:hAnsiTheme="minorHAnsi" w:cstheme="minorHAnsi"/>
          <w:b/>
          <w:bCs/>
        </w:rPr>
        <w:t>202</w:t>
      </w:r>
      <w:r w:rsidR="00577E2B">
        <w:rPr>
          <w:rFonts w:asciiTheme="minorHAnsi" w:hAnsiTheme="minorHAnsi" w:cstheme="minorHAnsi"/>
          <w:b/>
          <w:bCs/>
        </w:rPr>
        <w:t>4</w:t>
      </w:r>
      <w:r>
        <w:rPr>
          <w:rFonts w:asciiTheme="minorHAnsi" w:hAnsiTheme="minorHAnsi" w:cstheme="minorHAnsi"/>
          <w:b/>
          <w:bCs/>
        </w:rPr>
        <w:t xml:space="preserve"> </w:t>
      </w:r>
      <w:r w:rsidR="00B15FCC">
        <w:rPr>
          <w:rFonts w:asciiTheme="minorHAnsi" w:hAnsiTheme="minorHAnsi" w:cstheme="minorHAnsi"/>
          <w:b/>
          <w:bCs/>
        </w:rPr>
        <w:t>Financial Statements</w:t>
      </w:r>
      <w:r w:rsidR="00BA00C3" w:rsidRPr="004C3FB8">
        <w:rPr>
          <w:rFonts w:asciiTheme="minorHAnsi" w:hAnsiTheme="minorHAnsi" w:cstheme="minorHAnsi"/>
          <w:b/>
          <w:bCs/>
        </w:rPr>
        <w:t xml:space="preserve"> Analysis</w:t>
      </w:r>
    </w:p>
    <w:p w14:paraId="6750B60E" w14:textId="77777777" w:rsidR="002437A1" w:rsidRDefault="002437A1" w:rsidP="002437A1"/>
    <w:p w14:paraId="03EEEC51" w14:textId="77777777" w:rsidR="00126C6C" w:rsidRDefault="00126C6C" w:rsidP="002437A1"/>
    <w:p w14:paraId="31AFBAE2" w14:textId="77777777" w:rsidR="00126C6C" w:rsidRDefault="00126C6C" w:rsidP="002437A1"/>
    <w:p w14:paraId="2A96F41C" w14:textId="77777777" w:rsidR="002437A1" w:rsidRPr="002437A1" w:rsidRDefault="002437A1" w:rsidP="002437A1"/>
    <w:p w14:paraId="41E25137" w14:textId="1D0FED75" w:rsidR="00502852" w:rsidRPr="00502852" w:rsidRDefault="00BB280D" w:rsidP="00975549">
      <w:pPr>
        <w:jc w:val="center"/>
        <w:rPr>
          <w:rFonts w:cstheme="minorHAnsi"/>
          <w:color w:val="000000" w:themeColor="text1"/>
        </w:rPr>
      </w:pPr>
      <w:r>
        <w:rPr>
          <w:rFonts w:cstheme="minorHAnsi"/>
          <w:noProof/>
          <w:color w:val="000000" w:themeColor="text1"/>
        </w:rPr>
        <w:drawing>
          <wp:inline distT="0" distB="0" distL="0" distR="0" wp14:anchorId="07156A43" wp14:editId="05B384C0">
            <wp:extent cx="4526280" cy="2534718"/>
            <wp:effectExtent l="0" t="0" r="7620" b="0"/>
            <wp:docPr id="2110203803"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03803" name="Picture 1" descr="A close-up of a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554842" cy="2550713"/>
                    </a:xfrm>
                    <a:prstGeom prst="rect">
                      <a:avLst/>
                    </a:prstGeom>
                  </pic:spPr>
                </pic:pic>
              </a:graphicData>
            </a:graphic>
          </wp:inline>
        </w:drawing>
      </w:r>
    </w:p>
    <w:p w14:paraId="0CE7BB73" w14:textId="064B05CA" w:rsidR="00502852" w:rsidRPr="00502852" w:rsidRDefault="00502852" w:rsidP="00975549">
      <w:pPr>
        <w:jc w:val="center"/>
        <w:rPr>
          <w:rFonts w:cstheme="minorHAnsi"/>
          <w:b/>
          <w:bCs/>
        </w:rPr>
      </w:pPr>
    </w:p>
    <w:p w14:paraId="32FE6CBA" w14:textId="5928CD06" w:rsidR="000378FB" w:rsidRDefault="000378FB" w:rsidP="00DC4B90">
      <w:pPr>
        <w:rPr>
          <w:rFonts w:cstheme="minorHAnsi"/>
        </w:rPr>
      </w:pPr>
    </w:p>
    <w:p w14:paraId="07FF0E37" w14:textId="1A25D0FA" w:rsidR="00601990" w:rsidRDefault="00601990" w:rsidP="00BF3765">
      <w:pPr>
        <w:jc w:val="center"/>
        <w:rPr>
          <w:rFonts w:cstheme="minorHAnsi"/>
        </w:rPr>
      </w:pPr>
    </w:p>
    <w:p w14:paraId="2C8212BC" w14:textId="77777777" w:rsidR="00126C6C" w:rsidRDefault="00126C6C" w:rsidP="00862D61">
      <w:pPr>
        <w:jc w:val="center"/>
        <w:rPr>
          <w:rFonts w:cstheme="minorHAnsi"/>
          <w:sz w:val="28"/>
          <w:szCs w:val="28"/>
        </w:rPr>
      </w:pPr>
    </w:p>
    <w:p w14:paraId="72B57505" w14:textId="77777777" w:rsidR="00126C6C" w:rsidRDefault="00126C6C" w:rsidP="00862D61">
      <w:pPr>
        <w:jc w:val="center"/>
        <w:rPr>
          <w:rFonts w:cstheme="minorHAnsi"/>
          <w:sz w:val="28"/>
          <w:szCs w:val="28"/>
        </w:rPr>
      </w:pPr>
    </w:p>
    <w:p w14:paraId="4AB9E1E8" w14:textId="77777777" w:rsidR="00126C6C" w:rsidRDefault="00126C6C" w:rsidP="00862D61">
      <w:pPr>
        <w:jc w:val="center"/>
        <w:rPr>
          <w:rFonts w:cstheme="minorHAnsi"/>
          <w:sz w:val="28"/>
          <w:szCs w:val="28"/>
        </w:rPr>
      </w:pPr>
    </w:p>
    <w:p w14:paraId="6FFA7015" w14:textId="77777777" w:rsidR="00126C6C" w:rsidRDefault="00126C6C" w:rsidP="00862D61">
      <w:pPr>
        <w:jc w:val="center"/>
        <w:rPr>
          <w:rFonts w:cstheme="minorHAnsi"/>
          <w:sz w:val="28"/>
          <w:szCs w:val="28"/>
        </w:rPr>
      </w:pPr>
    </w:p>
    <w:p w14:paraId="3344FBDF" w14:textId="77777777" w:rsidR="00126C6C" w:rsidRDefault="00126C6C" w:rsidP="00862D61">
      <w:pPr>
        <w:jc w:val="center"/>
        <w:rPr>
          <w:rFonts w:cstheme="minorHAnsi"/>
          <w:sz w:val="28"/>
          <w:szCs w:val="28"/>
        </w:rPr>
      </w:pPr>
    </w:p>
    <w:p w14:paraId="4BDA0BE3" w14:textId="77777777" w:rsidR="00126C6C" w:rsidRDefault="00126C6C" w:rsidP="00862D61">
      <w:pPr>
        <w:jc w:val="center"/>
        <w:rPr>
          <w:rFonts w:cstheme="minorHAnsi"/>
          <w:sz w:val="28"/>
          <w:szCs w:val="28"/>
        </w:rPr>
      </w:pPr>
    </w:p>
    <w:p w14:paraId="43400869" w14:textId="365735DB" w:rsidR="00862D61" w:rsidRDefault="00862D61" w:rsidP="00862D61">
      <w:pPr>
        <w:jc w:val="center"/>
        <w:rPr>
          <w:rFonts w:cstheme="minorHAnsi"/>
          <w:sz w:val="28"/>
          <w:szCs w:val="28"/>
        </w:rPr>
      </w:pPr>
      <w:r w:rsidRPr="00601990">
        <w:rPr>
          <w:rFonts w:cstheme="minorHAnsi"/>
          <w:sz w:val="28"/>
          <w:szCs w:val="28"/>
        </w:rPr>
        <w:t>Seiji Hirano</w:t>
      </w:r>
    </w:p>
    <w:p w14:paraId="0731FCB7" w14:textId="79954198" w:rsidR="00126C6C" w:rsidRDefault="00862D61" w:rsidP="00126C6C">
      <w:pPr>
        <w:jc w:val="center"/>
        <w:rPr>
          <w:rFonts w:cstheme="minorHAnsi"/>
          <w:sz w:val="28"/>
          <w:szCs w:val="28"/>
        </w:rPr>
      </w:pPr>
      <w:r>
        <w:rPr>
          <w:rFonts w:cstheme="minorHAnsi"/>
          <w:sz w:val="28"/>
          <w:szCs w:val="28"/>
        </w:rPr>
        <w:t xml:space="preserve">Last Updated on </w:t>
      </w:r>
      <w:r w:rsidR="00577E2B">
        <w:rPr>
          <w:rFonts w:cstheme="minorHAnsi"/>
          <w:sz w:val="28"/>
          <w:szCs w:val="28"/>
        </w:rPr>
        <w:t>3</w:t>
      </w:r>
      <w:r>
        <w:rPr>
          <w:rFonts w:cstheme="minorHAnsi"/>
          <w:sz w:val="28"/>
          <w:szCs w:val="28"/>
        </w:rPr>
        <w:t>/</w:t>
      </w:r>
      <w:r w:rsidR="00540CBD">
        <w:rPr>
          <w:rFonts w:cstheme="minorHAnsi"/>
          <w:sz w:val="28"/>
          <w:szCs w:val="28"/>
        </w:rPr>
        <w:t>18</w:t>
      </w:r>
      <w:r>
        <w:rPr>
          <w:rFonts w:cstheme="minorHAnsi"/>
          <w:sz w:val="28"/>
          <w:szCs w:val="28"/>
        </w:rPr>
        <w:t>/2025</w:t>
      </w:r>
    </w:p>
    <w:sdt>
      <w:sdtPr>
        <w:rPr>
          <w:rFonts w:asciiTheme="minorHAnsi" w:eastAsiaTheme="minorHAnsi" w:hAnsiTheme="minorHAnsi" w:cstheme="minorBidi"/>
          <w:color w:val="auto"/>
          <w:kern w:val="2"/>
          <w:sz w:val="22"/>
          <w:szCs w:val="22"/>
          <w14:ligatures w14:val="standardContextual"/>
        </w:rPr>
        <w:id w:val="1229648796"/>
        <w:docPartObj>
          <w:docPartGallery w:val="Table of Contents"/>
          <w:docPartUnique/>
        </w:docPartObj>
      </w:sdtPr>
      <w:sdtEndPr>
        <w:rPr>
          <w:rFonts w:eastAsia="MS Mincho"/>
          <w:b/>
          <w:bCs/>
          <w:noProof/>
        </w:rPr>
      </w:sdtEndPr>
      <w:sdtContent>
        <w:p w14:paraId="4F0C3C94" w14:textId="609E1E11" w:rsidR="00FA020B" w:rsidRDefault="00FA020B">
          <w:pPr>
            <w:pStyle w:val="TOCHeading"/>
          </w:pPr>
          <w:r>
            <w:t>Table of Contents</w:t>
          </w:r>
        </w:p>
        <w:p w14:paraId="732AF671" w14:textId="11C84DDC" w:rsidR="00E546D2" w:rsidRDefault="00FA020B">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3219065" w:history="1">
            <w:r w:rsidR="00E546D2" w:rsidRPr="00C2654D">
              <w:rPr>
                <w:rStyle w:val="Hyperlink"/>
                <w:noProof/>
              </w:rPr>
              <w:t xml:space="preserve">Report </w:t>
            </w:r>
            <w:r w:rsidR="00E546D2" w:rsidRPr="00C2654D">
              <w:rPr>
                <w:rStyle w:val="Hyperlink"/>
                <w:noProof/>
                <w:lang w:eastAsia="ja-JP"/>
              </w:rPr>
              <w:t>Overview &amp; Background</w:t>
            </w:r>
            <w:r w:rsidR="00E546D2">
              <w:rPr>
                <w:noProof/>
                <w:webHidden/>
              </w:rPr>
              <w:tab/>
            </w:r>
            <w:r w:rsidR="00E546D2">
              <w:rPr>
                <w:noProof/>
                <w:webHidden/>
              </w:rPr>
              <w:fldChar w:fldCharType="begin"/>
            </w:r>
            <w:r w:rsidR="00E546D2">
              <w:rPr>
                <w:noProof/>
                <w:webHidden/>
              </w:rPr>
              <w:instrText xml:space="preserve"> PAGEREF _Toc193219065 \h </w:instrText>
            </w:r>
            <w:r w:rsidR="00E546D2">
              <w:rPr>
                <w:noProof/>
                <w:webHidden/>
              </w:rPr>
            </w:r>
            <w:r w:rsidR="00E546D2">
              <w:rPr>
                <w:noProof/>
                <w:webHidden/>
              </w:rPr>
              <w:fldChar w:fldCharType="separate"/>
            </w:r>
            <w:r w:rsidR="00E546D2">
              <w:rPr>
                <w:noProof/>
                <w:webHidden/>
              </w:rPr>
              <w:t>4</w:t>
            </w:r>
            <w:r w:rsidR="00E546D2">
              <w:rPr>
                <w:noProof/>
                <w:webHidden/>
              </w:rPr>
              <w:fldChar w:fldCharType="end"/>
            </w:r>
          </w:hyperlink>
        </w:p>
        <w:p w14:paraId="523D362D" w14:textId="4C4D5EA6" w:rsidR="00E546D2" w:rsidRDefault="00E546D2">
          <w:pPr>
            <w:pStyle w:val="TOC2"/>
            <w:tabs>
              <w:tab w:val="right" w:leader="dot" w:pos="9350"/>
            </w:tabs>
            <w:rPr>
              <w:rFonts w:eastAsiaTheme="minorEastAsia"/>
              <w:noProof/>
              <w:sz w:val="24"/>
              <w:szCs w:val="24"/>
            </w:rPr>
          </w:pPr>
          <w:hyperlink w:anchor="_Toc193219066" w:history="1">
            <w:r w:rsidRPr="00C2654D">
              <w:rPr>
                <w:rStyle w:val="Hyperlink"/>
                <w:noProof/>
                <w:lang w:eastAsia="ja-JP"/>
              </w:rPr>
              <w:t>Description</w:t>
            </w:r>
            <w:r>
              <w:rPr>
                <w:noProof/>
                <w:webHidden/>
              </w:rPr>
              <w:tab/>
            </w:r>
            <w:r>
              <w:rPr>
                <w:noProof/>
                <w:webHidden/>
              </w:rPr>
              <w:fldChar w:fldCharType="begin"/>
            </w:r>
            <w:r>
              <w:rPr>
                <w:noProof/>
                <w:webHidden/>
              </w:rPr>
              <w:instrText xml:space="preserve"> PAGEREF _Toc193219066 \h </w:instrText>
            </w:r>
            <w:r>
              <w:rPr>
                <w:noProof/>
                <w:webHidden/>
              </w:rPr>
            </w:r>
            <w:r>
              <w:rPr>
                <w:noProof/>
                <w:webHidden/>
              </w:rPr>
              <w:fldChar w:fldCharType="separate"/>
            </w:r>
            <w:r>
              <w:rPr>
                <w:noProof/>
                <w:webHidden/>
              </w:rPr>
              <w:t>4</w:t>
            </w:r>
            <w:r>
              <w:rPr>
                <w:noProof/>
                <w:webHidden/>
              </w:rPr>
              <w:fldChar w:fldCharType="end"/>
            </w:r>
          </w:hyperlink>
        </w:p>
        <w:p w14:paraId="11543032" w14:textId="7051EC52" w:rsidR="00E546D2" w:rsidRDefault="00E546D2">
          <w:pPr>
            <w:pStyle w:val="TOC2"/>
            <w:tabs>
              <w:tab w:val="right" w:leader="dot" w:pos="9350"/>
            </w:tabs>
            <w:rPr>
              <w:rFonts w:eastAsiaTheme="minorEastAsia"/>
              <w:noProof/>
              <w:sz w:val="24"/>
              <w:szCs w:val="24"/>
            </w:rPr>
          </w:pPr>
          <w:hyperlink w:anchor="_Toc193219067" w:history="1">
            <w:r w:rsidRPr="00C2654D">
              <w:rPr>
                <w:rStyle w:val="Hyperlink"/>
                <w:noProof/>
                <w:lang w:eastAsia="ja-JP"/>
              </w:rPr>
              <w:t>Methodology</w:t>
            </w:r>
            <w:r>
              <w:rPr>
                <w:noProof/>
                <w:webHidden/>
              </w:rPr>
              <w:tab/>
            </w:r>
            <w:r>
              <w:rPr>
                <w:noProof/>
                <w:webHidden/>
              </w:rPr>
              <w:fldChar w:fldCharType="begin"/>
            </w:r>
            <w:r>
              <w:rPr>
                <w:noProof/>
                <w:webHidden/>
              </w:rPr>
              <w:instrText xml:space="preserve"> PAGEREF _Toc193219067 \h </w:instrText>
            </w:r>
            <w:r>
              <w:rPr>
                <w:noProof/>
                <w:webHidden/>
              </w:rPr>
            </w:r>
            <w:r>
              <w:rPr>
                <w:noProof/>
                <w:webHidden/>
              </w:rPr>
              <w:fldChar w:fldCharType="separate"/>
            </w:r>
            <w:r>
              <w:rPr>
                <w:noProof/>
                <w:webHidden/>
              </w:rPr>
              <w:t>4</w:t>
            </w:r>
            <w:r>
              <w:rPr>
                <w:noProof/>
                <w:webHidden/>
              </w:rPr>
              <w:fldChar w:fldCharType="end"/>
            </w:r>
          </w:hyperlink>
        </w:p>
        <w:p w14:paraId="65C9AB74" w14:textId="65F45114" w:rsidR="00E546D2" w:rsidRDefault="00E546D2">
          <w:pPr>
            <w:pStyle w:val="TOC1"/>
            <w:tabs>
              <w:tab w:val="right" w:leader="dot" w:pos="9350"/>
            </w:tabs>
            <w:rPr>
              <w:rFonts w:eastAsiaTheme="minorEastAsia"/>
              <w:noProof/>
              <w:sz w:val="24"/>
              <w:szCs w:val="24"/>
            </w:rPr>
          </w:pPr>
          <w:hyperlink w:anchor="_Toc193219068" w:history="1">
            <w:r w:rsidRPr="00C2654D">
              <w:rPr>
                <w:rStyle w:val="Hyperlink"/>
                <w:noProof/>
              </w:rPr>
              <w:t xml:space="preserve">Company </w:t>
            </w:r>
            <w:r w:rsidRPr="00C2654D">
              <w:rPr>
                <w:rStyle w:val="Hyperlink"/>
                <w:noProof/>
                <w:lang w:eastAsia="ja-JP"/>
              </w:rPr>
              <w:t>Overview</w:t>
            </w:r>
            <w:r>
              <w:rPr>
                <w:noProof/>
                <w:webHidden/>
              </w:rPr>
              <w:tab/>
            </w:r>
            <w:r>
              <w:rPr>
                <w:noProof/>
                <w:webHidden/>
              </w:rPr>
              <w:fldChar w:fldCharType="begin"/>
            </w:r>
            <w:r>
              <w:rPr>
                <w:noProof/>
                <w:webHidden/>
              </w:rPr>
              <w:instrText xml:space="preserve"> PAGEREF _Toc193219068 \h </w:instrText>
            </w:r>
            <w:r>
              <w:rPr>
                <w:noProof/>
                <w:webHidden/>
              </w:rPr>
            </w:r>
            <w:r>
              <w:rPr>
                <w:noProof/>
                <w:webHidden/>
              </w:rPr>
              <w:fldChar w:fldCharType="separate"/>
            </w:r>
            <w:r>
              <w:rPr>
                <w:noProof/>
                <w:webHidden/>
              </w:rPr>
              <w:t>4</w:t>
            </w:r>
            <w:r>
              <w:rPr>
                <w:noProof/>
                <w:webHidden/>
              </w:rPr>
              <w:fldChar w:fldCharType="end"/>
            </w:r>
          </w:hyperlink>
        </w:p>
        <w:p w14:paraId="04C37150" w14:textId="338EC393" w:rsidR="00E546D2" w:rsidRDefault="00E546D2">
          <w:pPr>
            <w:pStyle w:val="TOC2"/>
            <w:tabs>
              <w:tab w:val="right" w:leader="dot" w:pos="9350"/>
            </w:tabs>
            <w:rPr>
              <w:rFonts w:eastAsiaTheme="minorEastAsia"/>
              <w:noProof/>
              <w:sz w:val="24"/>
              <w:szCs w:val="24"/>
            </w:rPr>
          </w:pPr>
          <w:hyperlink w:anchor="_Toc193219069" w:history="1">
            <w:r w:rsidRPr="00C2654D">
              <w:rPr>
                <w:rStyle w:val="Hyperlink"/>
                <w:noProof/>
                <w:lang w:eastAsia="ja-JP"/>
              </w:rPr>
              <w:t>MGM Resort International</w:t>
            </w:r>
            <w:r>
              <w:rPr>
                <w:noProof/>
                <w:webHidden/>
              </w:rPr>
              <w:tab/>
            </w:r>
            <w:r>
              <w:rPr>
                <w:noProof/>
                <w:webHidden/>
              </w:rPr>
              <w:fldChar w:fldCharType="begin"/>
            </w:r>
            <w:r>
              <w:rPr>
                <w:noProof/>
                <w:webHidden/>
              </w:rPr>
              <w:instrText xml:space="preserve"> PAGEREF _Toc193219069 \h </w:instrText>
            </w:r>
            <w:r>
              <w:rPr>
                <w:noProof/>
                <w:webHidden/>
              </w:rPr>
            </w:r>
            <w:r>
              <w:rPr>
                <w:noProof/>
                <w:webHidden/>
              </w:rPr>
              <w:fldChar w:fldCharType="separate"/>
            </w:r>
            <w:r>
              <w:rPr>
                <w:noProof/>
                <w:webHidden/>
              </w:rPr>
              <w:t>4</w:t>
            </w:r>
            <w:r>
              <w:rPr>
                <w:noProof/>
                <w:webHidden/>
              </w:rPr>
              <w:fldChar w:fldCharType="end"/>
            </w:r>
          </w:hyperlink>
        </w:p>
        <w:p w14:paraId="58DEBA51" w14:textId="12460D03" w:rsidR="00E546D2" w:rsidRDefault="00E546D2">
          <w:pPr>
            <w:pStyle w:val="TOC3"/>
            <w:tabs>
              <w:tab w:val="right" w:leader="dot" w:pos="9350"/>
            </w:tabs>
            <w:rPr>
              <w:rFonts w:eastAsiaTheme="minorEastAsia"/>
              <w:noProof/>
              <w:sz w:val="24"/>
              <w:szCs w:val="24"/>
            </w:rPr>
          </w:pPr>
          <w:hyperlink w:anchor="_Toc193219070" w:history="1">
            <w:r w:rsidRPr="00C2654D">
              <w:rPr>
                <w:rStyle w:val="Hyperlink"/>
                <w:noProof/>
              </w:rPr>
              <w:t>Business</w:t>
            </w:r>
            <w:r>
              <w:rPr>
                <w:noProof/>
                <w:webHidden/>
              </w:rPr>
              <w:tab/>
            </w:r>
            <w:r>
              <w:rPr>
                <w:noProof/>
                <w:webHidden/>
              </w:rPr>
              <w:fldChar w:fldCharType="begin"/>
            </w:r>
            <w:r>
              <w:rPr>
                <w:noProof/>
                <w:webHidden/>
              </w:rPr>
              <w:instrText xml:space="preserve"> PAGEREF _Toc193219070 \h </w:instrText>
            </w:r>
            <w:r>
              <w:rPr>
                <w:noProof/>
                <w:webHidden/>
              </w:rPr>
            </w:r>
            <w:r>
              <w:rPr>
                <w:noProof/>
                <w:webHidden/>
              </w:rPr>
              <w:fldChar w:fldCharType="separate"/>
            </w:r>
            <w:r>
              <w:rPr>
                <w:noProof/>
                <w:webHidden/>
              </w:rPr>
              <w:t>4</w:t>
            </w:r>
            <w:r>
              <w:rPr>
                <w:noProof/>
                <w:webHidden/>
              </w:rPr>
              <w:fldChar w:fldCharType="end"/>
            </w:r>
          </w:hyperlink>
        </w:p>
        <w:p w14:paraId="739E8E5D" w14:textId="3406D53C" w:rsidR="00E546D2" w:rsidRDefault="00E546D2">
          <w:pPr>
            <w:pStyle w:val="TOC3"/>
            <w:tabs>
              <w:tab w:val="right" w:leader="dot" w:pos="9350"/>
            </w:tabs>
            <w:rPr>
              <w:rFonts w:eastAsiaTheme="minorEastAsia"/>
              <w:noProof/>
              <w:sz w:val="24"/>
              <w:szCs w:val="24"/>
            </w:rPr>
          </w:pPr>
          <w:hyperlink w:anchor="_Toc193219071" w:history="1">
            <w:r w:rsidRPr="00C2654D">
              <w:rPr>
                <w:rStyle w:val="Hyperlink"/>
                <w:noProof/>
              </w:rPr>
              <w:t>Competition</w:t>
            </w:r>
            <w:r>
              <w:rPr>
                <w:noProof/>
                <w:webHidden/>
              </w:rPr>
              <w:tab/>
            </w:r>
            <w:r>
              <w:rPr>
                <w:noProof/>
                <w:webHidden/>
              </w:rPr>
              <w:fldChar w:fldCharType="begin"/>
            </w:r>
            <w:r>
              <w:rPr>
                <w:noProof/>
                <w:webHidden/>
              </w:rPr>
              <w:instrText xml:space="preserve"> PAGEREF _Toc193219071 \h </w:instrText>
            </w:r>
            <w:r>
              <w:rPr>
                <w:noProof/>
                <w:webHidden/>
              </w:rPr>
            </w:r>
            <w:r>
              <w:rPr>
                <w:noProof/>
                <w:webHidden/>
              </w:rPr>
              <w:fldChar w:fldCharType="separate"/>
            </w:r>
            <w:r>
              <w:rPr>
                <w:noProof/>
                <w:webHidden/>
              </w:rPr>
              <w:t>5</w:t>
            </w:r>
            <w:r>
              <w:rPr>
                <w:noProof/>
                <w:webHidden/>
              </w:rPr>
              <w:fldChar w:fldCharType="end"/>
            </w:r>
          </w:hyperlink>
        </w:p>
        <w:p w14:paraId="24C876EE" w14:textId="3BC4B6B0" w:rsidR="00E546D2" w:rsidRDefault="00E546D2">
          <w:pPr>
            <w:pStyle w:val="TOC3"/>
            <w:tabs>
              <w:tab w:val="right" w:leader="dot" w:pos="9350"/>
            </w:tabs>
            <w:rPr>
              <w:rFonts w:eastAsiaTheme="minorEastAsia"/>
              <w:noProof/>
              <w:sz w:val="24"/>
              <w:szCs w:val="24"/>
            </w:rPr>
          </w:pPr>
          <w:hyperlink w:anchor="_Toc193219072" w:history="1">
            <w:r w:rsidRPr="00C2654D">
              <w:rPr>
                <w:rStyle w:val="Hyperlink"/>
                <w:noProof/>
              </w:rPr>
              <w:t>Employees &amp; Labor Relations</w:t>
            </w:r>
            <w:r>
              <w:rPr>
                <w:noProof/>
                <w:webHidden/>
              </w:rPr>
              <w:tab/>
            </w:r>
            <w:r>
              <w:rPr>
                <w:noProof/>
                <w:webHidden/>
              </w:rPr>
              <w:fldChar w:fldCharType="begin"/>
            </w:r>
            <w:r>
              <w:rPr>
                <w:noProof/>
                <w:webHidden/>
              </w:rPr>
              <w:instrText xml:space="preserve"> PAGEREF _Toc193219072 \h </w:instrText>
            </w:r>
            <w:r>
              <w:rPr>
                <w:noProof/>
                <w:webHidden/>
              </w:rPr>
            </w:r>
            <w:r>
              <w:rPr>
                <w:noProof/>
                <w:webHidden/>
              </w:rPr>
              <w:fldChar w:fldCharType="separate"/>
            </w:r>
            <w:r>
              <w:rPr>
                <w:noProof/>
                <w:webHidden/>
              </w:rPr>
              <w:t>5</w:t>
            </w:r>
            <w:r>
              <w:rPr>
                <w:noProof/>
                <w:webHidden/>
              </w:rPr>
              <w:fldChar w:fldCharType="end"/>
            </w:r>
          </w:hyperlink>
        </w:p>
        <w:p w14:paraId="398746BA" w14:textId="6715CE2E" w:rsidR="00E546D2" w:rsidRDefault="00E546D2">
          <w:pPr>
            <w:pStyle w:val="TOC3"/>
            <w:tabs>
              <w:tab w:val="right" w:leader="dot" w:pos="9350"/>
            </w:tabs>
            <w:rPr>
              <w:rFonts w:eastAsiaTheme="minorEastAsia"/>
              <w:noProof/>
              <w:sz w:val="24"/>
              <w:szCs w:val="24"/>
            </w:rPr>
          </w:pPr>
          <w:hyperlink w:anchor="_Toc193219073" w:history="1">
            <w:r w:rsidRPr="00C2654D">
              <w:rPr>
                <w:rStyle w:val="Hyperlink"/>
                <w:noProof/>
              </w:rPr>
              <w:t>Key Risk Factors Unique to MGM</w:t>
            </w:r>
            <w:r>
              <w:rPr>
                <w:noProof/>
                <w:webHidden/>
              </w:rPr>
              <w:tab/>
            </w:r>
            <w:r>
              <w:rPr>
                <w:noProof/>
                <w:webHidden/>
              </w:rPr>
              <w:fldChar w:fldCharType="begin"/>
            </w:r>
            <w:r>
              <w:rPr>
                <w:noProof/>
                <w:webHidden/>
              </w:rPr>
              <w:instrText xml:space="preserve"> PAGEREF _Toc193219073 \h </w:instrText>
            </w:r>
            <w:r>
              <w:rPr>
                <w:noProof/>
                <w:webHidden/>
              </w:rPr>
            </w:r>
            <w:r>
              <w:rPr>
                <w:noProof/>
                <w:webHidden/>
              </w:rPr>
              <w:fldChar w:fldCharType="separate"/>
            </w:r>
            <w:r>
              <w:rPr>
                <w:noProof/>
                <w:webHidden/>
              </w:rPr>
              <w:t>5</w:t>
            </w:r>
            <w:r>
              <w:rPr>
                <w:noProof/>
                <w:webHidden/>
              </w:rPr>
              <w:fldChar w:fldCharType="end"/>
            </w:r>
          </w:hyperlink>
        </w:p>
        <w:p w14:paraId="15B1253D" w14:textId="68430ADA" w:rsidR="00E546D2" w:rsidRDefault="00E546D2">
          <w:pPr>
            <w:pStyle w:val="TOC3"/>
            <w:tabs>
              <w:tab w:val="right" w:leader="dot" w:pos="9350"/>
            </w:tabs>
            <w:rPr>
              <w:rFonts w:eastAsiaTheme="minorEastAsia"/>
              <w:noProof/>
              <w:sz w:val="24"/>
              <w:szCs w:val="24"/>
            </w:rPr>
          </w:pPr>
          <w:hyperlink w:anchor="_Toc193219074" w:history="1">
            <w:r w:rsidRPr="00C2654D">
              <w:rPr>
                <w:rStyle w:val="Hyperlink"/>
                <w:noProof/>
              </w:rPr>
              <w:t>Business Development Overview</w:t>
            </w:r>
            <w:r>
              <w:rPr>
                <w:noProof/>
                <w:webHidden/>
              </w:rPr>
              <w:tab/>
            </w:r>
            <w:r>
              <w:rPr>
                <w:noProof/>
                <w:webHidden/>
              </w:rPr>
              <w:fldChar w:fldCharType="begin"/>
            </w:r>
            <w:r>
              <w:rPr>
                <w:noProof/>
                <w:webHidden/>
              </w:rPr>
              <w:instrText xml:space="preserve"> PAGEREF _Toc193219074 \h </w:instrText>
            </w:r>
            <w:r>
              <w:rPr>
                <w:noProof/>
                <w:webHidden/>
              </w:rPr>
            </w:r>
            <w:r>
              <w:rPr>
                <w:noProof/>
                <w:webHidden/>
              </w:rPr>
              <w:fldChar w:fldCharType="separate"/>
            </w:r>
            <w:r>
              <w:rPr>
                <w:noProof/>
                <w:webHidden/>
              </w:rPr>
              <w:t>6</w:t>
            </w:r>
            <w:r>
              <w:rPr>
                <w:noProof/>
                <w:webHidden/>
              </w:rPr>
              <w:fldChar w:fldCharType="end"/>
            </w:r>
          </w:hyperlink>
        </w:p>
        <w:p w14:paraId="47EE5C91" w14:textId="6C98BE3C" w:rsidR="00E546D2" w:rsidRDefault="00E546D2">
          <w:pPr>
            <w:pStyle w:val="TOC3"/>
            <w:tabs>
              <w:tab w:val="right" w:leader="dot" w:pos="9350"/>
            </w:tabs>
            <w:rPr>
              <w:rFonts w:eastAsiaTheme="minorEastAsia"/>
              <w:noProof/>
              <w:sz w:val="24"/>
              <w:szCs w:val="24"/>
            </w:rPr>
          </w:pPr>
          <w:hyperlink w:anchor="_Toc193219075" w:history="1">
            <w:r w:rsidRPr="00C2654D">
              <w:rPr>
                <w:rStyle w:val="Hyperlink"/>
                <w:noProof/>
              </w:rPr>
              <w:t>Properties</w:t>
            </w:r>
            <w:r>
              <w:rPr>
                <w:noProof/>
                <w:webHidden/>
              </w:rPr>
              <w:tab/>
            </w:r>
            <w:r>
              <w:rPr>
                <w:noProof/>
                <w:webHidden/>
              </w:rPr>
              <w:fldChar w:fldCharType="begin"/>
            </w:r>
            <w:r>
              <w:rPr>
                <w:noProof/>
                <w:webHidden/>
              </w:rPr>
              <w:instrText xml:space="preserve"> PAGEREF _Toc193219075 \h </w:instrText>
            </w:r>
            <w:r>
              <w:rPr>
                <w:noProof/>
                <w:webHidden/>
              </w:rPr>
            </w:r>
            <w:r>
              <w:rPr>
                <w:noProof/>
                <w:webHidden/>
              </w:rPr>
              <w:fldChar w:fldCharType="separate"/>
            </w:r>
            <w:r>
              <w:rPr>
                <w:noProof/>
                <w:webHidden/>
              </w:rPr>
              <w:t>8</w:t>
            </w:r>
            <w:r>
              <w:rPr>
                <w:noProof/>
                <w:webHidden/>
              </w:rPr>
              <w:fldChar w:fldCharType="end"/>
            </w:r>
          </w:hyperlink>
        </w:p>
        <w:p w14:paraId="1E62047D" w14:textId="38FBB2F9" w:rsidR="00E546D2" w:rsidRDefault="00E546D2">
          <w:pPr>
            <w:pStyle w:val="TOC1"/>
            <w:tabs>
              <w:tab w:val="right" w:leader="dot" w:pos="9350"/>
            </w:tabs>
            <w:rPr>
              <w:rFonts w:eastAsiaTheme="minorEastAsia"/>
              <w:noProof/>
              <w:sz w:val="24"/>
              <w:szCs w:val="24"/>
            </w:rPr>
          </w:pPr>
          <w:hyperlink w:anchor="_Toc193219076" w:history="1">
            <w:r w:rsidRPr="00C2654D">
              <w:rPr>
                <w:rStyle w:val="Hyperlink"/>
                <w:noProof/>
              </w:rPr>
              <w:t>Horizontal Analysis</w:t>
            </w:r>
            <w:r>
              <w:rPr>
                <w:noProof/>
                <w:webHidden/>
              </w:rPr>
              <w:tab/>
            </w:r>
            <w:r>
              <w:rPr>
                <w:noProof/>
                <w:webHidden/>
              </w:rPr>
              <w:fldChar w:fldCharType="begin"/>
            </w:r>
            <w:r>
              <w:rPr>
                <w:noProof/>
                <w:webHidden/>
              </w:rPr>
              <w:instrText xml:space="preserve"> PAGEREF _Toc193219076 \h </w:instrText>
            </w:r>
            <w:r>
              <w:rPr>
                <w:noProof/>
                <w:webHidden/>
              </w:rPr>
            </w:r>
            <w:r>
              <w:rPr>
                <w:noProof/>
                <w:webHidden/>
              </w:rPr>
              <w:fldChar w:fldCharType="separate"/>
            </w:r>
            <w:r>
              <w:rPr>
                <w:noProof/>
                <w:webHidden/>
              </w:rPr>
              <w:t>9</w:t>
            </w:r>
            <w:r>
              <w:rPr>
                <w:noProof/>
                <w:webHidden/>
              </w:rPr>
              <w:fldChar w:fldCharType="end"/>
            </w:r>
          </w:hyperlink>
        </w:p>
        <w:p w14:paraId="3152F2C6" w14:textId="1B35A319" w:rsidR="00E546D2" w:rsidRDefault="00E546D2">
          <w:pPr>
            <w:pStyle w:val="TOC3"/>
            <w:tabs>
              <w:tab w:val="right" w:leader="dot" w:pos="9350"/>
            </w:tabs>
            <w:rPr>
              <w:rFonts w:eastAsiaTheme="minorEastAsia"/>
              <w:noProof/>
              <w:sz w:val="24"/>
              <w:szCs w:val="24"/>
            </w:rPr>
          </w:pPr>
          <w:hyperlink w:anchor="_Toc193219077" w:history="1">
            <w:r w:rsidRPr="00C2654D">
              <w:rPr>
                <w:rStyle w:val="Hyperlink"/>
                <w:noProof/>
              </w:rPr>
              <w:t>KPIs</w:t>
            </w:r>
            <w:r>
              <w:rPr>
                <w:noProof/>
                <w:webHidden/>
              </w:rPr>
              <w:tab/>
            </w:r>
            <w:r>
              <w:rPr>
                <w:noProof/>
                <w:webHidden/>
              </w:rPr>
              <w:fldChar w:fldCharType="begin"/>
            </w:r>
            <w:r>
              <w:rPr>
                <w:noProof/>
                <w:webHidden/>
              </w:rPr>
              <w:instrText xml:space="preserve"> PAGEREF _Toc193219077 \h </w:instrText>
            </w:r>
            <w:r>
              <w:rPr>
                <w:noProof/>
                <w:webHidden/>
              </w:rPr>
            </w:r>
            <w:r>
              <w:rPr>
                <w:noProof/>
                <w:webHidden/>
              </w:rPr>
              <w:fldChar w:fldCharType="separate"/>
            </w:r>
            <w:r>
              <w:rPr>
                <w:noProof/>
                <w:webHidden/>
              </w:rPr>
              <w:t>9</w:t>
            </w:r>
            <w:r>
              <w:rPr>
                <w:noProof/>
                <w:webHidden/>
              </w:rPr>
              <w:fldChar w:fldCharType="end"/>
            </w:r>
          </w:hyperlink>
        </w:p>
        <w:p w14:paraId="563854B8" w14:textId="1A7EB902" w:rsidR="00E546D2" w:rsidRDefault="00E546D2">
          <w:pPr>
            <w:pStyle w:val="TOC3"/>
            <w:tabs>
              <w:tab w:val="right" w:leader="dot" w:pos="9350"/>
            </w:tabs>
            <w:rPr>
              <w:rFonts w:eastAsiaTheme="minorEastAsia"/>
              <w:noProof/>
              <w:sz w:val="24"/>
              <w:szCs w:val="24"/>
            </w:rPr>
          </w:pPr>
          <w:hyperlink w:anchor="_Toc193219078" w:history="1">
            <w:r w:rsidRPr="00C2654D">
              <w:rPr>
                <w:rStyle w:val="Hyperlink"/>
                <w:noProof/>
              </w:rPr>
              <w:t>Balance Sheet Chart</w:t>
            </w:r>
            <w:r>
              <w:rPr>
                <w:noProof/>
                <w:webHidden/>
              </w:rPr>
              <w:tab/>
            </w:r>
            <w:r>
              <w:rPr>
                <w:noProof/>
                <w:webHidden/>
              </w:rPr>
              <w:fldChar w:fldCharType="begin"/>
            </w:r>
            <w:r>
              <w:rPr>
                <w:noProof/>
                <w:webHidden/>
              </w:rPr>
              <w:instrText xml:space="preserve"> PAGEREF _Toc193219078 \h </w:instrText>
            </w:r>
            <w:r>
              <w:rPr>
                <w:noProof/>
                <w:webHidden/>
              </w:rPr>
            </w:r>
            <w:r>
              <w:rPr>
                <w:noProof/>
                <w:webHidden/>
              </w:rPr>
              <w:fldChar w:fldCharType="separate"/>
            </w:r>
            <w:r>
              <w:rPr>
                <w:noProof/>
                <w:webHidden/>
              </w:rPr>
              <w:t>11</w:t>
            </w:r>
            <w:r>
              <w:rPr>
                <w:noProof/>
                <w:webHidden/>
              </w:rPr>
              <w:fldChar w:fldCharType="end"/>
            </w:r>
          </w:hyperlink>
        </w:p>
        <w:p w14:paraId="4A16F8ED" w14:textId="0E307A34" w:rsidR="00E546D2" w:rsidRDefault="00E546D2">
          <w:pPr>
            <w:pStyle w:val="TOC3"/>
            <w:tabs>
              <w:tab w:val="right" w:leader="dot" w:pos="9350"/>
            </w:tabs>
            <w:rPr>
              <w:rFonts w:eastAsiaTheme="minorEastAsia"/>
              <w:noProof/>
              <w:sz w:val="24"/>
              <w:szCs w:val="24"/>
            </w:rPr>
          </w:pPr>
          <w:hyperlink w:anchor="_Toc193219079" w:history="1">
            <w:r w:rsidRPr="00C2654D">
              <w:rPr>
                <w:rStyle w:val="Hyperlink"/>
                <w:noProof/>
              </w:rPr>
              <w:t>P/L Chart</w:t>
            </w:r>
            <w:r>
              <w:rPr>
                <w:noProof/>
                <w:webHidden/>
              </w:rPr>
              <w:tab/>
            </w:r>
            <w:r>
              <w:rPr>
                <w:noProof/>
                <w:webHidden/>
              </w:rPr>
              <w:fldChar w:fldCharType="begin"/>
            </w:r>
            <w:r>
              <w:rPr>
                <w:noProof/>
                <w:webHidden/>
              </w:rPr>
              <w:instrText xml:space="preserve"> PAGEREF _Toc193219079 \h </w:instrText>
            </w:r>
            <w:r>
              <w:rPr>
                <w:noProof/>
                <w:webHidden/>
              </w:rPr>
            </w:r>
            <w:r>
              <w:rPr>
                <w:noProof/>
                <w:webHidden/>
              </w:rPr>
              <w:fldChar w:fldCharType="separate"/>
            </w:r>
            <w:r>
              <w:rPr>
                <w:noProof/>
                <w:webHidden/>
              </w:rPr>
              <w:t>11</w:t>
            </w:r>
            <w:r>
              <w:rPr>
                <w:noProof/>
                <w:webHidden/>
              </w:rPr>
              <w:fldChar w:fldCharType="end"/>
            </w:r>
          </w:hyperlink>
        </w:p>
        <w:p w14:paraId="6E586D05" w14:textId="68CB0936" w:rsidR="00E546D2" w:rsidRDefault="00E546D2">
          <w:pPr>
            <w:pStyle w:val="TOC3"/>
            <w:tabs>
              <w:tab w:val="right" w:leader="dot" w:pos="9350"/>
            </w:tabs>
            <w:rPr>
              <w:rFonts w:eastAsiaTheme="minorEastAsia"/>
              <w:noProof/>
              <w:sz w:val="24"/>
              <w:szCs w:val="24"/>
            </w:rPr>
          </w:pPr>
          <w:hyperlink w:anchor="_Toc193219080" w:history="1">
            <w:r w:rsidRPr="00C2654D">
              <w:rPr>
                <w:rStyle w:val="Hyperlink"/>
                <w:noProof/>
              </w:rPr>
              <w:t>Cash Flow Chart (left to right)</w:t>
            </w:r>
            <w:r>
              <w:rPr>
                <w:noProof/>
                <w:webHidden/>
              </w:rPr>
              <w:tab/>
            </w:r>
            <w:r>
              <w:rPr>
                <w:noProof/>
                <w:webHidden/>
              </w:rPr>
              <w:fldChar w:fldCharType="begin"/>
            </w:r>
            <w:r>
              <w:rPr>
                <w:noProof/>
                <w:webHidden/>
              </w:rPr>
              <w:instrText xml:space="preserve"> PAGEREF _Toc193219080 \h </w:instrText>
            </w:r>
            <w:r>
              <w:rPr>
                <w:noProof/>
                <w:webHidden/>
              </w:rPr>
            </w:r>
            <w:r>
              <w:rPr>
                <w:noProof/>
                <w:webHidden/>
              </w:rPr>
              <w:fldChar w:fldCharType="separate"/>
            </w:r>
            <w:r>
              <w:rPr>
                <w:noProof/>
                <w:webHidden/>
              </w:rPr>
              <w:t>12</w:t>
            </w:r>
            <w:r>
              <w:rPr>
                <w:noProof/>
                <w:webHidden/>
              </w:rPr>
              <w:fldChar w:fldCharType="end"/>
            </w:r>
          </w:hyperlink>
        </w:p>
        <w:p w14:paraId="515B3940" w14:textId="0E261AB2" w:rsidR="00E546D2" w:rsidRDefault="00E546D2">
          <w:pPr>
            <w:pStyle w:val="TOC3"/>
            <w:tabs>
              <w:tab w:val="right" w:leader="dot" w:pos="9350"/>
            </w:tabs>
            <w:rPr>
              <w:rFonts w:eastAsiaTheme="minorEastAsia"/>
              <w:noProof/>
              <w:sz w:val="24"/>
              <w:szCs w:val="24"/>
            </w:rPr>
          </w:pPr>
          <w:hyperlink w:anchor="_Toc193219081" w:history="1">
            <w:r w:rsidRPr="00C2654D">
              <w:rPr>
                <w:rStyle w:val="Hyperlink"/>
                <w:noProof/>
              </w:rPr>
              <w:t>Historical Financial Ratios</w:t>
            </w:r>
            <w:r>
              <w:rPr>
                <w:noProof/>
                <w:webHidden/>
              </w:rPr>
              <w:tab/>
            </w:r>
            <w:r>
              <w:rPr>
                <w:noProof/>
                <w:webHidden/>
              </w:rPr>
              <w:fldChar w:fldCharType="begin"/>
            </w:r>
            <w:r>
              <w:rPr>
                <w:noProof/>
                <w:webHidden/>
              </w:rPr>
              <w:instrText xml:space="preserve"> PAGEREF _Toc193219081 \h </w:instrText>
            </w:r>
            <w:r>
              <w:rPr>
                <w:noProof/>
                <w:webHidden/>
              </w:rPr>
            </w:r>
            <w:r>
              <w:rPr>
                <w:noProof/>
                <w:webHidden/>
              </w:rPr>
              <w:fldChar w:fldCharType="separate"/>
            </w:r>
            <w:r>
              <w:rPr>
                <w:noProof/>
                <w:webHidden/>
              </w:rPr>
              <w:t>12</w:t>
            </w:r>
            <w:r>
              <w:rPr>
                <w:noProof/>
                <w:webHidden/>
              </w:rPr>
              <w:fldChar w:fldCharType="end"/>
            </w:r>
          </w:hyperlink>
        </w:p>
        <w:p w14:paraId="33B01D66" w14:textId="769562AA" w:rsidR="00E546D2" w:rsidRDefault="00E546D2">
          <w:pPr>
            <w:pStyle w:val="TOC3"/>
            <w:tabs>
              <w:tab w:val="right" w:leader="dot" w:pos="9350"/>
            </w:tabs>
            <w:rPr>
              <w:rFonts w:eastAsiaTheme="minorEastAsia"/>
              <w:noProof/>
              <w:sz w:val="24"/>
              <w:szCs w:val="24"/>
            </w:rPr>
          </w:pPr>
          <w:hyperlink w:anchor="_Toc193219082" w:history="1">
            <w:r w:rsidRPr="00C2654D">
              <w:rPr>
                <w:rStyle w:val="Hyperlink"/>
                <w:noProof/>
              </w:rPr>
              <w:t>Long-Term Debt (Most Recent Years)</w:t>
            </w:r>
            <w:r>
              <w:rPr>
                <w:noProof/>
                <w:webHidden/>
              </w:rPr>
              <w:tab/>
            </w:r>
            <w:r>
              <w:rPr>
                <w:noProof/>
                <w:webHidden/>
              </w:rPr>
              <w:fldChar w:fldCharType="begin"/>
            </w:r>
            <w:r>
              <w:rPr>
                <w:noProof/>
                <w:webHidden/>
              </w:rPr>
              <w:instrText xml:space="preserve"> PAGEREF _Toc193219082 \h </w:instrText>
            </w:r>
            <w:r>
              <w:rPr>
                <w:noProof/>
                <w:webHidden/>
              </w:rPr>
            </w:r>
            <w:r>
              <w:rPr>
                <w:noProof/>
                <w:webHidden/>
              </w:rPr>
              <w:fldChar w:fldCharType="separate"/>
            </w:r>
            <w:r>
              <w:rPr>
                <w:noProof/>
                <w:webHidden/>
              </w:rPr>
              <w:t>13</w:t>
            </w:r>
            <w:r>
              <w:rPr>
                <w:noProof/>
                <w:webHidden/>
              </w:rPr>
              <w:fldChar w:fldCharType="end"/>
            </w:r>
          </w:hyperlink>
        </w:p>
        <w:p w14:paraId="0664A108" w14:textId="064B1D62" w:rsidR="00E546D2" w:rsidRDefault="00E546D2">
          <w:pPr>
            <w:pStyle w:val="TOC3"/>
            <w:tabs>
              <w:tab w:val="right" w:leader="dot" w:pos="9350"/>
            </w:tabs>
            <w:rPr>
              <w:rFonts w:eastAsiaTheme="minorEastAsia"/>
              <w:noProof/>
              <w:sz w:val="24"/>
              <w:szCs w:val="24"/>
            </w:rPr>
          </w:pPr>
          <w:hyperlink w:anchor="_Toc193219083" w:history="1">
            <w:r w:rsidRPr="00C2654D">
              <w:rPr>
                <w:rStyle w:val="Hyperlink"/>
                <w:noProof/>
              </w:rPr>
              <w:t>Maturities of Long-Term Debt / Estimated Debt Service Requirements</w:t>
            </w:r>
            <w:r>
              <w:rPr>
                <w:noProof/>
                <w:webHidden/>
              </w:rPr>
              <w:tab/>
            </w:r>
            <w:r>
              <w:rPr>
                <w:noProof/>
                <w:webHidden/>
              </w:rPr>
              <w:fldChar w:fldCharType="begin"/>
            </w:r>
            <w:r>
              <w:rPr>
                <w:noProof/>
                <w:webHidden/>
              </w:rPr>
              <w:instrText xml:space="preserve"> PAGEREF _Toc193219083 \h </w:instrText>
            </w:r>
            <w:r>
              <w:rPr>
                <w:noProof/>
                <w:webHidden/>
              </w:rPr>
            </w:r>
            <w:r>
              <w:rPr>
                <w:noProof/>
                <w:webHidden/>
              </w:rPr>
              <w:fldChar w:fldCharType="separate"/>
            </w:r>
            <w:r>
              <w:rPr>
                <w:noProof/>
                <w:webHidden/>
              </w:rPr>
              <w:t>13</w:t>
            </w:r>
            <w:r>
              <w:rPr>
                <w:noProof/>
                <w:webHidden/>
              </w:rPr>
              <w:fldChar w:fldCharType="end"/>
            </w:r>
          </w:hyperlink>
        </w:p>
        <w:p w14:paraId="5D82749D" w14:textId="74FAF00C" w:rsidR="00E546D2" w:rsidRDefault="00E546D2">
          <w:pPr>
            <w:pStyle w:val="TOC3"/>
            <w:tabs>
              <w:tab w:val="right" w:leader="dot" w:pos="9350"/>
            </w:tabs>
            <w:rPr>
              <w:rFonts w:eastAsiaTheme="minorEastAsia"/>
              <w:noProof/>
              <w:sz w:val="24"/>
              <w:szCs w:val="24"/>
            </w:rPr>
          </w:pPr>
          <w:hyperlink w:anchor="_Toc193219084" w:history="1">
            <w:r w:rsidRPr="00C2654D">
              <w:rPr>
                <w:rStyle w:val="Hyperlink"/>
                <w:noProof/>
              </w:rPr>
              <w:t>Comparison of 5 Year Cumulative Total Return</w:t>
            </w:r>
            <w:r>
              <w:rPr>
                <w:noProof/>
                <w:webHidden/>
              </w:rPr>
              <w:tab/>
            </w:r>
            <w:r>
              <w:rPr>
                <w:noProof/>
                <w:webHidden/>
              </w:rPr>
              <w:fldChar w:fldCharType="begin"/>
            </w:r>
            <w:r>
              <w:rPr>
                <w:noProof/>
                <w:webHidden/>
              </w:rPr>
              <w:instrText xml:space="preserve"> PAGEREF _Toc193219084 \h </w:instrText>
            </w:r>
            <w:r>
              <w:rPr>
                <w:noProof/>
                <w:webHidden/>
              </w:rPr>
            </w:r>
            <w:r>
              <w:rPr>
                <w:noProof/>
                <w:webHidden/>
              </w:rPr>
              <w:fldChar w:fldCharType="separate"/>
            </w:r>
            <w:r>
              <w:rPr>
                <w:noProof/>
                <w:webHidden/>
              </w:rPr>
              <w:t>14</w:t>
            </w:r>
            <w:r>
              <w:rPr>
                <w:noProof/>
                <w:webHidden/>
              </w:rPr>
              <w:fldChar w:fldCharType="end"/>
            </w:r>
          </w:hyperlink>
        </w:p>
        <w:p w14:paraId="70C09A87" w14:textId="432555F7" w:rsidR="00E546D2" w:rsidRDefault="00E546D2">
          <w:pPr>
            <w:pStyle w:val="TOC3"/>
            <w:tabs>
              <w:tab w:val="right" w:leader="dot" w:pos="9350"/>
            </w:tabs>
            <w:rPr>
              <w:rFonts w:eastAsiaTheme="minorEastAsia"/>
              <w:noProof/>
              <w:sz w:val="24"/>
              <w:szCs w:val="24"/>
            </w:rPr>
          </w:pPr>
          <w:hyperlink w:anchor="_Toc193219085" w:history="1">
            <w:r w:rsidRPr="00C2654D">
              <w:rPr>
                <w:rStyle w:val="Hyperlink"/>
                <w:noProof/>
              </w:rPr>
              <w:t>Key Financial Insights</w:t>
            </w:r>
            <w:r>
              <w:rPr>
                <w:noProof/>
                <w:webHidden/>
              </w:rPr>
              <w:tab/>
            </w:r>
            <w:r>
              <w:rPr>
                <w:noProof/>
                <w:webHidden/>
              </w:rPr>
              <w:fldChar w:fldCharType="begin"/>
            </w:r>
            <w:r>
              <w:rPr>
                <w:noProof/>
                <w:webHidden/>
              </w:rPr>
              <w:instrText xml:space="preserve"> PAGEREF _Toc193219085 \h </w:instrText>
            </w:r>
            <w:r>
              <w:rPr>
                <w:noProof/>
                <w:webHidden/>
              </w:rPr>
            </w:r>
            <w:r>
              <w:rPr>
                <w:noProof/>
                <w:webHidden/>
              </w:rPr>
              <w:fldChar w:fldCharType="separate"/>
            </w:r>
            <w:r>
              <w:rPr>
                <w:noProof/>
                <w:webHidden/>
              </w:rPr>
              <w:t>14</w:t>
            </w:r>
            <w:r>
              <w:rPr>
                <w:noProof/>
                <w:webHidden/>
              </w:rPr>
              <w:fldChar w:fldCharType="end"/>
            </w:r>
          </w:hyperlink>
        </w:p>
        <w:p w14:paraId="27F511AC" w14:textId="1845CFF9" w:rsidR="00E546D2" w:rsidRDefault="00E546D2">
          <w:pPr>
            <w:pStyle w:val="TOC1"/>
            <w:tabs>
              <w:tab w:val="right" w:leader="dot" w:pos="9350"/>
            </w:tabs>
            <w:rPr>
              <w:rFonts w:eastAsiaTheme="minorEastAsia"/>
              <w:noProof/>
              <w:sz w:val="24"/>
              <w:szCs w:val="24"/>
            </w:rPr>
          </w:pPr>
          <w:hyperlink w:anchor="_Toc193219086" w:history="1">
            <w:r w:rsidRPr="00C2654D">
              <w:rPr>
                <w:rStyle w:val="Hyperlink"/>
                <w:noProof/>
              </w:rPr>
              <w:t>Final Notes</w:t>
            </w:r>
            <w:r>
              <w:rPr>
                <w:noProof/>
                <w:webHidden/>
              </w:rPr>
              <w:tab/>
            </w:r>
            <w:r>
              <w:rPr>
                <w:noProof/>
                <w:webHidden/>
              </w:rPr>
              <w:fldChar w:fldCharType="begin"/>
            </w:r>
            <w:r>
              <w:rPr>
                <w:noProof/>
                <w:webHidden/>
              </w:rPr>
              <w:instrText xml:space="preserve"> PAGEREF _Toc193219086 \h </w:instrText>
            </w:r>
            <w:r>
              <w:rPr>
                <w:noProof/>
                <w:webHidden/>
              </w:rPr>
            </w:r>
            <w:r>
              <w:rPr>
                <w:noProof/>
                <w:webHidden/>
              </w:rPr>
              <w:fldChar w:fldCharType="separate"/>
            </w:r>
            <w:r>
              <w:rPr>
                <w:noProof/>
                <w:webHidden/>
              </w:rPr>
              <w:t>17</w:t>
            </w:r>
            <w:r>
              <w:rPr>
                <w:noProof/>
                <w:webHidden/>
              </w:rPr>
              <w:fldChar w:fldCharType="end"/>
            </w:r>
          </w:hyperlink>
        </w:p>
        <w:p w14:paraId="7FB3CB39" w14:textId="23A4CED6" w:rsidR="00E546D2" w:rsidRDefault="00E546D2">
          <w:pPr>
            <w:pStyle w:val="TOC2"/>
            <w:tabs>
              <w:tab w:val="right" w:leader="dot" w:pos="9350"/>
            </w:tabs>
            <w:rPr>
              <w:rFonts w:eastAsiaTheme="minorEastAsia"/>
              <w:noProof/>
              <w:sz w:val="24"/>
              <w:szCs w:val="24"/>
            </w:rPr>
          </w:pPr>
          <w:hyperlink w:anchor="_Toc193219087" w:history="1">
            <w:r w:rsidRPr="00C2654D">
              <w:rPr>
                <w:rStyle w:val="Hyperlink"/>
                <w:noProof/>
              </w:rPr>
              <w:t>Capital Structure</w:t>
            </w:r>
            <w:r>
              <w:rPr>
                <w:noProof/>
                <w:webHidden/>
              </w:rPr>
              <w:tab/>
            </w:r>
            <w:r>
              <w:rPr>
                <w:noProof/>
                <w:webHidden/>
              </w:rPr>
              <w:fldChar w:fldCharType="begin"/>
            </w:r>
            <w:r>
              <w:rPr>
                <w:noProof/>
                <w:webHidden/>
              </w:rPr>
              <w:instrText xml:space="preserve"> PAGEREF _Toc193219087 \h </w:instrText>
            </w:r>
            <w:r>
              <w:rPr>
                <w:noProof/>
                <w:webHidden/>
              </w:rPr>
            </w:r>
            <w:r>
              <w:rPr>
                <w:noProof/>
                <w:webHidden/>
              </w:rPr>
              <w:fldChar w:fldCharType="separate"/>
            </w:r>
            <w:r>
              <w:rPr>
                <w:noProof/>
                <w:webHidden/>
              </w:rPr>
              <w:t>17</w:t>
            </w:r>
            <w:r>
              <w:rPr>
                <w:noProof/>
                <w:webHidden/>
              </w:rPr>
              <w:fldChar w:fldCharType="end"/>
            </w:r>
          </w:hyperlink>
        </w:p>
        <w:p w14:paraId="2F883E72" w14:textId="5270794B" w:rsidR="00E546D2" w:rsidRDefault="00E546D2">
          <w:pPr>
            <w:pStyle w:val="TOC2"/>
            <w:tabs>
              <w:tab w:val="right" w:leader="dot" w:pos="9350"/>
            </w:tabs>
            <w:rPr>
              <w:rFonts w:eastAsiaTheme="minorEastAsia"/>
              <w:noProof/>
              <w:sz w:val="24"/>
              <w:szCs w:val="24"/>
            </w:rPr>
          </w:pPr>
          <w:hyperlink w:anchor="_Toc193219088" w:history="1">
            <w:r w:rsidRPr="00C2654D">
              <w:rPr>
                <w:rStyle w:val="Hyperlink"/>
                <w:noProof/>
              </w:rPr>
              <w:t>Revenue &amp; Profitability</w:t>
            </w:r>
            <w:r>
              <w:rPr>
                <w:noProof/>
                <w:webHidden/>
              </w:rPr>
              <w:tab/>
            </w:r>
            <w:r>
              <w:rPr>
                <w:noProof/>
                <w:webHidden/>
              </w:rPr>
              <w:fldChar w:fldCharType="begin"/>
            </w:r>
            <w:r>
              <w:rPr>
                <w:noProof/>
                <w:webHidden/>
              </w:rPr>
              <w:instrText xml:space="preserve"> PAGEREF _Toc193219088 \h </w:instrText>
            </w:r>
            <w:r>
              <w:rPr>
                <w:noProof/>
                <w:webHidden/>
              </w:rPr>
            </w:r>
            <w:r>
              <w:rPr>
                <w:noProof/>
                <w:webHidden/>
              </w:rPr>
              <w:fldChar w:fldCharType="separate"/>
            </w:r>
            <w:r>
              <w:rPr>
                <w:noProof/>
                <w:webHidden/>
              </w:rPr>
              <w:t>17</w:t>
            </w:r>
            <w:r>
              <w:rPr>
                <w:noProof/>
                <w:webHidden/>
              </w:rPr>
              <w:fldChar w:fldCharType="end"/>
            </w:r>
          </w:hyperlink>
        </w:p>
        <w:p w14:paraId="18D07541" w14:textId="5FACC82C" w:rsidR="00E546D2" w:rsidRDefault="00E546D2">
          <w:pPr>
            <w:pStyle w:val="TOC2"/>
            <w:tabs>
              <w:tab w:val="right" w:leader="dot" w:pos="9350"/>
            </w:tabs>
            <w:rPr>
              <w:rFonts w:eastAsiaTheme="minorEastAsia"/>
              <w:noProof/>
              <w:sz w:val="24"/>
              <w:szCs w:val="24"/>
            </w:rPr>
          </w:pPr>
          <w:hyperlink w:anchor="_Toc193219089" w:history="1">
            <w:r w:rsidRPr="00C2654D">
              <w:rPr>
                <w:rStyle w:val="Hyperlink"/>
                <w:noProof/>
              </w:rPr>
              <w:t>Liquidity &amp; Solvency</w:t>
            </w:r>
            <w:r>
              <w:rPr>
                <w:noProof/>
                <w:webHidden/>
              </w:rPr>
              <w:tab/>
            </w:r>
            <w:r>
              <w:rPr>
                <w:noProof/>
                <w:webHidden/>
              </w:rPr>
              <w:fldChar w:fldCharType="begin"/>
            </w:r>
            <w:r>
              <w:rPr>
                <w:noProof/>
                <w:webHidden/>
              </w:rPr>
              <w:instrText xml:space="preserve"> PAGEREF _Toc193219089 \h </w:instrText>
            </w:r>
            <w:r>
              <w:rPr>
                <w:noProof/>
                <w:webHidden/>
              </w:rPr>
            </w:r>
            <w:r>
              <w:rPr>
                <w:noProof/>
                <w:webHidden/>
              </w:rPr>
              <w:fldChar w:fldCharType="separate"/>
            </w:r>
            <w:r>
              <w:rPr>
                <w:noProof/>
                <w:webHidden/>
              </w:rPr>
              <w:t>17</w:t>
            </w:r>
            <w:r>
              <w:rPr>
                <w:noProof/>
                <w:webHidden/>
              </w:rPr>
              <w:fldChar w:fldCharType="end"/>
            </w:r>
          </w:hyperlink>
        </w:p>
        <w:p w14:paraId="102F104A" w14:textId="1AEC8DAB" w:rsidR="00E546D2" w:rsidRDefault="00E546D2">
          <w:pPr>
            <w:pStyle w:val="TOC2"/>
            <w:tabs>
              <w:tab w:val="right" w:leader="dot" w:pos="9350"/>
            </w:tabs>
            <w:rPr>
              <w:rFonts w:eastAsiaTheme="minorEastAsia"/>
              <w:noProof/>
              <w:sz w:val="24"/>
              <w:szCs w:val="24"/>
            </w:rPr>
          </w:pPr>
          <w:hyperlink w:anchor="_Toc193219090" w:history="1">
            <w:r w:rsidRPr="00C2654D">
              <w:rPr>
                <w:rStyle w:val="Hyperlink"/>
                <w:noProof/>
              </w:rPr>
              <w:t>Cash Flow</w:t>
            </w:r>
            <w:r>
              <w:rPr>
                <w:noProof/>
                <w:webHidden/>
              </w:rPr>
              <w:tab/>
            </w:r>
            <w:r>
              <w:rPr>
                <w:noProof/>
                <w:webHidden/>
              </w:rPr>
              <w:fldChar w:fldCharType="begin"/>
            </w:r>
            <w:r>
              <w:rPr>
                <w:noProof/>
                <w:webHidden/>
              </w:rPr>
              <w:instrText xml:space="preserve"> PAGEREF _Toc193219090 \h </w:instrText>
            </w:r>
            <w:r>
              <w:rPr>
                <w:noProof/>
                <w:webHidden/>
              </w:rPr>
            </w:r>
            <w:r>
              <w:rPr>
                <w:noProof/>
                <w:webHidden/>
              </w:rPr>
              <w:fldChar w:fldCharType="separate"/>
            </w:r>
            <w:r>
              <w:rPr>
                <w:noProof/>
                <w:webHidden/>
              </w:rPr>
              <w:t>17</w:t>
            </w:r>
            <w:r>
              <w:rPr>
                <w:noProof/>
                <w:webHidden/>
              </w:rPr>
              <w:fldChar w:fldCharType="end"/>
            </w:r>
          </w:hyperlink>
        </w:p>
        <w:p w14:paraId="789099E8" w14:textId="3E9B2CEF" w:rsidR="00E546D2" w:rsidRDefault="00E546D2">
          <w:pPr>
            <w:pStyle w:val="TOC1"/>
            <w:tabs>
              <w:tab w:val="right" w:leader="dot" w:pos="9350"/>
            </w:tabs>
            <w:rPr>
              <w:rFonts w:eastAsiaTheme="minorEastAsia"/>
              <w:noProof/>
              <w:sz w:val="24"/>
              <w:szCs w:val="24"/>
            </w:rPr>
          </w:pPr>
          <w:hyperlink w:anchor="_Toc193219091" w:history="1">
            <w:r w:rsidRPr="00C2654D">
              <w:rPr>
                <w:rStyle w:val="Hyperlink"/>
                <w:noProof/>
              </w:rPr>
              <w:t>Supplemental Data</w:t>
            </w:r>
            <w:r>
              <w:rPr>
                <w:noProof/>
                <w:webHidden/>
              </w:rPr>
              <w:tab/>
            </w:r>
            <w:r>
              <w:rPr>
                <w:noProof/>
                <w:webHidden/>
              </w:rPr>
              <w:fldChar w:fldCharType="begin"/>
            </w:r>
            <w:r>
              <w:rPr>
                <w:noProof/>
                <w:webHidden/>
              </w:rPr>
              <w:instrText xml:space="preserve"> PAGEREF _Toc193219091 \h </w:instrText>
            </w:r>
            <w:r>
              <w:rPr>
                <w:noProof/>
                <w:webHidden/>
              </w:rPr>
            </w:r>
            <w:r>
              <w:rPr>
                <w:noProof/>
                <w:webHidden/>
              </w:rPr>
              <w:fldChar w:fldCharType="separate"/>
            </w:r>
            <w:r>
              <w:rPr>
                <w:noProof/>
                <w:webHidden/>
              </w:rPr>
              <w:t>18</w:t>
            </w:r>
            <w:r>
              <w:rPr>
                <w:noProof/>
                <w:webHidden/>
              </w:rPr>
              <w:fldChar w:fldCharType="end"/>
            </w:r>
          </w:hyperlink>
        </w:p>
        <w:p w14:paraId="5E6D4DDE" w14:textId="0AEA80CE" w:rsidR="00E546D2" w:rsidRDefault="00E546D2">
          <w:pPr>
            <w:pStyle w:val="TOC2"/>
            <w:tabs>
              <w:tab w:val="right" w:leader="dot" w:pos="9350"/>
            </w:tabs>
            <w:rPr>
              <w:rFonts w:eastAsiaTheme="minorEastAsia"/>
              <w:noProof/>
              <w:sz w:val="24"/>
              <w:szCs w:val="24"/>
            </w:rPr>
          </w:pPr>
          <w:hyperlink w:anchor="_Toc193219092" w:history="1">
            <w:r w:rsidRPr="00C2654D">
              <w:rPr>
                <w:rStyle w:val="Hyperlink"/>
                <w:noProof/>
              </w:rPr>
              <w:t>MGM Resorts International</w:t>
            </w:r>
            <w:r>
              <w:rPr>
                <w:noProof/>
                <w:webHidden/>
              </w:rPr>
              <w:tab/>
            </w:r>
            <w:r>
              <w:rPr>
                <w:noProof/>
                <w:webHidden/>
              </w:rPr>
              <w:fldChar w:fldCharType="begin"/>
            </w:r>
            <w:r>
              <w:rPr>
                <w:noProof/>
                <w:webHidden/>
              </w:rPr>
              <w:instrText xml:space="preserve"> PAGEREF _Toc193219092 \h </w:instrText>
            </w:r>
            <w:r>
              <w:rPr>
                <w:noProof/>
                <w:webHidden/>
              </w:rPr>
            </w:r>
            <w:r>
              <w:rPr>
                <w:noProof/>
                <w:webHidden/>
              </w:rPr>
              <w:fldChar w:fldCharType="separate"/>
            </w:r>
            <w:r>
              <w:rPr>
                <w:noProof/>
                <w:webHidden/>
              </w:rPr>
              <w:t>18</w:t>
            </w:r>
            <w:r>
              <w:rPr>
                <w:noProof/>
                <w:webHidden/>
              </w:rPr>
              <w:fldChar w:fldCharType="end"/>
            </w:r>
          </w:hyperlink>
        </w:p>
        <w:p w14:paraId="22512FC4" w14:textId="160C7C8C" w:rsidR="00E546D2" w:rsidRDefault="00E546D2">
          <w:pPr>
            <w:pStyle w:val="TOC3"/>
            <w:tabs>
              <w:tab w:val="right" w:leader="dot" w:pos="9350"/>
            </w:tabs>
            <w:rPr>
              <w:rFonts w:eastAsiaTheme="minorEastAsia"/>
              <w:noProof/>
              <w:sz w:val="24"/>
              <w:szCs w:val="24"/>
            </w:rPr>
          </w:pPr>
          <w:hyperlink w:anchor="_Toc193219093" w:history="1">
            <w:r w:rsidRPr="00C2654D">
              <w:rPr>
                <w:rStyle w:val="Hyperlink"/>
                <w:noProof/>
              </w:rPr>
              <w:t>Historical Operating Expenses</w:t>
            </w:r>
            <w:r>
              <w:rPr>
                <w:noProof/>
                <w:webHidden/>
              </w:rPr>
              <w:tab/>
            </w:r>
            <w:r>
              <w:rPr>
                <w:noProof/>
                <w:webHidden/>
              </w:rPr>
              <w:fldChar w:fldCharType="begin"/>
            </w:r>
            <w:r>
              <w:rPr>
                <w:noProof/>
                <w:webHidden/>
              </w:rPr>
              <w:instrText xml:space="preserve"> PAGEREF _Toc193219093 \h </w:instrText>
            </w:r>
            <w:r>
              <w:rPr>
                <w:noProof/>
                <w:webHidden/>
              </w:rPr>
            </w:r>
            <w:r>
              <w:rPr>
                <w:noProof/>
                <w:webHidden/>
              </w:rPr>
              <w:fldChar w:fldCharType="separate"/>
            </w:r>
            <w:r>
              <w:rPr>
                <w:noProof/>
                <w:webHidden/>
              </w:rPr>
              <w:t>18</w:t>
            </w:r>
            <w:r>
              <w:rPr>
                <w:noProof/>
                <w:webHidden/>
              </w:rPr>
              <w:fldChar w:fldCharType="end"/>
            </w:r>
          </w:hyperlink>
        </w:p>
        <w:p w14:paraId="1FA23E2F" w14:textId="77107DCB" w:rsidR="00E546D2" w:rsidRDefault="00E546D2">
          <w:pPr>
            <w:pStyle w:val="TOC3"/>
            <w:tabs>
              <w:tab w:val="right" w:leader="dot" w:pos="9350"/>
            </w:tabs>
            <w:rPr>
              <w:rFonts w:eastAsiaTheme="minorEastAsia"/>
              <w:noProof/>
              <w:sz w:val="24"/>
              <w:szCs w:val="24"/>
            </w:rPr>
          </w:pPr>
          <w:hyperlink w:anchor="_Toc193219094" w:history="1">
            <w:r w:rsidRPr="00C2654D">
              <w:rPr>
                <w:rStyle w:val="Hyperlink"/>
                <w:noProof/>
              </w:rPr>
              <w:t>Historical Balance Sheet with % Change</w:t>
            </w:r>
            <w:r>
              <w:rPr>
                <w:noProof/>
                <w:webHidden/>
              </w:rPr>
              <w:tab/>
            </w:r>
            <w:r>
              <w:rPr>
                <w:noProof/>
                <w:webHidden/>
              </w:rPr>
              <w:fldChar w:fldCharType="begin"/>
            </w:r>
            <w:r>
              <w:rPr>
                <w:noProof/>
                <w:webHidden/>
              </w:rPr>
              <w:instrText xml:space="preserve"> PAGEREF _Toc193219094 \h </w:instrText>
            </w:r>
            <w:r>
              <w:rPr>
                <w:noProof/>
                <w:webHidden/>
              </w:rPr>
            </w:r>
            <w:r>
              <w:rPr>
                <w:noProof/>
                <w:webHidden/>
              </w:rPr>
              <w:fldChar w:fldCharType="separate"/>
            </w:r>
            <w:r>
              <w:rPr>
                <w:noProof/>
                <w:webHidden/>
              </w:rPr>
              <w:t>18</w:t>
            </w:r>
            <w:r>
              <w:rPr>
                <w:noProof/>
                <w:webHidden/>
              </w:rPr>
              <w:fldChar w:fldCharType="end"/>
            </w:r>
          </w:hyperlink>
        </w:p>
        <w:p w14:paraId="2E384B98" w14:textId="39245F9A" w:rsidR="00E546D2" w:rsidRDefault="00E546D2">
          <w:pPr>
            <w:pStyle w:val="TOC3"/>
            <w:tabs>
              <w:tab w:val="right" w:leader="dot" w:pos="9350"/>
            </w:tabs>
            <w:rPr>
              <w:rFonts w:eastAsiaTheme="minorEastAsia"/>
              <w:noProof/>
              <w:sz w:val="24"/>
              <w:szCs w:val="24"/>
            </w:rPr>
          </w:pPr>
          <w:hyperlink w:anchor="_Toc193219095" w:history="1">
            <w:r w:rsidRPr="00C2654D">
              <w:rPr>
                <w:rStyle w:val="Hyperlink"/>
                <w:noProof/>
              </w:rPr>
              <w:t>Historical Balance Sheet with % of Total</w:t>
            </w:r>
            <w:r>
              <w:rPr>
                <w:noProof/>
                <w:webHidden/>
              </w:rPr>
              <w:tab/>
            </w:r>
            <w:r>
              <w:rPr>
                <w:noProof/>
                <w:webHidden/>
              </w:rPr>
              <w:fldChar w:fldCharType="begin"/>
            </w:r>
            <w:r>
              <w:rPr>
                <w:noProof/>
                <w:webHidden/>
              </w:rPr>
              <w:instrText xml:space="preserve"> PAGEREF _Toc193219095 \h </w:instrText>
            </w:r>
            <w:r>
              <w:rPr>
                <w:noProof/>
                <w:webHidden/>
              </w:rPr>
            </w:r>
            <w:r>
              <w:rPr>
                <w:noProof/>
                <w:webHidden/>
              </w:rPr>
              <w:fldChar w:fldCharType="separate"/>
            </w:r>
            <w:r>
              <w:rPr>
                <w:noProof/>
                <w:webHidden/>
              </w:rPr>
              <w:t>19</w:t>
            </w:r>
            <w:r>
              <w:rPr>
                <w:noProof/>
                <w:webHidden/>
              </w:rPr>
              <w:fldChar w:fldCharType="end"/>
            </w:r>
          </w:hyperlink>
        </w:p>
        <w:p w14:paraId="40B8DABD" w14:textId="52707D59" w:rsidR="00E546D2" w:rsidRDefault="00E546D2">
          <w:pPr>
            <w:pStyle w:val="TOC3"/>
            <w:tabs>
              <w:tab w:val="right" w:leader="dot" w:pos="9350"/>
            </w:tabs>
            <w:rPr>
              <w:rFonts w:eastAsiaTheme="minorEastAsia"/>
              <w:noProof/>
              <w:sz w:val="24"/>
              <w:szCs w:val="24"/>
            </w:rPr>
          </w:pPr>
          <w:hyperlink w:anchor="_Toc193219096" w:history="1">
            <w:r w:rsidRPr="00C2654D">
              <w:rPr>
                <w:rStyle w:val="Hyperlink"/>
                <w:noProof/>
              </w:rPr>
              <w:t>Historical P/L Statement</w:t>
            </w:r>
            <w:r>
              <w:rPr>
                <w:noProof/>
                <w:webHidden/>
              </w:rPr>
              <w:tab/>
            </w:r>
            <w:r>
              <w:rPr>
                <w:noProof/>
                <w:webHidden/>
              </w:rPr>
              <w:fldChar w:fldCharType="begin"/>
            </w:r>
            <w:r>
              <w:rPr>
                <w:noProof/>
                <w:webHidden/>
              </w:rPr>
              <w:instrText xml:space="preserve"> PAGEREF _Toc193219096 \h </w:instrText>
            </w:r>
            <w:r>
              <w:rPr>
                <w:noProof/>
                <w:webHidden/>
              </w:rPr>
            </w:r>
            <w:r>
              <w:rPr>
                <w:noProof/>
                <w:webHidden/>
              </w:rPr>
              <w:fldChar w:fldCharType="separate"/>
            </w:r>
            <w:r>
              <w:rPr>
                <w:noProof/>
                <w:webHidden/>
              </w:rPr>
              <w:t>19</w:t>
            </w:r>
            <w:r>
              <w:rPr>
                <w:noProof/>
                <w:webHidden/>
              </w:rPr>
              <w:fldChar w:fldCharType="end"/>
            </w:r>
          </w:hyperlink>
        </w:p>
        <w:p w14:paraId="0EAC5A4E" w14:textId="6BC523A8" w:rsidR="00E546D2" w:rsidRDefault="00E546D2">
          <w:pPr>
            <w:pStyle w:val="TOC3"/>
            <w:tabs>
              <w:tab w:val="right" w:leader="dot" w:pos="9350"/>
            </w:tabs>
            <w:rPr>
              <w:rFonts w:eastAsiaTheme="minorEastAsia"/>
              <w:noProof/>
              <w:sz w:val="24"/>
              <w:szCs w:val="24"/>
            </w:rPr>
          </w:pPr>
          <w:hyperlink w:anchor="_Toc193219097" w:history="1">
            <w:r w:rsidRPr="00C2654D">
              <w:rPr>
                <w:rStyle w:val="Hyperlink"/>
                <w:noProof/>
              </w:rPr>
              <w:t>Historical Equity Statement</w:t>
            </w:r>
            <w:r>
              <w:rPr>
                <w:noProof/>
                <w:webHidden/>
              </w:rPr>
              <w:tab/>
            </w:r>
            <w:r>
              <w:rPr>
                <w:noProof/>
                <w:webHidden/>
              </w:rPr>
              <w:fldChar w:fldCharType="begin"/>
            </w:r>
            <w:r>
              <w:rPr>
                <w:noProof/>
                <w:webHidden/>
              </w:rPr>
              <w:instrText xml:space="preserve"> PAGEREF _Toc193219097 \h </w:instrText>
            </w:r>
            <w:r>
              <w:rPr>
                <w:noProof/>
                <w:webHidden/>
              </w:rPr>
            </w:r>
            <w:r>
              <w:rPr>
                <w:noProof/>
                <w:webHidden/>
              </w:rPr>
              <w:fldChar w:fldCharType="separate"/>
            </w:r>
            <w:r>
              <w:rPr>
                <w:noProof/>
                <w:webHidden/>
              </w:rPr>
              <w:t>20</w:t>
            </w:r>
            <w:r>
              <w:rPr>
                <w:noProof/>
                <w:webHidden/>
              </w:rPr>
              <w:fldChar w:fldCharType="end"/>
            </w:r>
          </w:hyperlink>
        </w:p>
        <w:p w14:paraId="05112D6B" w14:textId="2B5F3AFB" w:rsidR="00E546D2" w:rsidRDefault="00E546D2">
          <w:pPr>
            <w:pStyle w:val="TOC3"/>
            <w:tabs>
              <w:tab w:val="right" w:leader="dot" w:pos="9350"/>
            </w:tabs>
            <w:rPr>
              <w:rFonts w:eastAsiaTheme="minorEastAsia"/>
              <w:noProof/>
              <w:sz w:val="24"/>
              <w:szCs w:val="24"/>
            </w:rPr>
          </w:pPr>
          <w:hyperlink w:anchor="_Toc193219098" w:history="1">
            <w:r w:rsidRPr="00C2654D">
              <w:rPr>
                <w:rStyle w:val="Hyperlink"/>
                <w:noProof/>
              </w:rPr>
              <w:t>Historical Cash Flow Statement</w:t>
            </w:r>
            <w:r>
              <w:rPr>
                <w:noProof/>
                <w:webHidden/>
              </w:rPr>
              <w:tab/>
            </w:r>
            <w:r>
              <w:rPr>
                <w:noProof/>
                <w:webHidden/>
              </w:rPr>
              <w:fldChar w:fldCharType="begin"/>
            </w:r>
            <w:r>
              <w:rPr>
                <w:noProof/>
                <w:webHidden/>
              </w:rPr>
              <w:instrText xml:space="preserve"> PAGEREF _Toc193219098 \h </w:instrText>
            </w:r>
            <w:r>
              <w:rPr>
                <w:noProof/>
                <w:webHidden/>
              </w:rPr>
            </w:r>
            <w:r>
              <w:rPr>
                <w:noProof/>
                <w:webHidden/>
              </w:rPr>
              <w:fldChar w:fldCharType="separate"/>
            </w:r>
            <w:r>
              <w:rPr>
                <w:noProof/>
                <w:webHidden/>
              </w:rPr>
              <w:t>22</w:t>
            </w:r>
            <w:r>
              <w:rPr>
                <w:noProof/>
                <w:webHidden/>
              </w:rPr>
              <w:fldChar w:fldCharType="end"/>
            </w:r>
          </w:hyperlink>
        </w:p>
        <w:p w14:paraId="7F08157E" w14:textId="2F373F2C" w:rsidR="00E546D2" w:rsidRDefault="00E546D2">
          <w:pPr>
            <w:pStyle w:val="TOC2"/>
            <w:tabs>
              <w:tab w:val="right" w:leader="dot" w:pos="9350"/>
            </w:tabs>
            <w:rPr>
              <w:rFonts w:eastAsiaTheme="minorEastAsia"/>
              <w:noProof/>
              <w:sz w:val="24"/>
              <w:szCs w:val="24"/>
            </w:rPr>
          </w:pPr>
          <w:hyperlink w:anchor="_Toc193219099" w:history="1">
            <w:r w:rsidRPr="00C2654D">
              <w:rPr>
                <w:rStyle w:val="Hyperlink"/>
                <w:noProof/>
              </w:rPr>
              <w:t>DuPont Analysis</w:t>
            </w:r>
            <w:r>
              <w:rPr>
                <w:noProof/>
                <w:webHidden/>
              </w:rPr>
              <w:tab/>
            </w:r>
            <w:r>
              <w:rPr>
                <w:noProof/>
                <w:webHidden/>
              </w:rPr>
              <w:fldChar w:fldCharType="begin"/>
            </w:r>
            <w:r>
              <w:rPr>
                <w:noProof/>
                <w:webHidden/>
              </w:rPr>
              <w:instrText xml:space="preserve"> PAGEREF _Toc193219099 \h </w:instrText>
            </w:r>
            <w:r>
              <w:rPr>
                <w:noProof/>
                <w:webHidden/>
              </w:rPr>
            </w:r>
            <w:r>
              <w:rPr>
                <w:noProof/>
                <w:webHidden/>
              </w:rPr>
              <w:fldChar w:fldCharType="separate"/>
            </w:r>
            <w:r>
              <w:rPr>
                <w:noProof/>
                <w:webHidden/>
              </w:rPr>
              <w:t>23</w:t>
            </w:r>
            <w:r>
              <w:rPr>
                <w:noProof/>
                <w:webHidden/>
              </w:rPr>
              <w:fldChar w:fldCharType="end"/>
            </w:r>
          </w:hyperlink>
        </w:p>
        <w:p w14:paraId="742D88BE" w14:textId="3014C98A" w:rsidR="00E546D2" w:rsidRDefault="00E546D2">
          <w:pPr>
            <w:pStyle w:val="TOC3"/>
            <w:tabs>
              <w:tab w:val="right" w:leader="dot" w:pos="9350"/>
            </w:tabs>
            <w:rPr>
              <w:rFonts w:eastAsiaTheme="minorEastAsia"/>
              <w:noProof/>
              <w:sz w:val="24"/>
              <w:szCs w:val="24"/>
            </w:rPr>
          </w:pPr>
          <w:hyperlink w:anchor="_Toc193219100" w:history="1">
            <w:r w:rsidRPr="00C2654D">
              <w:rPr>
                <w:rStyle w:val="Hyperlink"/>
                <w:noProof/>
              </w:rPr>
              <w:t>2024</w:t>
            </w:r>
            <w:r>
              <w:rPr>
                <w:noProof/>
                <w:webHidden/>
              </w:rPr>
              <w:tab/>
            </w:r>
            <w:r>
              <w:rPr>
                <w:noProof/>
                <w:webHidden/>
              </w:rPr>
              <w:fldChar w:fldCharType="begin"/>
            </w:r>
            <w:r>
              <w:rPr>
                <w:noProof/>
                <w:webHidden/>
              </w:rPr>
              <w:instrText xml:space="preserve"> PAGEREF _Toc193219100 \h </w:instrText>
            </w:r>
            <w:r>
              <w:rPr>
                <w:noProof/>
                <w:webHidden/>
              </w:rPr>
            </w:r>
            <w:r>
              <w:rPr>
                <w:noProof/>
                <w:webHidden/>
              </w:rPr>
              <w:fldChar w:fldCharType="separate"/>
            </w:r>
            <w:r>
              <w:rPr>
                <w:noProof/>
                <w:webHidden/>
              </w:rPr>
              <w:t>23</w:t>
            </w:r>
            <w:r>
              <w:rPr>
                <w:noProof/>
                <w:webHidden/>
              </w:rPr>
              <w:fldChar w:fldCharType="end"/>
            </w:r>
          </w:hyperlink>
        </w:p>
        <w:p w14:paraId="11E3D88A" w14:textId="43D5B7C5" w:rsidR="00E546D2" w:rsidRDefault="00E546D2">
          <w:pPr>
            <w:pStyle w:val="TOC3"/>
            <w:tabs>
              <w:tab w:val="right" w:leader="dot" w:pos="9350"/>
            </w:tabs>
            <w:rPr>
              <w:rFonts w:eastAsiaTheme="minorEastAsia"/>
              <w:noProof/>
              <w:sz w:val="24"/>
              <w:szCs w:val="24"/>
            </w:rPr>
          </w:pPr>
          <w:hyperlink w:anchor="_Toc193219101" w:history="1">
            <w:r w:rsidRPr="00C2654D">
              <w:rPr>
                <w:rStyle w:val="Hyperlink"/>
                <w:noProof/>
              </w:rPr>
              <w:t>2023</w:t>
            </w:r>
            <w:r>
              <w:rPr>
                <w:noProof/>
                <w:webHidden/>
              </w:rPr>
              <w:tab/>
            </w:r>
            <w:r>
              <w:rPr>
                <w:noProof/>
                <w:webHidden/>
              </w:rPr>
              <w:fldChar w:fldCharType="begin"/>
            </w:r>
            <w:r>
              <w:rPr>
                <w:noProof/>
                <w:webHidden/>
              </w:rPr>
              <w:instrText xml:space="preserve"> PAGEREF _Toc193219101 \h </w:instrText>
            </w:r>
            <w:r>
              <w:rPr>
                <w:noProof/>
                <w:webHidden/>
              </w:rPr>
            </w:r>
            <w:r>
              <w:rPr>
                <w:noProof/>
                <w:webHidden/>
              </w:rPr>
              <w:fldChar w:fldCharType="separate"/>
            </w:r>
            <w:r>
              <w:rPr>
                <w:noProof/>
                <w:webHidden/>
              </w:rPr>
              <w:t>23</w:t>
            </w:r>
            <w:r>
              <w:rPr>
                <w:noProof/>
                <w:webHidden/>
              </w:rPr>
              <w:fldChar w:fldCharType="end"/>
            </w:r>
          </w:hyperlink>
        </w:p>
        <w:p w14:paraId="6CF6CED1" w14:textId="18BDBFBA" w:rsidR="00E546D2" w:rsidRDefault="00E546D2">
          <w:pPr>
            <w:pStyle w:val="TOC2"/>
            <w:tabs>
              <w:tab w:val="right" w:leader="dot" w:pos="9350"/>
            </w:tabs>
            <w:rPr>
              <w:rFonts w:eastAsiaTheme="minorEastAsia"/>
              <w:noProof/>
              <w:sz w:val="24"/>
              <w:szCs w:val="24"/>
            </w:rPr>
          </w:pPr>
          <w:hyperlink w:anchor="_Toc193219102" w:history="1">
            <w:r w:rsidRPr="00C2654D">
              <w:rPr>
                <w:rStyle w:val="Hyperlink"/>
                <w:noProof/>
              </w:rPr>
              <w:t>Financial Ratios Formula</w:t>
            </w:r>
            <w:r>
              <w:rPr>
                <w:noProof/>
                <w:webHidden/>
              </w:rPr>
              <w:tab/>
            </w:r>
            <w:r>
              <w:rPr>
                <w:noProof/>
                <w:webHidden/>
              </w:rPr>
              <w:fldChar w:fldCharType="begin"/>
            </w:r>
            <w:r>
              <w:rPr>
                <w:noProof/>
                <w:webHidden/>
              </w:rPr>
              <w:instrText xml:space="preserve"> PAGEREF _Toc193219102 \h </w:instrText>
            </w:r>
            <w:r>
              <w:rPr>
                <w:noProof/>
                <w:webHidden/>
              </w:rPr>
            </w:r>
            <w:r>
              <w:rPr>
                <w:noProof/>
                <w:webHidden/>
              </w:rPr>
              <w:fldChar w:fldCharType="separate"/>
            </w:r>
            <w:r>
              <w:rPr>
                <w:noProof/>
                <w:webHidden/>
              </w:rPr>
              <w:t>24</w:t>
            </w:r>
            <w:r>
              <w:rPr>
                <w:noProof/>
                <w:webHidden/>
              </w:rPr>
              <w:fldChar w:fldCharType="end"/>
            </w:r>
          </w:hyperlink>
        </w:p>
        <w:p w14:paraId="536919F7" w14:textId="07512C03" w:rsidR="00E546D2" w:rsidRDefault="00E546D2">
          <w:pPr>
            <w:pStyle w:val="TOC3"/>
            <w:tabs>
              <w:tab w:val="right" w:leader="dot" w:pos="9350"/>
            </w:tabs>
            <w:rPr>
              <w:rFonts w:eastAsiaTheme="minorEastAsia"/>
              <w:noProof/>
              <w:sz w:val="24"/>
              <w:szCs w:val="24"/>
            </w:rPr>
          </w:pPr>
          <w:hyperlink w:anchor="_Toc193219103" w:history="1">
            <w:r w:rsidRPr="00C2654D">
              <w:rPr>
                <w:rStyle w:val="Hyperlink"/>
                <w:noProof/>
              </w:rPr>
              <w:t>Activity Ratios</w:t>
            </w:r>
            <w:r>
              <w:rPr>
                <w:noProof/>
                <w:webHidden/>
              </w:rPr>
              <w:tab/>
            </w:r>
            <w:r>
              <w:rPr>
                <w:noProof/>
                <w:webHidden/>
              </w:rPr>
              <w:fldChar w:fldCharType="begin"/>
            </w:r>
            <w:r>
              <w:rPr>
                <w:noProof/>
                <w:webHidden/>
              </w:rPr>
              <w:instrText xml:space="preserve"> PAGEREF _Toc193219103 \h </w:instrText>
            </w:r>
            <w:r>
              <w:rPr>
                <w:noProof/>
                <w:webHidden/>
              </w:rPr>
            </w:r>
            <w:r>
              <w:rPr>
                <w:noProof/>
                <w:webHidden/>
              </w:rPr>
              <w:fldChar w:fldCharType="separate"/>
            </w:r>
            <w:r>
              <w:rPr>
                <w:noProof/>
                <w:webHidden/>
              </w:rPr>
              <w:t>24</w:t>
            </w:r>
            <w:r>
              <w:rPr>
                <w:noProof/>
                <w:webHidden/>
              </w:rPr>
              <w:fldChar w:fldCharType="end"/>
            </w:r>
          </w:hyperlink>
        </w:p>
        <w:p w14:paraId="02160442" w14:textId="736EF332" w:rsidR="00E546D2" w:rsidRDefault="00E546D2">
          <w:pPr>
            <w:pStyle w:val="TOC3"/>
            <w:tabs>
              <w:tab w:val="right" w:leader="dot" w:pos="9350"/>
            </w:tabs>
            <w:rPr>
              <w:rFonts w:eastAsiaTheme="minorEastAsia"/>
              <w:noProof/>
              <w:sz w:val="24"/>
              <w:szCs w:val="24"/>
            </w:rPr>
          </w:pPr>
          <w:hyperlink w:anchor="_Toc193219104" w:history="1">
            <w:r w:rsidRPr="00C2654D">
              <w:rPr>
                <w:rStyle w:val="Hyperlink"/>
                <w:noProof/>
              </w:rPr>
              <w:t>Liquidity Ratios</w:t>
            </w:r>
            <w:r>
              <w:rPr>
                <w:noProof/>
                <w:webHidden/>
              </w:rPr>
              <w:tab/>
            </w:r>
            <w:r>
              <w:rPr>
                <w:noProof/>
                <w:webHidden/>
              </w:rPr>
              <w:fldChar w:fldCharType="begin"/>
            </w:r>
            <w:r>
              <w:rPr>
                <w:noProof/>
                <w:webHidden/>
              </w:rPr>
              <w:instrText xml:space="preserve"> PAGEREF _Toc193219104 \h </w:instrText>
            </w:r>
            <w:r>
              <w:rPr>
                <w:noProof/>
                <w:webHidden/>
              </w:rPr>
            </w:r>
            <w:r>
              <w:rPr>
                <w:noProof/>
                <w:webHidden/>
              </w:rPr>
              <w:fldChar w:fldCharType="separate"/>
            </w:r>
            <w:r>
              <w:rPr>
                <w:noProof/>
                <w:webHidden/>
              </w:rPr>
              <w:t>24</w:t>
            </w:r>
            <w:r>
              <w:rPr>
                <w:noProof/>
                <w:webHidden/>
              </w:rPr>
              <w:fldChar w:fldCharType="end"/>
            </w:r>
          </w:hyperlink>
        </w:p>
        <w:p w14:paraId="21ADFE31" w14:textId="616607B6" w:rsidR="00E546D2" w:rsidRDefault="00E546D2">
          <w:pPr>
            <w:pStyle w:val="TOC3"/>
            <w:tabs>
              <w:tab w:val="right" w:leader="dot" w:pos="9350"/>
            </w:tabs>
            <w:rPr>
              <w:rFonts w:eastAsiaTheme="minorEastAsia"/>
              <w:noProof/>
              <w:sz w:val="24"/>
              <w:szCs w:val="24"/>
            </w:rPr>
          </w:pPr>
          <w:hyperlink w:anchor="_Toc193219105" w:history="1">
            <w:r w:rsidRPr="00C2654D">
              <w:rPr>
                <w:rStyle w:val="Hyperlink"/>
                <w:noProof/>
              </w:rPr>
              <w:t>Solvency Ratios</w:t>
            </w:r>
            <w:r>
              <w:rPr>
                <w:noProof/>
                <w:webHidden/>
              </w:rPr>
              <w:tab/>
            </w:r>
            <w:r>
              <w:rPr>
                <w:noProof/>
                <w:webHidden/>
              </w:rPr>
              <w:fldChar w:fldCharType="begin"/>
            </w:r>
            <w:r>
              <w:rPr>
                <w:noProof/>
                <w:webHidden/>
              </w:rPr>
              <w:instrText xml:space="preserve"> PAGEREF _Toc193219105 \h </w:instrText>
            </w:r>
            <w:r>
              <w:rPr>
                <w:noProof/>
                <w:webHidden/>
              </w:rPr>
            </w:r>
            <w:r>
              <w:rPr>
                <w:noProof/>
                <w:webHidden/>
              </w:rPr>
              <w:fldChar w:fldCharType="separate"/>
            </w:r>
            <w:r>
              <w:rPr>
                <w:noProof/>
                <w:webHidden/>
              </w:rPr>
              <w:t>25</w:t>
            </w:r>
            <w:r>
              <w:rPr>
                <w:noProof/>
                <w:webHidden/>
              </w:rPr>
              <w:fldChar w:fldCharType="end"/>
            </w:r>
          </w:hyperlink>
        </w:p>
        <w:p w14:paraId="2AFD69B5" w14:textId="10796F25" w:rsidR="00E546D2" w:rsidRDefault="00E546D2">
          <w:pPr>
            <w:pStyle w:val="TOC3"/>
            <w:tabs>
              <w:tab w:val="right" w:leader="dot" w:pos="9350"/>
            </w:tabs>
            <w:rPr>
              <w:rFonts w:eastAsiaTheme="minorEastAsia"/>
              <w:noProof/>
              <w:sz w:val="24"/>
              <w:szCs w:val="24"/>
            </w:rPr>
          </w:pPr>
          <w:hyperlink w:anchor="_Toc193219106" w:history="1">
            <w:r w:rsidRPr="00C2654D">
              <w:rPr>
                <w:rStyle w:val="Hyperlink"/>
                <w:noProof/>
              </w:rPr>
              <w:t>Profitability Ratios</w:t>
            </w:r>
            <w:r>
              <w:rPr>
                <w:noProof/>
                <w:webHidden/>
              </w:rPr>
              <w:tab/>
            </w:r>
            <w:r>
              <w:rPr>
                <w:noProof/>
                <w:webHidden/>
              </w:rPr>
              <w:fldChar w:fldCharType="begin"/>
            </w:r>
            <w:r>
              <w:rPr>
                <w:noProof/>
                <w:webHidden/>
              </w:rPr>
              <w:instrText xml:space="preserve"> PAGEREF _Toc193219106 \h </w:instrText>
            </w:r>
            <w:r>
              <w:rPr>
                <w:noProof/>
                <w:webHidden/>
              </w:rPr>
            </w:r>
            <w:r>
              <w:rPr>
                <w:noProof/>
                <w:webHidden/>
              </w:rPr>
              <w:fldChar w:fldCharType="separate"/>
            </w:r>
            <w:r>
              <w:rPr>
                <w:noProof/>
                <w:webHidden/>
              </w:rPr>
              <w:t>26</w:t>
            </w:r>
            <w:r>
              <w:rPr>
                <w:noProof/>
                <w:webHidden/>
              </w:rPr>
              <w:fldChar w:fldCharType="end"/>
            </w:r>
          </w:hyperlink>
        </w:p>
        <w:p w14:paraId="56CD0F4E" w14:textId="16ECDE93" w:rsidR="00E546D2" w:rsidRDefault="00E546D2">
          <w:pPr>
            <w:pStyle w:val="TOC3"/>
            <w:tabs>
              <w:tab w:val="right" w:leader="dot" w:pos="9350"/>
            </w:tabs>
            <w:rPr>
              <w:rFonts w:eastAsiaTheme="minorEastAsia"/>
              <w:noProof/>
              <w:sz w:val="24"/>
              <w:szCs w:val="24"/>
            </w:rPr>
          </w:pPr>
          <w:hyperlink w:anchor="_Toc193219107" w:history="1">
            <w:r w:rsidRPr="00C2654D">
              <w:rPr>
                <w:rStyle w:val="Hyperlink"/>
                <w:noProof/>
              </w:rPr>
              <w:t>Valuation Ratios</w:t>
            </w:r>
            <w:r>
              <w:rPr>
                <w:noProof/>
                <w:webHidden/>
              </w:rPr>
              <w:tab/>
            </w:r>
            <w:r>
              <w:rPr>
                <w:noProof/>
                <w:webHidden/>
              </w:rPr>
              <w:fldChar w:fldCharType="begin"/>
            </w:r>
            <w:r>
              <w:rPr>
                <w:noProof/>
                <w:webHidden/>
              </w:rPr>
              <w:instrText xml:space="preserve"> PAGEREF _Toc193219107 \h </w:instrText>
            </w:r>
            <w:r>
              <w:rPr>
                <w:noProof/>
                <w:webHidden/>
              </w:rPr>
            </w:r>
            <w:r>
              <w:rPr>
                <w:noProof/>
                <w:webHidden/>
              </w:rPr>
              <w:fldChar w:fldCharType="separate"/>
            </w:r>
            <w:r>
              <w:rPr>
                <w:noProof/>
                <w:webHidden/>
              </w:rPr>
              <w:t>26</w:t>
            </w:r>
            <w:r>
              <w:rPr>
                <w:noProof/>
                <w:webHidden/>
              </w:rPr>
              <w:fldChar w:fldCharType="end"/>
            </w:r>
          </w:hyperlink>
        </w:p>
        <w:p w14:paraId="237CE956" w14:textId="13D11947" w:rsidR="00FA020B" w:rsidRDefault="00FA020B">
          <w:r>
            <w:rPr>
              <w:b/>
              <w:bCs/>
              <w:noProof/>
            </w:rPr>
            <w:fldChar w:fldCharType="end"/>
          </w:r>
        </w:p>
      </w:sdtContent>
    </w:sdt>
    <w:p w14:paraId="04CC659F" w14:textId="1F54F405" w:rsidR="00B036F9" w:rsidRDefault="00B036F9" w:rsidP="000378FB">
      <w:pPr>
        <w:jc w:val="center"/>
        <w:rPr>
          <w:rFonts w:cstheme="minorHAnsi"/>
        </w:rPr>
        <w:sectPr w:rsidR="00B036F9" w:rsidSect="00BB7C8B">
          <w:footerReference w:type="default" r:id="rId9"/>
          <w:pgSz w:w="12240" w:h="15840" w:code="1"/>
          <w:pgMar w:top="1440" w:right="1440" w:bottom="1440" w:left="1440" w:header="720" w:footer="288" w:gutter="0"/>
          <w:cols w:space="720"/>
          <w:docGrid w:linePitch="360"/>
        </w:sectPr>
      </w:pPr>
    </w:p>
    <w:p w14:paraId="0E6051C8" w14:textId="3A7DEFFA" w:rsidR="00094FD9" w:rsidRDefault="00025B6F" w:rsidP="00094FD9">
      <w:pPr>
        <w:pStyle w:val="Heading1"/>
        <w:rPr>
          <w:lang w:eastAsia="ja-JP"/>
        </w:rPr>
      </w:pPr>
      <w:bookmarkStart w:id="0" w:name="_Toc193219065"/>
      <w:r>
        <w:lastRenderedPageBreak/>
        <w:t>Report</w:t>
      </w:r>
      <w:r w:rsidR="00094FD9">
        <w:t xml:space="preserve"> </w:t>
      </w:r>
      <w:r w:rsidR="00094FD9">
        <w:rPr>
          <w:rFonts w:hint="eastAsia"/>
          <w:lang w:eastAsia="ja-JP"/>
        </w:rPr>
        <w:t>Overview</w:t>
      </w:r>
      <w:r>
        <w:rPr>
          <w:lang w:eastAsia="ja-JP"/>
        </w:rPr>
        <w:t xml:space="preserve"> &amp; Background</w:t>
      </w:r>
      <w:bookmarkEnd w:id="0"/>
    </w:p>
    <w:p w14:paraId="399F1540" w14:textId="15E8C58E" w:rsidR="00025B6F" w:rsidRDefault="00025B6F" w:rsidP="00025B6F">
      <w:pPr>
        <w:pStyle w:val="Heading2"/>
        <w:rPr>
          <w:lang w:eastAsia="ja-JP"/>
        </w:rPr>
      </w:pPr>
      <w:bookmarkStart w:id="1" w:name="_Toc193219066"/>
      <w:r>
        <w:rPr>
          <w:lang w:eastAsia="ja-JP"/>
        </w:rPr>
        <w:t>Description</w:t>
      </w:r>
      <w:bookmarkEnd w:id="1"/>
    </w:p>
    <w:p w14:paraId="3BC0D400" w14:textId="25360CD9" w:rsidR="0046678C" w:rsidRDefault="00025B6F" w:rsidP="00025B6F">
      <w:pPr>
        <w:rPr>
          <w:lang w:eastAsia="ja-JP"/>
        </w:rPr>
      </w:pPr>
      <w:r>
        <w:rPr>
          <w:lang w:eastAsia="ja-JP"/>
        </w:rPr>
        <w:t xml:space="preserve">This report is designed to provide a detailed overview of </w:t>
      </w:r>
      <w:r w:rsidR="00415784">
        <w:rPr>
          <w:lang w:eastAsia="ja-JP"/>
        </w:rPr>
        <w:t xml:space="preserve">the </w:t>
      </w:r>
      <w:r w:rsidR="00442A9F">
        <w:rPr>
          <w:lang w:eastAsia="ja-JP"/>
        </w:rPr>
        <w:t xml:space="preserve">XXX </w:t>
      </w:r>
      <w:r w:rsidR="00415784">
        <w:rPr>
          <w:lang w:eastAsia="ja-JP"/>
        </w:rPr>
        <w:t>industry</w:t>
      </w:r>
      <w:r w:rsidR="00E93F96">
        <w:rPr>
          <w:lang w:eastAsia="ja-JP"/>
        </w:rPr>
        <w:t>.</w:t>
      </w:r>
    </w:p>
    <w:p w14:paraId="4962D981" w14:textId="77777777" w:rsidR="0046678C" w:rsidRDefault="0046678C" w:rsidP="00025B6F">
      <w:pPr>
        <w:rPr>
          <w:lang w:eastAsia="ja-JP"/>
        </w:rPr>
      </w:pPr>
    </w:p>
    <w:p w14:paraId="0E8F3714" w14:textId="77777777" w:rsidR="0046678C" w:rsidRDefault="0046678C" w:rsidP="0046678C">
      <w:pPr>
        <w:pStyle w:val="Heading2"/>
        <w:rPr>
          <w:lang w:eastAsia="ja-JP"/>
        </w:rPr>
      </w:pPr>
      <w:bookmarkStart w:id="2" w:name="_Toc193219067"/>
      <w:r>
        <w:rPr>
          <w:lang w:eastAsia="ja-JP"/>
        </w:rPr>
        <w:t>Methodology</w:t>
      </w:r>
      <w:bookmarkEnd w:id="2"/>
    </w:p>
    <w:p w14:paraId="0DD6A5B5" w14:textId="1E44FF5D" w:rsidR="00025B6F" w:rsidRPr="00025B6F" w:rsidRDefault="0046678C" w:rsidP="0046678C">
      <w:pPr>
        <w:rPr>
          <w:lang w:eastAsia="ja-JP"/>
        </w:rPr>
      </w:pPr>
      <w:r>
        <w:rPr>
          <w:lang w:eastAsia="ja-JP"/>
        </w:rPr>
        <w:t>T</w:t>
      </w:r>
      <w:r w:rsidR="004D16E7">
        <w:rPr>
          <w:lang w:eastAsia="ja-JP"/>
        </w:rPr>
        <w:t xml:space="preserve">his report </w:t>
      </w:r>
      <w:r w:rsidR="001C6FA4">
        <w:rPr>
          <w:lang w:eastAsia="ja-JP"/>
        </w:rPr>
        <w:t xml:space="preserve">solely </w:t>
      </w:r>
      <w:r w:rsidR="004D16E7">
        <w:rPr>
          <w:lang w:eastAsia="ja-JP"/>
        </w:rPr>
        <w:t xml:space="preserve">relies on data from </w:t>
      </w:r>
      <w:r w:rsidR="001C6FA4">
        <w:rPr>
          <w:lang w:eastAsia="ja-JP"/>
        </w:rPr>
        <w:t>each company’s financial statements.</w:t>
      </w:r>
      <w:r w:rsidR="00E93F96">
        <w:rPr>
          <w:lang w:eastAsia="ja-JP"/>
        </w:rPr>
        <w:t xml:space="preserve"> </w:t>
      </w:r>
      <w:r w:rsidR="0047103D">
        <w:rPr>
          <w:lang w:eastAsia="ja-JP"/>
        </w:rPr>
        <w:t xml:space="preserve"> </w:t>
      </w:r>
    </w:p>
    <w:p w14:paraId="5D835B75" w14:textId="77777777" w:rsidR="006B1EB0" w:rsidRDefault="006B1EB0" w:rsidP="00094FD9"/>
    <w:p w14:paraId="7918AAB7" w14:textId="554C106D" w:rsidR="00BC54F2" w:rsidRPr="00BC54F2" w:rsidRDefault="00B34AEE" w:rsidP="00300BAA">
      <w:pPr>
        <w:pStyle w:val="Heading1"/>
        <w:rPr>
          <w:lang w:eastAsia="ja-JP"/>
        </w:rPr>
      </w:pPr>
      <w:bookmarkStart w:id="3" w:name="_Toc193219068"/>
      <w:r>
        <w:t>Company</w:t>
      </w:r>
      <w:r w:rsidR="00781F28">
        <w:t xml:space="preserve"> </w:t>
      </w:r>
      <w:r w:rsidR="00132E88">
        <w:rPr>
          <w:rFonts w:hint="eastAsia"/>
          <w:lang w:eastAsia="ja-JP"/>
        </w:rPr>
        <w:t>Overview</w:t>
      </w:r>
      <w:bookmarkEnd w:id="3"/>
    </w:p>
    <w:p w14:paraId="60EC33CC" w14:textId="1BF986AD" w:rsidR="00BC54F2" w:rsidRPr="00BC54F2" w:rsidRDefault="00852B50" w:rsidP="00865461">
      <w:pPr>
        <w:pStyle w:val="Heading2"/>
        <w:rPr>
          <w:lang w:eastAsia="ja-JP"/>
        </w:rPr>
      </w:pPr>
      <w:bookmarkStart w:id="4" w:name="_Toc193219069"/>
      <w:r>
        <w:rPr>
          <w:lang w:eastAsia="ja-JP"/>
        </w:rPr>
        <w:t>MGM Resort International</w:t>
      </w:r>
      <w:bookmarkEnd w:id="4"/>
    </w:p>
    <w:p w14:paraId="3E02CF9E" w14:textId="175A8DCC" w:rsidR="00727868" w:rsidRPr="00727868" w:rsidRDefault="00BC54F2" w:rsidP="00C5043F">
      <w:pPr>
        <w:pStyle w:val="Heading3"/>
      </w:pPr>
      <w:bookmarkStart w:id="5" w:name="_Toc189136871"/>
      <w:bookmarkStart w:id="6" w:name="_Toc193219070"/>
      <w:r>
        <w:t>Business</w:t>
      </w:r>
      <w:bookmarkEnd w:id="5"/>
      <w:bookmarkEnd w:id="6"/>
    </w:p>
    <w:p w14:paraId="362F069A" w14:textId="5AEE8DE1" w:rsidR="00255E5C" w:rsidRDefault="00174633" w:rsidP="0016631F">
      <w:r>
        <w:tab/>
      </w:r>
      <w:r w:rsidR="00E47B1E">
        <w:t>MGM Resorts International</w:t>
      </w:r>
      <w:r w:rsidR="00A46CE7">
        <w:t xml:space="preserve"> (“MGM”)</w:t>
      </w:r>
      <w:r w:rsidR="00E47B1E">
        <w:t xml:space="preserve"> i</w:t>
      </w:r>
      <w:r w:rsidR="00E30D1F">
        <w:t>s a global gaming and entertainment company with domestic and international locations</w:t>
      </w:r>
      <w:r w:rsidR="000C5E0E">
        <w:t xml:space="preserve">, featuring hotels and casinos, meeting and conference spaces, </w:t>
      </w:r>
      <w:r w:rsidR="00507218">
        <w:t xml:space="preserve">live and theatrical entertainment experiences, and an array of restaurant, </w:t>
      </w:r>
      <w:r w:rsidR="00E2206F">
        <w:t>nightlife,</w:t>
      </w:r>
      <w:r w:rsidR="00507218">
        <w:t xml:space="preserve"> and retail offerings</w:t>
      </w:r>
      <w:r w:rsidR="00A46CE7">
        <w:t>, as well as sports betting and online gaming operations.</w:t>
      </w:r>
    </w:p>
    <w:p w14:paraId="200D7783" w14:textId="000A35D7" w:rsidR="00A46CE7" w:rsidRDefault="00A46CE7" w:rsidP="0016631F">
      <w:r>
        <w:tab/>
        <w:t xml:space="preserve">As of December </w:t>
      </w:r>
      <w:r w:rsidR="00844756">
        <w:t xml:space="preserve">31, 2024, </w:t>
      </w:r>
      <w:r w:rsidR="004C244D">
        <w:t xml:space="preserve">MGM operates </w:t>
      </w:r>
      <w:r w:rsidR="004C244D" w:rsidRPr="003339B1">
        <w:rPr>
          <w:b/>
          <w:bCs/>
        </w:rPr>
        <w:t>16</w:t>
      </w:r>
      <w:r w:rsidR="004C244D">
        <w:t xml:space="preserve"> domestic casino properties</w:t>
      </w:r>
      <w:r w:rsidR="00156EF4">
        <w:t xml:space="preserve">. </w:t>
      </w:r>
      <w:r w:rsidR="00DD733F">
        <w:t xml:space="preserve">The company also operates </w:t>
      </w:r>
      <w:r w:rsidR="00DD733F" w:rsidRPr="003339B1">
        <w:rPr>
          <w:b/>
          <w:bCs/>
        </w:rPr>
        <w:t>two</w:t>
      </w:r>
      <w:r w:rsidR="00DD733F">
        <w:t xml:space="preserve"> casino properties in Macau</w:t>
      </w:r>
      <w:r w:rsidR="00156EF4">
        <w:t xml:space="preserve">, </w:t>
      </w:r>
      <w:r w:rsidR="00BE6D34">
        <w:t>through its approximately 56% controlling interest in MGM China</w:t>
      </w:r>
      <w:r w:rsidR="00144ABD">
        <w:t xml:space="preserve"> Holdings Limited (together with its subsidiaries, “MGM China”), which owns MGM Grand Paradise, S.A. (“MGM Grand Paradise”)</w:t>
      </w:r>
      <w:r w:rsidR="00DD733F">
        <w:t>.</w:t>
      </w:r>
      <w:r w:rsidR="00D873BD">
        <w:t xml:space="preserve"> Additionally, through its 50% ownership interest in Osaka IR KK, an unconsolidated affiliate, the company </w:t>
      </w:r>
      <w:r w:rsidR="00FE1B9E">
        <w:t>is developing an integrated resort in Osaka, Japan</w:t>
      </w:r>
      <w:r w:rsidR="00276297">
        <w:t xml:space="preserve">. MGM also </w:t>
      </w:r>
      <w:r w:rsidR="004170F6">
        <w:t>has global online gaming operations primarily through its consolidated subsidiary LV lion Holding Limited (together with its subsidiaries, “Leo Vegas”</w:t>
      </w:r>
      <w:r w:rsidR="00E752C5">
        <w:t>) and through its 50% ownership interest in BetMGM, LLC (“BetMGM North America Venture”)</w:t>
      </w:r>
      <w:r w:rsidR="00284A89">
        <w:t>, an unconsolidated affiliate.</w:t>
      </w:r>
    </w:p>
    <w:p w14:paraId="2C297CCA" w14:textId="1695B4CF" w:rsidR="00402914" w:rsidRDefault="00402914" w:rsidP="0016631F">
      <w:r>
        <w:tab/>
        <w:t>MGM leases the real estate assets of</w:t>
      </w:r>
      <w:r w:rsidR="00560BD3">
        <w:t xml:space="preserve"> </w:t>
      </w:r>
      <w:r w:rsidR="00560BD3" w:rsidRPr="00560BD3">
        <w:rPr>
          <w:b/>
          <w:bCs/>
        </w:rPr>
        <w:t>all</w:t>
      </w:r>
      <w:r>
        <w:t xml:space="preserve"> its domestic properties to triple net lease agreements. </w:t>
      </w:r>
    </w:p>
    <w:p w14:paraId="4D987EC0" w14:textId="0B73556F" w:rsidR="00402914" w:rsidRDefault="00402914" w:rsidP="0016631F">
      <w:r>
        <w:tab/>
      </w:r>
      <w:r w:rsidR="00860278">
        <w:t xml:space="preserve">MGM has been deploying an </w:t>
      </w:r>
      <w:r w:rsidR="00860278" w:rsidRPr="00560BD3">
        <w:rPr>
          <w:b/>
          <w:bCs/>
        </w:rPr>
        <w:t>asset-light</w:t>
      </w:r>
      <w:r w:rsidR="00860278">
        <w:t xml:space="preserve"> business model, which has involved a comprehensive review of its owned real estate assets to find opportunities to monetize those assets eff</w:t>
      </w:r>
      <w:r w:rsidR="008F366C">
        <w:t>iciently and allow unlocked capital to be redeployed towards balance sheet improvements, new growth opportuniti</w:t>
      </w:r>
      <w:r w:rsidR="006B7672">
        <w:t xml:space="preserve">es, particularly by investing in U.S. online sports betting and iGaming through BetMGM North America Venture, </w:t>
      </w:r>
      <w:r w:rsidR="009C1E31">
        <w:t>acquiring LeoVegas to expand its global online presence, expanding its digital capabilities, and seeking to diversif</w:t>
      </w:r>
      <w:r w:rsidR="008147D4">
        <w:t>y its Asia operations with development efforts in Japan.</w:t>
      </w:r>
    </w:p>
    <w:p w14:paraId="674E1A9F" w14:textId="37505B99" w:rsidR="00400193" w:rsidRDefault="00400193" w:rsidP="0016631F">
      <w:r>
        <w:tab/>
        <w:t xml:space="preserve">Most of MGM’s revenue </w:t>
      </w:r>
      <w:r w:rsidR="00A7570C">
        <w:t xml:space="preserve">is </w:t>
      </w:r>
      <w:r w:rsidR="00A7570C" w:rsidRPr="00B274B2">
        <w:rPr>
          <w:b/>
          <w:bCs/>
        </w:rPr>
        <w:t>cash-based</w:t>
      </w:r>
      <w:r w:rsidR="00A7570C">
        <w:t xml:space="preserve">, through customers wagering with cash or paying for non-gaming services with cash or credit cards. </w:t>
      </w:r>
    </w:p>
    <w:p w14:paraId="54FE8903" w14:textId="329729E5" w:rsidR="00456371" w:rsidRDefault="00456371" w:rsidP="0016631F">
      <w:r>
        <w:tab/>
        <w:t xml:space="preserve">Over half of the net revenue from MGM’s net revenue </w:t>
      </w:r>
      <w:r w:rsidR="00225897">
        <w:t>from its Las Vegas Strip Resorts is typically derived from non-gaming operations</w:t>
      </w:r>
      <w:r w:rsidR="003C4A16">
        <w:t>, including hotel, food and beverage, entertainment and other non-gaming amenities</w:t>
      </w:r>
      <w:r w:rsidR="005B6F53">
        <w:t xml:space="preserve">, and the majority of the net revenue from its Regional Operations is typically derived from gaming operations. </w:t>
      </w:r>
      <w:r w:rsidR="009C4ABF">
        <w:t>MGM China’s revenues are generated primarily from gaming operations, which are conducted under a gaming concession held by MGM Grand Paradise.</w:t>
      </w:r>
      <w:r w:rsidR="00F52BFF">
        <w:t xml:space="preserve"> Gaming in Macau is currently administered by the Macau Government through concessions awarded to six different concessionaries.</w:t>
      </w:r>
    </w:p>
    <w:p w14:paraId="0C092306" w14:textId="6510C2C0" w:rsidR="008765B0" w:rsidRDefault="008765B0" w:rsidP="0016631F">
      <w:r>
        <w:tab/>
      </w:r>
      <w:r w:rsidR="00E91B46">
        <w:t>MGM has also been actively investin</w:t>
      </w:r>
      <w:r w:rsidR="005E2EC3">
        <w:t xml:space="preserve">g in unconsolidated affiliates and certain other corporate and management operations, which </w:t>
      </w:r>
      <w:r w:rsidR="006C6668">
        <w:t>primarily consist of</w:t>
      </w:r>
      <w:r w:rsidR="005E2EC3">
        <w:t xml:space="preserve"> </w:t>
      </w:r>
      <w:r w:rsidR="006476A9">
        <w:t>BetMGM North America Venture and Osaka IR KK.</w:t>
      </w:r>
    </w:p>
    <w:p w14:paraId="5E80DBCD" w14:textId="77777777" w:rsidR="00A543AC" w:rsidRPr="0016631F" w:rsidRDefault="00A543AC" w:rsidP="0016631F"/>
    <w:p w14:paraId="6CCDD764" w14:textId="77777777" w:rsidR="00222ABD" w:rsidRDefault="00222ABD" w:rsidP="00222ABD">
      <w:pPr>
        <w:pStyle w:val="Heading3"/>
      </w:pPr>
      <w:bookmarkStart w:id="7" w:name="_Toc189136875"/>
      <w:bookmarkStart w:id="8" w:name="_Toc193219071"/>
      <w:r>
        <w:lastRenderedPageBreak/>
        <w:t>Competition</w:t>
      </w:r>
      <w:bookmarkEnd w:id="7"/>
      <w:bookmarkEnd w:id="8"/>
    </w:p>
    <w:p w14:paraId="026FF343" w14:textId="7D680C20" w:rsidR="006476A9" w:rsidRDefault="006476A9" w:rsidP="006476A9">
      <w:pPr>
        <w:ind w:firstLine="720"/>
      </w:pPr>
      <w:r>
        <w:t>MGM competes against gaming companies, as well as other hosp</w:t>
      </w:r>
      <w:r w:rsidR="007F776F">
        <w:t xml:space="preserve">itality companies in the markets, including non-gaming </w:t>
      </w:r>
      <w:r w:rsidR="00427B24">
        <w:t xml:space="preserve">resort destinations like Hawaii. Its gaming operations compete to a lesser extent with state-sponsored lotteries, </w:t>
      </w:r>
      <w:r w:rsidR="00C351C7">
        <w:t>off-track wagering, card parlors, and other forms of legalized gaming in the United States and inter</w:t>
      </w:r>
      <w:r w:rsidR="00E7368C">
        <w:t xml:space="preserve">nationally. The company faces </w:t>
      </w:r>
      <w:r w:rsidR="002F0715">
        <w:t xml:space="preserve">significant competition with respect to destination travel locations generally and with respect to its peers in the industries in which the company </w:t>
      </w:r>
      <w:r w:rsidR="00305BB4">
        <w:t>competes, including online sports betting and iGaming.</w:t>
      </w:r>
    </w:p>
    <w:p w14:paraId="50DF9B5A" w14:textId="2B6521C1" w:rsidR="00CA409D" w:rsidRDefault="00CA409D" w:rsidP="006476A9">
      <w:pPr>
        <w:ind w:firstLine="720"/>
      </w:pPr>
      <w:r>
        <w:t>MGM’s primary methods of successfully competing include:</w:t>
      </w:r>
    </w:p>
    <w:p w14:paraId="02D9706F" w14:textId="6F975AB7" w:rsidR="00CA409D" w:rsidRDefault="00AA7105" w:rsidP="00AA7105">
      <w:pPr>
        <w:pStyle w:val="ListParagraph"/>
        <w:numPr>
          <w:ilvl w:val="0"/>
          <w:numId w:val="34"/>
        </w:numPr>
      </w:pPr>
      <w:r>
        <w:t>Location its properties in desirable leisure and business travel markets</w:t>
      </w:r>
      <w:r w:rsidR="00D40FCC">
        <w:t>;</w:t>
      </w:r>
    </w:p>
    <w:p w14:paraId="7A3170CD" w14:textId="0E4A7A25" w:rsidR="00D40FCC" w:rsidRDefault="00D40FCC" w:rsidP="00AA7105">
      <w:pPr>
        <w:pStyle w:val="ListParagraph"/>
        <w:numPr>
          <w:ilvl w:val="0"/>
          <w:numId w:val="34"/>
        </w:numPr>
      </w:pPr>
      <w:r>
        <w:t>Constructing and maintaining high-quality resorts and facilities</w:t>
      </w:r>
      <w:r w:rsidR="004515DB">
        <w:t>;</w:t>
      </w:r>
    </w:p>
    <w:p w14:paraId="63BDD471" w14:textId="23560D51" w:rsidR="004515DB" w:rsidRDefault="004515DB" w:rsidP="00AA7105">
      <w:pPr>
        <w:pStyle w:val="ListParagraph"/>
        <w:numPr>
          <w:ilvl w:val="0"/>
          <w:numId w:val="34"/>
        </w:numPr>
      </w:pPr>
      <w:r>
        <w:t>Recruiting, training, and retaining well-qualified and motivated employees who provide superior customer service;</w:t>
      </w:r>
    </w:p>
    <w:p w14:paraId="1DAF10BF" w14:textId="0E971CEE" w:rsidR="004515DB" w:rsidRDefault="00F978A1" w:rsidP="00AA7105">
      <w:pPr>
        <w:pStyle w:val="ListParagraph"/>
        <w:numPr>
          <w:ilvl w:val="0"/>
          <w:numId w:val="34"/>
        </w:numPr>
      </w:pPr>
      <w:r>
        <w:t>Providing</w:t>
      </w:r>
      <w:r w:rsidR="00BB6471">
        <w:t xml:space="preserve"> unique, “must-see” entertainment attractions;</w:t>
      </w:r>
    </w:p>
    <w:p w14:paraId="257D63CD" w14:textId="6EE49D73" w:rsidR="00BB6471" w:rsidRDefault="00BB6471" w:rsidP="00BB6471">
      <w:pPr>
        <w:pStyle w:val="ListParagraph"/>
        <w:numPr>
          <w:ilvl w:val="0"/>
          <w:numId w:val="34"/>
        </w:numPr>
      </w:pPr>
      <w:r>
        <w:t>Investing in digital offerings and opportunities domestically and abroad; and</w:t>
      </w:r>
    </w:p>
    <w:p w14:paraId="01F3E76B" w14:textId="6DE5BDBE" w:rsidR="002D3BFF" w:rsidRDefault="00BB6471" w:rsidP="00E842AA">
      <w:pPr>
        <w:pStyle w:val="ListParagraph"/>
        <w:numPr>
          <w:ilvl w:val="0"/>
          <w:numId w:val="34"/>
        </w:numPr>
      </w:pPr>
      <w:r>
        <w:t>Developing distinctive and memorable marketing, promotional and customer loya</w:t>
      </w:r>
      <w:r w:rsidR="00E842AA">
        <w:t>lty programs.</w:t>
      </w:r>
    </w:p>
    <w:p w14:paraId="2EE7BC1F" w14:textId="77777777" w:rsidR="00A543AC" w:rsidRDefault="00A543AC" w:rsidP="00125103">
      <w:pPr>
        <w:ind w:firstLine="720"/>
      </w:pPr>
    </w:p>
    <w:p w14:paraId="1DE123BB" w14:textId="77777777" w:rsidR="00917DF9" w:rsidRDefault="00917DF9" w:rsidP="00917DF9">
      <w:pPr>
        <w:pStyle w:val="Heading3"/>
      </w:pPr>
      <w:bookmarkStart w:id="9" w:name="_Toc189136876"/>
      <w:bookmarkStart w:id="10" w:name="_Toc193219072"/>
      <w:r>
        <w:t>Employees &amp; Labor Relations</w:t>
      </w:r>
      <w:bookmarkEnd w:id="9"/>
      <w:bookmarkEnd w:id="10"/>
    </w:p>
    <w:p w14:paraId="15F51946" w14:textId="334B5F4D" w:rsidR="002D3BFF" w:rsidRDefault="00917DF9" w:rsidP="00AA6347">
      <w:pPr>
        <w:ind w:firstLine="720"/>
      </w:pPr>
      <w:r>
        <w:t xml:space="preserve"> </w:t>
      </w:r>
      <w:r w:rsidR="00A912A7" w:rsidRPr="00A912A7">
        <w:t>As of December 31, 2024</w:t>
      </w:r>
      <w:r w:rsidR="00CF4143">
        <w:t>, MGM had approximately 45,000 full-time and 18,000 part-time employees domestically</w:t>
      </w:r>
      <w:r w:rsidR="00F16EA3">
        <w:t>. In addition, the company had approximately 13,000 and 2,000 employees at MGM China and LeoVegas, respectively</w:t>
      </w:r>
      <w:r w:rsidR="00A912A7" w:rsidRPr="00A912A7">
        <w:t>.</w:t>
      </w:r>
      <w:r w:rsidR="00F16EA3">
        <w:t xml:space="preserve"> </w:t>
      </w:r>
      <w:r w:rsidR="00055924">
        <w:t>The company had collective bargaining agreements with unions covering approximately 38,000 of its employees as of December 31, 2024</w:t>
      </w:r>
      <w:r w:rsidR="00AC1FCD">
        <w:t xml:space="preserve"> — approximately </w:t>
      </w:r>
      <w:r w:rsidR="003D747B">
        <w:t xml:space="preserve">60% of </w:t>
      </w:r>
      <w:r w:rsidR="00DE3AEF">
        <w:t>its domestic employees, including part-time employees.</w:t>
      </w:r>
      <w:r w:rsidR="00AC1FCD">
        <w:t xml:space="preserve"> </w:t>
      </w:r>
      <w:r w:rsidR="00055924">
        <w:t xml:space="preserve"> </w:t>
      </w:r>
      <w:r w:rsidR="00F07067">
        <w:t xml:space="preserve">As of the same date, </w:t>
      </w:r>
      <w:r w:rsidR="00F83D19">
        <w:t>none of the employees of MGM China or LeoVegas are part of a labor union and MGM China and LeoVegas are not party to any collective bargaining agreements.</w:t>
      </w:r>
    </w:p>
    <w:p w14:paraId="348C1292" w14:textId="77777777" w:rsidR="00A543AC" w:rsidRDefault="00A543AC" w:rsidP="00AA6347">
      <w:pPr>
        <w:ind w:firstLine="720"/>
      </w:pPr>
    </w:p>
    <w:p w14:paraId="11717CA8" w14:textId="17D63516" w:rsidR="00117ED7" w:rsidRDefault="009778F6" w:rsidP="00537109">
      <w:pPr>
        <w:pStyle w:val="Heading3"/>
      </w:pPr>
      <w:bookmarkStart w:id="11" w:name="_Toc193219073"/>
      <w:r>
        <w:t>Key</w:t>
      </w:r>
      <w:r w:rsidR="00117ED7">
        <w:t xml:space="preserve"> Risk Factors</w:t>
      </w:r>
      <w:r>
        <w:t xml:space="preserve"> Unique to </w:t>
      </w:r>
      <w:r w:rsidR="004D224B">
        <w:t>MGM</w:t>
      </w:r>
      <w:bookmarkEnd w:id="11"/>
    </w:p>
    <w:p w14:paraId="468A1A2F" w14:textId="114FFD86" w:rsidR="00CA797E" w:rsidRDefault="007616EF" w:rsidP="00865461">
      <w:pPr>
        <w:ind w:firstLine="360"/>
        <w:rPr>
          <w:b/>
          <w:bCs/>
          <w:i/>
          <w:iCs/>
        </w:rPr>
      </w:pPr>
      <w:r w:rsidRPr="007616EF">
        <w:rPr>
          <w:b/>
          <w:bCs/>
          <w:i/>
          <w:iCs/>
        </w:rPr>
        <w:t>All of</w:t>
      </w:r>
      <w:r w:rsidR="00714619">
        <w:rPr>
          <w:b/>
          <w:bCs/>
          <w:i/>
          <w:iCs/>
        </w:rPr>
        <w:t xml:space="preserve"> MGM’s</w:t>
      </w:r>
      <w:r w:rsidRPr="007616EF">
        <w:rPr>
          <w:b/>
          <w:bCs/>
          <w:i/>
          <w:iCs/>
        </w:rPr>
        <w:t xml:space="preserve"> domestic gaming facilities are leased and could experience risks associated with leased property, including risks relating to lease termination, lease extensions, charges and </w:t>
      </w:r>
      <w:r w:rsidR="00987B7A">
        <w:rPr>
          <w:b/>
          <w:bCs/>
          <w:i/>
          <w:iCs/>
        </w:rPr>
        <w:t>its</w:t>
      </w:r>
      <w:r w:rsidRPr="007616EF">
        <w:rPr>
          <w:b/>
          <w:bCs/>
          <w:i/>
          <w:iCs/>
        </w:rPr>
        <w:t xml:space="preserve"> relationship with the lessor, which could have a material adverse effect on </w:t>
      </w:r>
      <w:r w:rsidR="00987B7A">
        <w:rPr>
          <w:b/>
          <w:bCs/>
          <w:i/>
          <w:iCs/>
        </w:rPr>
        <w:t>its</w:t>
      </w:r>
      <w:r w:rsidRPr="007616EF">
        <w:rPr>
          <w:b/>
          <w:bCs/>
          <w:i/>
          <w:iCs/>
        </w:rPr>
        <w:t xml:space="preserve"> business, financial position or results of operations.</w:t>
      </w:r>
    </w:p>
    <w:p w14:paraId="1482F323" w14:textId="2B7D532B" w:rsidR="00420083" w:rsidRPr="00420083" w:rsidRDefault="00420083" w:rsidP="00865461">
      <w:pPr>
        <w:ind w:firstLine="360"/>
      </w:pPr>
      <w:r>
        <w:rPr>
          <w:b/>
          <w:bCs/>
          <w:i/>
          <w:iCs/>
        </w:rPr>
        <w:tab/>
      </w:r>
      <w:r>
        <w:t xml:space="preserve">All of MGM’s domestic properties are subject to triple net leases that, in addition to rent, require the company to pay: </w:t>
      </w:r>
      <w:r w:rsidR="00557F47" w:rsidRPr="00557F47">
        <w:t>(1) all facility maintenance, (2) all insurance required in connection with the leased properties and the business conducted on the leased properties, (3) taxes levied on or with respect to the leased properties (other than taxes on the income of the lessor), (4) all capital expenditures, and (5) all utilities and other services necessary or appropriate for the leased properties and the business conducted on the leased properties.</w:t>
      </w:r>
      <w:r w:rsidR="007A1DE6">
        <w:t xml:space="preserve"> The company </w:t>
      </w:r>
      <w:r w:rsidR="003F7F7E">
        <w:t xml:space="preserve">is </w:t>
      </w:r>
      <w:r w:rsidR="007A1DE6" w:rsidRPr="007A1DE6">
        <w:t>responsible for paying these expenses notwithstanding the fact that many of the benefits received in exchange for such costs shall accrue in part to the landlords as the owners of the associated facilities.</w:t>
      </w:r>
      <w:r w:rsidR="003F7F7E">
        <w:t xml:space="preserve"> </w:t>
      </w:r>
      <w:r w:rsidR="007A1DE6" w:rsidRPr="007A1DE6">
        <w:t xml:space="preserve">Furthermore, </w:t>
      </w:r>
      <w:r w:rsidR="003F7F7E">
        <w:t>MGM’s</w:t>
      </w:r>
      <w:r w:rsidR="007A1DE6" w:rsidRPr="007A1DE6">
        <w:t xml:space="preserve"> obligation to pay rent as well as the other costs described above is absolute in virtually all circumstances, regardless of the performance of the properties and other circumstances that might abate rent in leases that now place these risks on the tenant, such as certain events of casualty and condemnation. Finally, </w:t>
      </w:r>
      <w:r w:rsidR="003F7F7E">
        <w:t>MGM’s</w:t>
      </w:r>
      <w:r w:rsidR="007A1DE6" w:rsidRPr="007A1DE6">
        <w:t xml:space="preserve"> leases limit </w:t>
      </w:r>
      <w:r w:rsidR="003F7F7E">
        <w:t>its</w:t>
      </w:r>
      <w:r w:rsidR="007A1DE6" w:rsidRPr="007A1DE6">
        <w:t xml:space="preserve"> ability to cease operations at our properties, subject to certain limited exceptions.</w:t>
      </w:r>
    </w:p>
    <w:p w14:paraId="7AFB75EA" w14:textId="6BFDA7B0" w:rsidR="00462D30" w:rsidRDefault="00462D30" w:rsidP="00462D30">
      <w:pPr>
        <w:ind w:firstLine="360"/>
        <w:rPr>
          <w:b/>
          <w:bCs/>
          <w:i/>
          <w:iCs/>
        </w:rPr>
      </w:pPr>
      <w:r w:rsidRPr="00462D30">
        <w:rPr>
          <w:b/>
          <w:bCs/>
          <w:i/>
          <w:iCs/>
        </w:rPr>
        <w:t>Because a significant number of our major gaming resorts are concentrated on the Las Vegas Strip, we are subject to greater risks than a gaming company that is more geographically diversified.</w:t>
      </w:r>
    </w:p>
    <w:p w14:paraId="206B54D5" w14:textId="297415FA" w:rsidR="00D15DA6" w:rsidRPr="00B95F2A" w:rsidRDefault="00D15DA6" w:rsidP="00462D30">
      <w:pPr>
        <w:ind w:firstLine="360"/>
      </w:pPr>
      <w:r>
        <w:rPr>
          <w:b/>
          <w:bCs/>
          <w:i/>
          <w:iCs/>
        </w:rPr>
        <w:tab/>
      </w:r>
      <w:r w:rsidR="00B95F2A" w:rsidRPr="00B95F2A">
        <w:t>Given that a significant number of</w:t>
      </w:r>
      <w:r w:rsidR="00C16192">
        <w:t xml:space="preserve"> MGM’s</w:t>
      </w:r>
      <w:r w:rsidR="00B95F2A" w:rsidRPr="00B95F2A">
        <w:t xml:space="preserve"> major resorts are concentrated on the Las Vegas Strip, </w:t>
      </w:r>
      <w:r w:rsidR="00C16192">
        <w:t>its</w:t>
      </w:r>
      <w:r w:rsidR="00B95F2A" w:rsidRPr="00B95F2A">
        <w:t xml:space="preserve"> business may be significantly affected by risks common to the Las Vegas tourism industry. For example, the cost and availability of air services and the impact of any events that disrupt air travel to and from Las Vegas can </w:t>
      </w:r>
      <w:r w:rsidR="00B95F2A" w:rsidRPr="00B95F2A">
        <w:lastRenderedPageBreak/>
        <w:t xml:space="preserve">adversely affect </w:t>
      </w:r>
      <w:r w:rsidR="00744F6A">
        <w:t>its</w:t>
      </w:r>
      <w:r w:rsidR="00B95F2A" w:rsidRPr="00B95F2A">
        <w:t xml:space="preserve"> business. </w:t>
      </w:r>
      <w:r w:rsidR="00744F6A">
        <w:t>The company</w:t>
      </w:r>
      <w:r w:rsidR="00B95F2A" w:rsidRPr="00B95F2A">
        <w:t xml:space="preserve"> cannot control the number or frequency of flights to or from Las Vegas, but we rely on air traffic for a significant portion of our visitors. Reductions in flights by major airlines as a result of higher fuel prices, lower demand, or otherwise, can impact the number of visitors to </w:t>
      </w:r>
      <w:r w:rsidR="00744F6A">
        <w:t>MGM</w:t>
      </w:r>
      <w:r w:rsidR="00B95F2A" w:rsidRPr="00B95F2A">
        <w:t xml:space="preserve"> properties. Additionally, there is one principal interstate highway between Las Vegas and Southern California, where a large number of </w:t>
      </w:r>
      <w:r w:rsidR="00744F6A">
        <w:t>its</w:t>
      </w:r>
      <w:r w:rsidR="00B95F2A" w:rsidRPr="00B95F2A">
        <w:t xml:space="preserve"> customers reside. Capacity constraints of that highway or any other traffic disruptions may also affect the number of customers who visit </w:t>
      </w:r>
      <w:r w:rsidR="00E21154">
        <w:t>MGM</w:t>
      </w:r>
      <w:r w:rsidR="00B95F2A" w:rsidRPr="00B95F2A">
        <w:t xml:space="preserve"> facilities</w:t>
      </w:r>
      <w:r w:rsidR="00E21154">
        <w:t>.</w:t>
      </w:r>
    </w:p>
    <w:p w14:paraId="2092B4CA" w14:textId="3416B3C6" w:rsidR="00127131" w:rsidRDefault="00D2674A" w:rsidP="00D2674A">
      <w:pPr>
        <w:ind w:firstLine="360"/>
        <w:rPr>
          <w:b/>
          <w:bCs/>
          <w:i/>
          <w:iCs/>
        </w:rPr>
      </w:pPr>
      <w:r w:rsidRPr="00D2674A">
        <w:rPr>
          <w:b/>
          <w:bCs/>
          <w:i/>
          <w:iCs/>
        </w:rPr>
        <w:t>The Macau government can (i) terminate MGM Grand Paradise’s concession under certain circumstances without compensating MGM Grand Paradise, (ii) from the eighth year of MGM Grand Paradise’s concession, redeem the concession by providing MGM Grand Paradise at least one year’s prior notice and subject to the payment of reasonable and fair damages or indemnity to MGM Grand Paradise, or (iii) refuse to grant MGM Grand Paradise an extension of the concession prior to its expiry</w:t>
      </w:r>
      <w:r w:rsidR="002645F3">
        <w:rPr>
          <w:b/>
          <w:bCs/>
          <w:i/>
          <w:iCs/>
        </w:rPr>
        <w:t>.</w:t>
      </w:r>
    </w:p>
    <w:p w14:paraId="299B4819" w14:textId="3630C1E0" w:rsidR="00DB2A18" w:rsidRDefault="00DB2A18" w:rsidP="00D2674A">
      <w:pPr>
        <w:ind w:firstLine="360"/>
      </w:pPr>
      <w:r>
        <w:rPr>
          <w:b/>
          <w:bCs/>
          <w:i/>
          <w:iCs/>
        </w:rPr>
        <w:tab/>
      </w:r>
      <w:r w:rsidRPr="00DB2A18">
        <w:t xml:space="preserve">The Macau government has the right to unilaterally terminate the concession for endangering the national security of China or Macau by MGM Grand Paradise, failure of MGM Grand Paradise to perform its obligations, for the public interest or lack of appropriate qualifications of MGM Grand Paradise under the gaming law. From the eighth year of MGM Grand Paradise’s concession, the Macau government may redeem the concession by providing MGM Grand Paradise with at least one year of advance notice. In the event the Macau government exercises this redemption right, MGM Grand Paradise is entitled to reasonable and fair damages or indemnity. Upon such termination, all of MGM Grand Paradise’s casino area premises and gaming-related equipment, with the exception of those which have been temporarily transferred to MGM Grand Paradise by the Macau government for use in accordance with the concession contract, would be transferred automatically to the Macau government without compensation to MGM Grand Paradise, and </w:t>
      </w:r>
      <w:r>
        <w:t>the company</w:t>
      </w:r>
      <w:r w:rsidRPr="00DB2A18">
        <w:t xml:space="preserve"> would cease to generate any revenues from these operations. </w:t>
      </w:r>
      <w:r>
        <w:t>It is not guaranteed</w:t>
      </w:r>
      <w:r w:rsidRPr="00DB2A18">
        <w:t xml:space="preserve"> that MGM Grand Paradise will perform all of its obligations under the concession contract in a way that satisfies the requirements of the Macau government.</w:t>
      </w:r>
    </w:p>
    <w:p w14:paraId="00E03A75" w14:textId="77777777" w:rsidR="00D6413E" w:rsidRDefault="00D6413E" w:rsidP="00D6413E"/>
    <w:p w14:paraId="2526B554" w14:textId="0631A0FC" w:rsidR="00D6413E" w:rsidRDefault="0053356B" w:rsidP="00D6413E">
      <w:pPr>
        <w:pStyle w:val="Heading3"/>
      </w:pPr>
      <w:bookmarkStart w:id="12" w:name="_Toc193219074"/>
      <w:r>
        <w:t>Business Development Overview</w:t>
      </w:r>
      <w:bookmarkEnd w:id="12"/>
    </w:p>
    <w:p w14:paraId="772BB6C2" w14:textId="6975CA03" w:rsidR="00455940" w:rsidRPr="00455940" w:rsidRDefault="00634088" w:rsidP="00634088">
      <w:pPr>
        <w:pStyle w:val="Heading4"/>
        <w:ind w:firstLine="360"/>
      </w:pPr>
      <w:r>
        <w:t>BetMGM</w:t>
      </w:r>
    </w:p>
    <w:p w14:paraId="728B0F23" w14:textId="44CBEDEC" w:rsidR="00D6413E" w:rsidRPr="00DB2A18" w:rsidRDefault="0053356B" w:rsidP="00D6413E">
      <w:pPr>
        <w:ind w:firstLine="720"/>
      </w:pPr>
      <w:r>
        <w:t xml:space="preserve">In 2018, </w:t>
      </w:r>
      <w:r w:rsidR="007932B7">
        <w:t>MGM and Entain formed BetMGM North America Venture.</w:t>
      </w:r>
      <w:r w:rsidR="003A21E9">
        <w:t xml:space="preserve"> In connection with its formation, </w:t>
      </w:r>
      <w:r w:rsidR="007932B7">
        <w:t>MGM provide</w:t>
      </w:r>
      <w:r w:rsidR="003A21E9">
        <w:t>d</w:t>
      </w:r>
      <w:r w:rsidR="007932B7">
        <w:t xml:space="preserve"> BetMGM North America Venture </w:t>
      </w:r>
      <w:r w:rsidR="00DB25AB">
        <w:t>with exclusive access to all of its domestic land based and online sports betting, major tournament poker, and online gaming operations, and Entain provi</w:t>
      </w:r>
      <w:r w:rsidR="003A21E9">
        <w:t xml:space="preserve">ded </w:t>
      </w:r>
      <w:r w:rsidR="007F6E84">
        <w:t>BetMGM North America Venture with exclusive access to its technology in the United States.</w:t>
      </w:r>
    </w:p>
    <w:p w14:paraId="642B2EBF" w14:textId="5F3B9427" w:rsidR="00634088" w:rsidRPr="00455940" w:rsidRDefault="00634088" w:rsidP="00634088">
      <w:pPr>
        <w:pStyle w:val="Heading4"/>
        <w:ind w:firstLine="360"/>
      </w:pPr>
      <w:bookmarkStart w:id="13" w:name="_Toc189136880"/>
      <w:r>
        <w:t>Osaka IR KK</w:t>
      </w:r>
    </w:p>
    <w:p w14:paraId="67AD2F26" w14:textId="7875B0DC" w:rsidR="00634088" w:rsidRDefault="00957BC5" w:rsidP="004A3FD1">
      <w:pPr>
        <w:ind w:firstLine="720"/>
      </w:pPr>
      <w:r>
        <w:t xml:space="preserve">In 2021, MGM announced that the company and ORIX were selected by Osaka as the region’s integrated resort partner. </w:t>
      </w:r>
      <w:r w:rsidR="00E015D6">
        <w:t>During the same year, MGM and ORIX formed a venture, Osaka IR KK, through which the company plans to develop the integrated resort. In 2022, MG</w:t>
      </w:r>
      <w:r w:rsidR="00EE0519">
        <w:t>M</w:t>
      </w:r>
      <w:r w:rsidR="00E015D6">
        <w:t>, together with Osaka prefecture/city</w:t>
      </w:r>
      <w:r w:rsidR="00EE0519">
        <w:t xml:space="preserve">, Osaka IR KK, and ORIX, submitted an ADP </w:t>
      </w:r>
      <w:r w:rsidR="00A14E08">
        <w:t>to Japan’s central government. In 2023, MGM announced that the Japanese government officially certified the ADP</w:t>
      </w:r>
      <w:r w:rsidR="00C87D9E">
        <w:t>, and Osaka IR KK signed an agreement with Osaka to implement the ADP. Preliminary construction</w:t>
      </w:r>
      <w:r w:rsidR="004A3FD1">
        <w:t xml:space="preserve"> began on the site of the future resort in 2024</w:t>
      </w:r>
      <w:r w:rsidR="00634088">
        <w:t>.</w:t>
      </w:r>
    </w:p>
    <w:p w14:paraId="0D754411" w14:textId="31893621" w:rsidR="005F4062" w:rsidRPr="00455940" w:rsidRDefault="005F4062" w:rsidP="005F4062">
      <w:pPr>
        <w:pStyle w:val="Heading4"/>
        <w:ind w:firstLine="360"/>
      </w:pPr>
      <w:r>
        <w:t>MGM Growth Properties LLC (“MGP”)</w:t>
      </w:r>
    </w:p>
    <w:p w14:paraId="14846A08" w14:textId="3572B27D" w:rsidR="004A3FD1" w:rsidRDefault="005F4062" w:rsidP="005F4062">
      <w:pPr>
        <w:ind w:firstLine="720"/>
      </w:pPr>
      <w:r>
        <w:t>In 202</w:t>
      </w:r>
      <w:r w:rsidR="00E77274">
        <w:t>2</w:t>
      </w:r>
      <w:r>
        <w:t xml:space="preserve">, </w:t>
      </w:r>
      <w:r w:rsidR="00E77274">
        <w:t>VICI acquired MGP in a stock-for-stock transaction</w:t>
      </w:r>
      <w:r w:rsidR="00713159">
        <w:t xml:space="preserve"> (“VICI Transaction”).</w:t>
      </w:r>
      <w:r w:rsidR="00BA5255">
        <w:t xml:space="preserve"> </w:t>
      </w:r>
      <w:r w:rsidR="00D05952">
        <w:t xml:space="preserve">MGM no longer holds a controlling interest in MGP and deconsolidated MGP upon the closing </w:t>
      </w:r>
      <w:r w:rsidR="00584A5F">
        <w:t xml:space="preserve">of the transaction. In connection with the VICI Transaction, </w:t>
      </w:r>
      <w:r w:rsidR="00805A30">
        <w:t>MGM entered into an amended and restated master lease with VICI.</w:t>
      </w:r>
    </w:p>
    <w:p w14:paraId="00BDA045" w14:textId="6B914E04" w:rsidR="00805A30" w:rsidRPr="00455940" w:rsidRDefault="00805A30" w:rsidP="00805A30">
      <w:pPr>
        <w:pStyle w:val="Heading4"/>
        <w:ind w:firstLine="360"/>
      </w:pPr>
      <w:r>
        <w:t>The Cosmopolitan</w:t>
      </w:r>
    </w:p>
    <w:p w14:paraId="140C1B21" w14:textId="209DFC33" w:rsidR="00805A30" w:rsidRPr="00DB2A18" w:rsidRDefault="00805A30" w:rsidP="00805A30">
      <w:pPr>
        <w:ind w:firstLine="720"/>
      </w:pPr>
      <w:r>
        <w:t>In 2022, MGM acqu</w:t>
      </w:r>
      <w:r w:rsidR="0072160F">
        <w:t>ired the operations of The Cosmopolitan for cash consideration of $1.625 billion, plus working capital adjustments, for a total purchase price of approximately $1.7 billion.</w:t>
      </w:r>
    </w:p>
    <w:p w14:paraId="4D112B24" w14:textId="73C2AEC2" w:rsidR="005D7B94" w:rsidRPr="00455940" w:rsidRDefault="005D7B94" w:rsidP="005D7B94">
      <w:pPr>
        <w:pStyle w:val="Heading4"/>
        <w:ind w:firstLine="360"/>
      </w:pPr>
      <w:r>
        <w:lastRenderedPageBreak/>
        <w:t>New Gaming Law in Macau</w:t>
      </w:r>
    </w:p>
    <w:p w14:paraId="5D34F91F" w14:textId="6E9EDE85" w:rsidR="00D6413E" w:rsidRDefault="005D7B94" w:rsidP="005D7B94">
      <w:pPr>
        <w:ind w:firstLine="720"/>
      </w:pPr>
      <w:r w:rsidRPr="005D7B94">
        <w:t xml:space="preserve">In 2022, </w:t>
      </w:r>
      <w:r w:rsidR="00893FA3">
        <w:t>the Macau government enacted a new gaming law that provides for material changes to the legal form of gaming concessions in Macau, including discontinuing and prohibiting gaming subconcessions subsequent to their expiration</w:t>
      </w:r>
      <w:r w:rsidR="007C6789">
        <w:t xml:space="preserve">, and also includes material changes to the rights and obligations provided for under the new gaming concessions that were awarded in the public tender that concluded in December 2022, such as limiting the term of concessions to a maximum of 10 years. As a result, MGM </w:t>
      </w:r>
      <w:r w:rsidR="00A6112F">
        <w:t xml:space="preserve">reassessed the useful life of the MGM Grand Paradise gaming subconcession intangible asset and reduced the useful life to align with the contractual term of the subconcession, </w:t>
      </w:r>
      <w:r w:rsidR="003252B1">
        <w:t xml:space="preserve">which expired on December 31, 2022, thereby accelerating the recognition of amortization within its statements of operations. </w:t>
      </w:r>
    </w:p>
    <w:p w14:paraId="3FF8A1BC" w14:textId="31641D2A" w:rsidR="007547C8" w:rsidRPr="00455940" w:rsidRDefault="007547C8" w:rsidP="007547C8">
      <w:pPr>
        <w:pStyle w:val="Heading4"/>
        <w:ind w:firstLine="360"/>
      </w:pPr>
      <w:r>
        <w:t>LeoVegas</w:t>
      </w:r>
    </w:p>
    <w:p w14:paraId="331B78DE" w14:textId="0B1AB075" w:rsidR="007547C8" w:rsidRDefault="007547C8" w:rsidP="007547C8">
      <w:pPr>
        <w:ind w:firstLine="720"/>
      </w:pPr>
      <w:r w:rsidRPr="005D7B94">
        <w:t xml:space="preserve">In 2022, </w:t>
      </w:r>
      <w:r w:rsidR="00702691">
        <w:t xml:space="preserve">MGM acquired LeoVegas through a tender offer at a cash price of SEK 61 per </w:t>
      </w:r>
      <w:r w:rsidR="008F3DDB">
        <w:t>share</w:t>
      </w:r>
      <w:r w:rsidR="00702691">
        <w:t xml:space="preserve">, for a total fair value of equity interests acquired of approximately $556 million, inclusive of cash settlement of equity </w:t>
      </w:r>
      <w:r w:rsidR="008F3DDB">
        <w:t>awards.</w:t>
      </w:r>
    </w:p>
    <w:p w14:paraId="370D8B41" w14:textId="1F47E619" w:rsidR="00063C48" w:rsidRPr="00455940" w:rsidRDefault="00C2480E" w:rsidP="00063C48">
      <w:pPr>
        <w:pStyle w:val="Heading4"/>
        <w:ind w:firstLine="360"/>
      </w:pPr>
      <w:r>
        <w:t>The Mirage</w:t>
      </w:r>
    </w:p>
    <w:p w14:paraId="1E301E77" w14:textId="1EA1B5EB" w:rsidR="00063C48" w:rsidRDefault="00063C48" w:rsidP="00063C48">
      <w:pPr>
        <w:ind w:firstLine="720"/>
      </w:pPr>
      <w:r w:rsidRPr="005D7B94">
        <w:t xml:space="preserve">In 2022, </w:t>
      </w:r>
      <w:r>
        <w:t xml:space="preserve">MGM </w:t>
      </w:r>
      <w:r w:rsidR="00C2480E">
        <w:t>completed the sale of the operations of The Mirage to an affiliate of Seminole Hard Rock Entertainment, Inc. for cash consideration of $1</w:t>
      </w:r>
      <w:r w:rsidR="002262DD">
        <w:t>.1 billion, net of purchase price adjustments and transaction costs. At closing</w:t>
      </w:r>
      <w:r w:rsidR="00EE4F99">
        <w:t>, the master lease with VICI was amended to remove The Mirage and reflect a $90 million reduction in annual cash rent.</w:t>
      </w:r>
    </w:p>
    <w:p w14:paraId="3F4C5CFE" w14:textId="3F8F2457" w:rsidR="00EE4F99" w:rsidRPr="00455940" w:rsidRDefault="00EE4F99" w:rsidP="00EE4F99">
      <w:pPr>
        <w:pStyle w:val="Heading4"/>
        <w:ind w:firstLine="360"/>
      </w:pPr>
      <w:r>
        <w:t xml:space="preserve">Gold </w:t>
      </w:r>
      <w:r w:rsidR="000D0172">
        <w:t>Strike Tunica</w:t>
      </w:r>
    </w:p>
    <w:p w14:paraId="66F77B91" w14:textId="7AC57F55" w:rsidR="00EE4F99" w:rsidRDefault="00EE4F99" w:rsidP="00EE4F99">
      <w:pPr>
        <w:ind w:firstLine="720"/>
      </w:pPr>
      <w:r w:rsidRPr="005D7B94">
        <w:t>In 202</w:t>
      </w:r>
      <w:r w:rsidR="000D0172">
        <w:t>3</w:t>
      </w:r>
      <w:r w:rsidRPr="005D7B94">
        <w:t xml:space="preserve">, </w:t>
      </w:r>
      <w:r>
        <w:t>MGM completed</w:t>
      </w:r>
      <w:r w:rsidR="000D0172">
        <w:t xml:space="preserve"> the sale of the operations of Gold Strike Tunica to CNE Gaming Holdings, LLC, a subsidiary of Cherokee Nation Business, for cash consideration of $450 million, or </w:t>
      </w:r>
      <w:r w:rsidR="0088461D">
        <w:t xml:space="preserve">$474 million, net of purchase price adjustments and transaction costs. At closing, the master lease with VICI </w:t>
      </w:r>
      <w:r w:rsidR="007272FC">
        <w:t>was amended to remove Gold Strike Tunica and reflect a $40 million reduction in annual cash rent.</w:t>
      </w:r>
    </w:p>
    <w:p w14:paraId="01B28F41" w14:textId="5BB2922D" w:rsidR="007272FC" w:rsidRPr="00455940" w:rsidRDefault="007272FC" w:rsidP="007272FC">
      <w:pPr>
        <w:pStyle w:val="Heading4"/>
        <w:ind w:firstLine="360"/>
      </w:pPr>
      <w:r>
        <w:t>Push Gaming</w:t>
      </w:r>
    </w:p>
    <w:p w14:paraId="1ABA8CA6" w14:textId="67469927" w:rsidR="007272FC" w:rsidRPr="005D7B94" w:rsidRDefault="007272FC" w:rsidP="007272FC">
      <w:pPr>
        <w:ind w:firstLine="720"/>
      </w:pPr>
      <w:r w:rsidRPr="005D7B94">
        <w:t>In 202</w:t>
      </w:r>
      <w:r>
        <w:t>3</w:t>
      </w:r>
      <w:r w:rsidRPr="005D7B94">
        <w:t xml:space="preserve">, </w:t>
      </w:r>
      <w:r>
        <w:t>LeoVegas completed the acquisition of the majority ownership of Push Gaming, a digital gaming developer.</w:t>
      </w:r>
    </w:p>
    <w:p w14:paraId="425F2CDE" w14:textId="72450746" w:rsidR="002D7D25" w:rsidRDefault="00061085" w:rsidP="002D7D25">
      <w:pPr>
        <w:pStyle w:val="Heading3"/>
      </w:pPr>
      <w:r w:rsidRPr="00D6413E">
        <w:br w:type="page"/>
      </w:r>
      <w:bookmarkStart w:id="14" w:name="_Toc193219075"/>
      <w:r w:rsidR="002D7D25">
        <w:lastRenderedPageBreak/>
        <w:t>Properties</w:t>
      </w:r>
      <w:bookmarkEnd w:id="14"/>
    </w:p>
    <w:p w14:paraId="58001558" w14:textId="5DC8F410" w:rsidR="002D7D25" w:rsidRPr="002D7D25" w:rsidRDefault="009076E5" w:rsidP="000B1623">
      <w:pPr>
        <w:jc w:val="center"/>
      </w:pPr>
      <w:r w:rsidRPr="009076E5">
        <w:rPr>
          <w:noProof/>
        </w:rPr>
        <w:drawing>
          <wp:inline distT="0" distB="0" distL="0" distR="0" wp14:anchorId="58A2DA02" wp14:editId="5C5C58D6">
            <wp:extent cx="5738357" cy="6546147"/>
            <wp:effectExtent l="0" t="0" r="0" b="7620"/>
            <wp:docPr id="726778274"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78274" name="Picture 1" descr="A table with numbers and text&#10;&#10;AI-generated content may be incorrect."/>
                    <pic:cNvPicPr/>
                  </pic:nvPicPr>
                  <pic:blipFill>
                    <a:blip r:embed="rId10"/>
                    <a:stretch>
                      <a:fillRect/>
                    </a:stretch>
                  </pic:blipFill>
                  <pic:spPr>
                    <a:xfrm>
                      <a:off x="0" y="0"/>
                      <a:ext cx="5738357" cy="6546147"/>
                    </a:xfrm>
                    <a:prstGeom prst="rect">
                      <a:avLst/>
                    </a:prstGeom>
                  </pic:spPr>
                </pic:pic>
              </a:graphicData>
            </a:graphic>
          </wp:inline>
        </w:drawing>
      </w:r>
    </w:p>
    <w:p w14:paraId="5056C5B2" w14:textId="58491C36" w:rsidR="00061085" w:rsidRDefault="00061085">
      <w:pPr>
        <w:rPr>
          <w:rFonts w:asciiTheme="majorHAnsi" w:eastAsiaTheme="majorEastAsia" w:hAnsiTheme="majorHAnsi" w:cstheme="majorBidi"/>
          <w:color w:val="2F5496" w:themeColor="accent1" w:themeShade="BF"/>
          <w:sz w:val="32"/>
          <w:szCs w:val="32"/>
        </w:rPr>
      </w:pPr>
    </w:p>
    <w:p w14:paraId="5282F865" w14:textId="50A12008" w:rsidR="00EB7C42" w:rsidRDefault="00EB7C42" w:rsidP="00EB7C42">
      <w:pPr>
        <w:pStyle w:val="Heading1"/>
      </w:pPr>
      <w:bookmarkStart w:id="15" w:name="_Toc193219076"/>
      <w:r>
        <w:lastRenderedPageBreak/>
        <w:t>Horizontal Analysis</w:t>
      </w:r>
      <w:bookmarkEnd w:id="13"/>
      <w:bookmarkEnd w:id="15"/>
    </w:p>
    <w:p w14:paraId="163B511B" w14:textId="77777777" w:rsidR="0031414E" w:rsidRDefault="0031414E" w:rsidP="0031414E">
      <w:pPr>
        <w:pStyle w:val="Heading3"/>
      </w:pPr>
      <w:bookmarkStart w:id="16" w:name="_Toc193219077"/>
      <w:r>
        <w:t>KPIs</w:t>
      </w:r>
      <w:bookmarkEnd w:id="16"/>
    </w:p>
    <w:p w14:paraId="690A7FEF" w14:textId="26CEA7C4" w:rsidR="0045744F" w:rsidRDefault="0045744F" w:rsidP="0045744F">
      <w:pPr>
        <w:pStyle w:val="Heading4"/>
        <w:ind w:left="360"/>
      </w:pPr>
      <w:r>
        <w:t>Net Revenues by Segment</w:t>
      </w:r>
    </w:p>
    <w:p w14:paraId="5BBE6156" w14:textId="112D95AB" w:rsidR="0045744F" w:rsidRDefault="00CF5507" w:rsidP="0045744F">
      <w:r w:rsidRPr="00CF5507">
        <w:rPr>
          <w:noProof/>
        </w:rPr>
        <w:drawing>
          <wp:inline distT="0" distB="0" distL="0" distR="0" wp14:anchorId="245B5B9C" wp14:editId="297BE5DA">
            <wp:extent cx="6400800" cy="2682875"/>
            <wp:effectExtent l="0" t="0" r="0" b="3175"/>
            <wp:docPr id="16825939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682875"/>
                    </a:xfrm>
                    <a:prstGeom prst="rect">
                      <a:avLst/>
                    </a:prstGeom>
                    <a:noFill/>
                    <a:ln>
                      <a:noFill/>
                    </a:ln>
                  </pic:spPr>
                </pic:pic>
              </a:graphicData>
            </a:graphic>
          </wp:inline>
        </w:drawing>
      </w:r>
    </w:p>
    <w:p w14:paraId="502E2B5F" w14:textId="77777777" w:rsidR="002E6040" w:rsidRPr="0045744F" w:rsidRDefault="002E6040" w:rsidP="0045744F"/>
    <w:p w14:paraId="64D52283" w14:textId="77777777" w:rsidR="003D561A" w:rsidRDefault="00C53DFD" w:rsidP="0031414E">
      <w:pPr>
        <w:pStyle w:val="Heading4"/>
        <w:ind w:left="360"/>
      </w:pPr>
      <w:r>
        <w:t>Gaming Revenue Indicators</w:t>
      </w:r>
    </w:p>
    <w:p w14:paraId="16B8274A" w14:textId="6227254D" w:rsidR="0031414E" w:rsidRDefault="0031414E" w:rsidP="00581252">
      <w:pPr>
        <w:ind w:firstLine="720"/>
      </w:pPr>
      <w:r w:rsidRPr="00581252">
        <w:rPr>
          <w:b/>
          <w:bCs/>
        </w:rPr>
        <w:t xml:space="preserve">Table </w:t>
      </w:r>
      <w:r w:rsidR="003D561A" w:rsidRPr="00581252">
        <w:rPr>
          <w:b/>
          <w:bCs/>
        </w:rPr>
        <w:t>g</w:t>
      </w:r>
      <w:r w:rsidRPr="00581252">
        <w:rPr>
          <w:b/>
          <w:bCs/>
        </w:rPr>
        <w:t xml:space="preserve">ames </w:t>
      </w:r>
      <w:r w:rsidR="003D561A" w:rsidRPr="00581252">
        <w:rPr>
          <w:b/>
          <w:bCs/>
        </w:rPr>
        <w:t>d</w:t>
      </w:r>
      <w:r w:rsidRPr="00581252">
        <w:rPr>
          <w:b/>
          <w:bCs/>
        </w:rPr>
        <w:t>rop</w:t>
      </w:r>
      <w:r w:rsidR="003D561A">
        <w:t>, which is t</w:t>
      </w:r>
      <w:r w:rsidRPr="00700C49">
        <w:t>he to</w:t>
      </w:r>
      <w:r>
        <w:t>tal amount of cash and net markers issued and deposited into the drop box</w:t>
      </w:r>
      <w:r w:rsidR="003D561A">
        <w:t xml:space="preserve">, </w:t>
      </w:r>
      <w:r w:rsidR="003D561A" w:rsidRPr="00581252">
        <w:rPr>
          <w:b/>
          <w:bCs/>
        </w:rPr>
        <w:t>slot handle</w:t>
      </w:r>
      <w:r w:rsidR="003D561A">
        <w:t xml:space="preserve"> (volume indicator), which is t</w:t>
      </w:r>
      <w:r>
        <w:t>he gross amount wagered in slot machine</w:t>
      </w:r>
      <w:r w:rsidR="003D561A">
        <w:t>, and</w:t>
      </w:r>
      <w:r w:rsidR="001C7FF2">
        <w:t xml:space="preserve"> </w:t>
      </w:r>
      <w:r w:rsidR="001C7FF2" w:rsidRPr="001C7FF2">
        <w:rPr>
          <w:b/>
          <w:bCs/>
        </w:rPr>
        <w:t>win/</w:t>
      </w:r>
      <w:r w:rsidR="003D561A" w:rsidRPr="00581252">
        <w:rPr>
          <w:b/>
          <w:bCs/>
        </w:rPr>
        <w:t>hold</w:t>
      </w:r>
      <w:r w:rsidR="00581252">
        <w:t>, which is t</w:t>
      </w:r>
      <w:r>
        <w:t>he net amount of gaming wins and losses in relation to table games drop or slot handle, which is not fully controllable by MGM.</w:t>
      </w:r>
    </w:p>
    <w:p w14:paraId="64A83BB9" w14:textId="75013D5A" w:rsidR="00C17CAA" w:rsidRDefault="00A94D60" w:rsidP="00C17CAA">
      <w:r w:rsidRPr="00A94D60">
        <w:rPr>
          <w:noProof/>
        </w:rPr>
        <w:drawing>
          <wp:inline distT="0" distB="0" distL="0" distR="0" wp14:anchorId="529BB188" wp14:editId="2981D626">
            <wp:extent cx="6400800" cy="2498090"/>
            <wp:effectExtent l="0" t="0" r="0" b="0"/>
            <wp:docPr id="6726382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498090"/>
                    </a:xfrm>
                    <a:prstGeom prst="rect">
                      <a:avLst/>
                    </a:prstGeom>
                    <a:noFill/>
                    <a:ln>
                      <a:noFill/>
                    </a:ln>
                  </pic:spPr>
                </pic:pic>
              </a:graphicData>
            </a:graphic>
          </wp:inline>
        </w:drawing>
      </w:r>
    </w:p>
    <w:p w14:paraId="5A530613" w14:textId="77777777" w:rsidR="002E6040" w:rsidRDefault="002E6040" w:rsidP="00C17CAA"/>
    <w:p w14:paraId="7EF669E4" w14:textId="3B8BFF77" w:rsidR="00801EDF" w:rsidRDefault="00581252" w:rsidP="0031414E">
      <w:pPr>
        <w:pStyle w:val="Heading4"/>
        <w:ind w:left="360"/>
      </w:pPr>
      <w:r>
        <w:t>Hotel Revenue Indicators</w:t>
      </w:r>
      <w:r w:rsidR="000F6F20">
        <w:t xml:space="preserve"> — Las Vegas Strip Resorts</w:t>
      </w:r>
    </w:p>
    <w:p w14:paraId="31978131" w14:textId="0EE125D8" w:rsidR="0031414E" w:rsidRDefault="0031414E" w:rsidP="00B86DED">
      <w:pPr>
        <w:ind w:firstLine="360"/>
      </w:pPr>
      <w:r w:rsidRPr="00B86DED">
        <w:rPr>
          <w:b/>
          <w:bCs/>
        </w:rPr>
        <w:t xml:space="preserve">Hotel </w:t>
      </w:r>
      <w:r w:rsidR="00801EDF" w:rsidRPr="00B86DED">
        <w:rPr>
          <w:b/>
          <w:bCs/>
        </w:rPr>
        <w:t>o</w:t>
      </w:r>
      <w:r w:rsidRPr="00B86DED">
        <w:rPr>
          <w:b/>
          <w:bCs/>
        </w:rPr>
        <w:t>ccupancy</w:t>
      </w:r>
      <w:r>
        <w:t xml:space="preserve"> (</w:t>
      </w:r>
      <w:r w:rsidR="00801EDF">
        <w:t>v</w:t>
      </w:r>
      <w:r>
        <w:t xml:space="preserve">olume </w:t>
      </w:r>
      <w:r w:rsidR="00801EDF">
        <w:t>i</w:t>
      </w:r>
      <w:r>
        <w:t>ndicator</w:t>
      </w:r>
      <w:r w:rsidR="00801EDF">
        <w:t xml:space="preserve">), </w:t>
      </w:r>
      <w:r w:rsidR="00801EDF" w:rsidRPr="00B86DED">
        <w:rPr>
          <w:b/>
          <w:bCs/>
        </w:rPr>
        <w:t>a</w:t>
      </w:r>
      <w:r w:rsidRPr="00B86DED">
        <w:rPr>
          <w:b/>
          <w:bCs/>
        </w:rPr>
        <w:t xml:space="preserve">verage </w:t>
      </w:r>
      <w:r w:rsidR="00801EDF" w:rsidRPr="00B86DED">
        <w:rPr>
          <w:b/>
          <w:bCs/>
        </w:rPr>
        <w:t>d</w:t>
      </w:r>
      <w:r w:rsidRPr="00B86DED">
        <w:rPr>
          <w:b/>
          <w:bCs/>
        </w:rPr>
        <w:t xml:space="preserve">aily </w:t>
      </w:r>
      <w:r w:rsidR="00801EDF" w:rsidRPr="00B86DED">
        <w:rPr>
          <w:b/>
          <w:bCs/>
        </w:rPr>
        <w:t>r</w:t>
      </w:r>
      <w:r w:rsidRPr="00B86DED">
        <w:rPr>
          <w:b/>
          <w:bCs/>
        </w:rPr>
        <w:t>ate</w:t>
      </w:r>
      <w:r w:rsidR="00801EDF">
        <w:t xml:space="preserve">, or </w:t>
      </w:r>
      <w:r w:rsidR="00801EDF" w:rsidRPr="00B86DED">
        <w:rPr>
          <w:b/>
          <w:bCs/>
        </w:rPr>
        <w:t>ADR</w:t>
      </w:r>
      <w:r>
        <w:t xml:space="preserve"> (</w:t>
      </w:r>
      <w:r w:rsidR="00801EDF">
        <w:t>p</w:t>
      </w:r>
      <w:r>
        <w:t xml:space="preserve">rice </w:t>
      </w:r>
      <w:r w:rsidR="00801EDF">
        <w:t>i</w:t>
      </w:r>
      <w:r>
        <w:t>ndicator)</w:t>
      </w:r>
      <w:r w:rsidR="00801EDF">
        <w:t>, which is t</w:t>
      </w:r>
      <w:r>
        <w:t>he average price a hotel guest pays for a room in a day</w:t>
      </w:r>
      <w:r w:rsidR="00B86DED">
        <w:t xml:space="preserve">, and </w:t>
      </w:r>
      <w:r w:rsidR="00B86DED" w:rsidRPr="00B86DED">
        <w:rPr>
          <w:b/>
          <w:bCs/>
        </w:rPr>
        <w:t>r</w:t>
      </w:r>
      <w:r w:rsidRPr="00B86DED">
        <w:rPr>
          <w:b/>
          <w:bCs/>
        </w:rPr>
        <w:t xml:space="preserve">evenue per </w:t>
      </w:r>
      <w:r w:rsidR="00B86DED" w:rsidRPr="00B86DED">
        <w:rPr>
          <w:b/>
          <w:bCs/>
        </w:rPr>
        <w:t>a</w:t>
      </w:r>
      <w:r w:rsidRPr="00B86DED">
        <w:rPr>
          <w:b/>
          <w:bCs/>
        </w:rPr>
        <w:t>vailable</w:t>
      </w:r>
      <w:r w:rsidR="00B86DED" w:rsidRPr="00B86DED">
        <w:rPr>
          <w:b/>
          <w:bCs/>
        </w:rPr>
        <w:t xml:space="preserve"> r</w:t>
      </w:r>
      <w:r w:rsidRPr="00B86DED">
        <w:rPr>
          <w:b/>
          <w:bCs/>
        </w:rPr>
        <w:t>oom</w:t>
      </w:r>
      <w:r w:rsidR="00B86DED">
        <w:t xml:space="preserve">, or </w:t>
      </w:r>
      <w:r w:rsidR="00B86DED" w:rsidRPr="00B86DED">
        <w:rPr>
          <w:b/>
          <w:bCs/>
        </w:rPr>
        <w:t>RevPAR</w:t>
      </w:r>
      <w:r>
        <w:t xml:space="preserve"> (</w:t>
      </w:r>
      <w:r w:rsidR="00B86DED">
        <w:t>s</w:t>
      </w:r>
      <w:r>
        <w:t xml:space="preserve">ummary </w:t>
      </w:r>
      <w:r w:rsidR="00B86DED">
        <w:t>m</w:t>
      </w:r>
      <w:r>
        <w:t>easure)</w:t>
      </w:r>
      <w:r w:rsidR="00B86DED">
        <w:t>, which represents h</w:t>
      </w:r>
      <w:r>
        <w:t>ow much money a hotel makes for each room available,</w:t>
      </w:r>
      <w:r w:rsidR="00B86DED">
        <w:t xml:space="preserve"> </w:t>
      </w:r>
      <w:r>
        <w:t>whether it’s booked or not.</w:t>
      </w:r>
      <w:r>
        <w:tab/>
      </w:r>
    </w:p>
    <w:p w14:paraId="77B54A5C" w14:textId="592F0F31" w:rsidR="002E6040" w:rsidRPr="000C2FF5" w:rsidRDefault="007C73ED" w:rsidP="00C17CAA">
      <w:r w:rsidRPr="007C73ED">
        <w:rPr>
          <w:noProof/>
        </w:rPr>
        <w:drawing>
          <wp:inline distT="0" distB="0" distL="0" distR="0" wp14:anchorId="338CD2D8" wp14:editId="4FDEDF36">
            <wp:extent cx="6400800" cy="546735"/>
            <wp:effectExtent l="0" t="0" r="0" b="5715"/>
            <wp:docPr id="13725092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546735"/>
                    </a:xfrm>
                    <a:prstGeom prst="rect">
                      <a:avLst/>
                    </a:prstGeom>
                    <a:noFill/>
                    <a:ln>
                      <a:noFill/>
                    </a:ln>
                  </pic:spPr>
                </pic:pic>
              </a:graphicData>
            </a:graphic>
          </wp:inline>
        </w:drawing>
      </w:r>
    </w:p>
    <w:p w14:paraId="1C43F04C" w14:textId="77777777" w:rsidR="0031414E" w:rsidRPr="002127CE" w:rsidRDefault="0031414E" w:rsidP="0031414E">
      <w:pPr>
        <w:pStyle w:val="Heading4"/>
        <w:ind w:left="360"/>
      </w:pPr>
      <w:r>
        <w:lastRenderedPageBreak/>
        <w:t>Segment Adjusted EBITDAR</w:t>
      </w:r>
    </w:p>
    <w:p w14:paraId="75664FA0" w14:textId="77777777" w:rsidR="0031414E" w:rsidRDefault="0031414E" w:rsidP="0031414E">
      <w:pPr>
        <w:ind w:firstLine="720"/>
      </w:pPr>
      <w:r>
        <w:t xml:space="preserve">MGM’s reportable segment GAAP measure, which the company utilizes as the primary profit measure for its reportable segments and underlying operating segments. </w:t>
      </w:r>
      <w:r w:rsidRPr="00204C86">
        <w:t>Segment Adjusted EBITDAR is a measure defined as earnings before interest and other non-operating income (expense), income taxes, depreciation and amortization, preopening and start-up expenses, property transactions, net, triple net lease rent expense, loss from unconsolidated affiliates, and also excludes gain on REIT transactions, net as well as corporate expense and stock compensation expense, which are not allocated to each operating segment, and rent expense related to the master lease with MGP that eliminated in consolidation. Triple net lease rent expense is the expense for rent to landlords under triple net operating leases for its domestic properties, the ground subleases of Beau Rivage and National Harbor, and the land concessions at MGM China.</w:t>
      </w:r>
    </w:p>
    <w:p w14:paraId="710999EB" w14:textId="77777777" w:rsidR="0031414E" w:rsidRPr="002127CE" w:rsidRDefault="0031414E" w:rsidP="0031414E">
      <w:pPr>
        <w:pStyle w:val="Heading4"/>
        <w:ind w:left="360"/>
      </w:pPr>
      <w:r>
        <w:t>Consolidated Adjusted EBITDA</w:t>
      </w:r>
    </w:p>
    <w:p w14:paraId="1862C2B0" w14:textId="77777777" w:rsidR="0031414E" w:rsidRDefault="0031414E" w:rsidP="0031414E">
      <w:pPr>
        <w:ind w:firstLine="720"/>
      </w:pPr>
      <w:r w:rsidRPr="00CD2FB3">
        <w:t>“Consolidated Adjusted EBITDA” is earnings before interest and other non-operating income (expense), income taxes, depreciation and amortization, preopening and start-up expenses, property transactions, net, and gain on REIT transactions, net.</w:t>
      </w:r>
    </w:p>
    <w:p w14:paraId="1FD38639" w14:textId="77777777" w:rsidR="0031414E" w:rsidRDefault="0031414E" w:rsidP="0031414E">
      <w:pPr>
        <w:ind w:firstLine="720"/>
      </w:pPr>
      <w:r w:rsidRPr="002C0F67">
        <w:t xml:space="preserve">Consolidated Adjusted EBITDA information is a non-GAAP measure that is presented solely as a supplemental disclosure to reported GAAP measures because it is among the measures used by management to evaluate our operating performance, and because we believe this measure is widely used by analysts, lenders, financial institutions, and investors as a measure of operating performance in the gaming industry and as a principal basis for the valuation of gaming companies. </w:t>
      </w:r>
      <w:r>
        <w:t>MGM</w:t>
      </w:r>
      <w:r w:rsidRPr="002C0F67">
        <w:t xml:space="preserve"> believe</w:t>
      </w:r>
      <w:r>
        <w:t>s</w:t>
      </w:r>
      <w:r w:rsidRPr="002C0F67">
        <w:t xml:space="preserve"> that while items excluded from Consolidated Adjusted EBITDA may be recurring in nature and should not be disregarded in evaluation of </w:t>
      </w:r>
      <w:r>
        <w:t>its</w:t>
      </w:r>
      <w:r w:rsidRPr="002C0F67">
        <w:t xml:space="preserve"> earnings performance, it is useful to exclude such items when analyzing current results and trends compared to other periods because these items can vary significantly depending on specific underlying transactions or events that may not be comparable between the periods being presented. Also, </w:t>
      </w:r>
      <w:r>
        <w:t>MGM</w:t>
      </w:r>
      <w:r w:rsidRPr="002C0F67">
        <w:t xml:space="preserve"> believe</w:t>
      </w:r>
      <w:r>
        <w:t>s</w:t>
      </w:r>
      <w:r w:rsidRPr="002C0F67">
        <w:t xml:space="preserve"> excluded items may not relate specifically to current operating trends or be indicative of future results</w:t>
      </w:r>
      <w:r>
        <w:t>.</w:t>
      </w:r>
    </w:p>
    <w:p w14:paraId="39809E07" w14:textId="10D0F999" w:rsidR="0031414E" w:rsidRDefault="0031414E" w:rsidP="00AF0DE9">
      <w:pPr>
        <w:ind w:firstLine="720"/>
      </w:pPr>
      <w:r w:rsidRPr="00AC635B">
        <w:t xml:space="preserve">However, Consolidated Adjusted EBITDA has limitations as an analytical tool, and should not be construed as an alternative or substitute to any measure determined in accordance with generally accepted accounting principles. For example, </w:t>
      </w:r>
      <w:r>
        <w:t>MGM</w:t>
      </w:r>
      <w:r w:rsidRPr="00AC635B">
        <w:t xml:space="preserve"> ha</w:t>
      </w:r>
      <w:r>
        <w:t>s</w:t>
      </w:r>
      <w:r w:rsidRPr="00AC635B">
        <w:t xml:space="preserve"> significant uses of cash flows, including capital expenditures, interest payments, income taxes, and debt principal repayments, which are not reflected in Consolidated Adjusted EBITDA. Accordingly, while </w:t>
      </w:r>
      <w:r>
        <w:t>the company</w:t>
      </w:r>
      <w:r w:rsidRPr="00AC635B">
        <w:t xml:space="preserve"> believe</w:t>
      </w:r>
      <w:r>
        <w:t>s</w:t>
      </w:r>
      <w:r w:rsidRPr="00AC635B">
        <w:t xml:space="preserve"> that Consolidated Adjusted EBITDA is a relevant measure of performance, Consolidated Adjusted EBITDA should not be construed as an alternative to or substitute for operating income or net income as an indicator of our performance, or as an alternative or substitute for cash flows from operating activities as a measure of liquidity. In addition, other companies in the gaming and hospitality industries that report Consolidated Adjusted EBITDA may calculate Consolidated Adjusted EBITDA in a different manner and such differences may be material.</w:t>
      </w:r>
    </w:p>
    <w:p w14:paraId="1F8EBAE5" w14:textId="5E7B803C" w:rsidR="00A163EE" w:rsidRPr="0031414E" w:rsidRDefault="007C73ED" w:rsidP="0031414E">
      <w:r w:rsidRPr="007C73ED">
        <w:rPr>
          <w:noProof/>
        </w:rPr>
        <w:drawing>
          <wp:inline distT="0" distB="0" distL="0" distR="0" wp14:anchorId="3D6CF742" wp14:editId="30BD0527">
            <wp:extent cx="6400800" cy="1242060"/>
            <wp:effectExtent l="0" t="0" r="0" b="0"/>
            <wp:docPr id="18099066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1242060"/>
                    </a:xfrm>
                    <a:prstGeom prst="rect">
                      <a:avLst/>
                    </a:prstGeom>
                    <a:noFill/>
                    <a:ln>
                      <a:noFill/>
                    </a:ln>
                  </pic:spPr>
                </pic:pic>
              </a:graphicData>
            </a:graphic>
          </wp:inline>
        </w:drawing>
      </w:r>
    </w:p>
    <w:p w14:paraId="05800E8A" w14:textId="77777777" w:rsidR="00EB7C42" w:rsidRDefault="00EB7C42" w:rsidP="00EB7C42">
      <w:pPr>
        <w:pStyle w:val="Heading3"/>
      </w:pPr>
      <w:bookmarkStart w:id="17" w:name="_Toc189136881"/>
      <w:bookmarkStart w:id="18" w:name="_Toc193219078"/>
      <w:r>
        <w:lastRenderedPageBreak/>
        <w:t>Balance Sheet Chart</w:t>
      </w:r>
      <w:bookmarkEnd w:id="17"/>
      <w:bookmarkEnd w:id="18"/>
    </w:p>
    <w:p w14:paraId="1CBA816D" w14:textId="04BE5A0E" w:rsidR="00EB7C42" w:rsidRDefault="004C2140" w:rsidP="00EB7C42">
      <w:pPr>
        <w:jc w:val="center"/>
      </w:pPr>
      <w:r w:rsidRPr="004C2140">
        <w:rPr>
          <w:noProof/>
        </w:rPr>
        <w:drawing>
          <wp:inline distT="0" distB="0" distL="0" distR="0" wp14:anchorId="2336BA56" wp14:editId="22419AA3">
            <wp:extent cx="6400800" cy="3552825"/>
            <wp:effectExtent l="0" t="0" r="0" b="9525"/>
            <wp:docPr id="105540737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07376" name="Picture 1" descr="A screenshot of a graph&#10;&#10;AI-generated content may be incorrect."/>
                    <pic:cNvPicPr/>
                  </pic:nvPicPr>
                  <pic:blipFill>
                    <a:blip r:embed="rId15"/>
                    <a:stretch>
                      <a:fillRect/>
                    </a:stretch>
                  </pic:blipFill>
                  <pic:spPr>
                    <a:xfrm>
                      <a:off x="0" y="0"/>
                      <a:ext cx="6400800" cy="3552825"/>
                    </a:xfrm>
                    <a:prstGeom prst="rect">
                      <a:avLst/>
                    </a:prstGeom>
                  </pic:spPr>
                </pic:pic>
              </a:graphicData>
            </a:graphic>
          </wp:inline>
        </w:drawing>
      </w:r>
      <w:r w:rsidR="00DD3234" w:rsidRPr="00DD3234">
        <w:rPr>
          <w:noProof/>
        </w:rPr>
        <w:t xml:space="preserve"> </w:t>
      </w:r>
    </w:p>
    <w:p w14:paraId="3A03FC67" w14:textId="77777777" w:rsidR="00EB7C42" w:rsidRDefault="00EB7C42" w:rsidP="00EB7C42">
      <w:pPr>
        <w:jc w:val="center"/>
      </w:pPr>
    </w:p>
    <w:p w14:paraId="45F6D209" w14:textId="77777777" w:rsidR="00EB7C42" w:rsidRDefault="00EB7C42" w:rsidP="00EB7C42">
      <w:pPr>
        <w:pStyle w:val="Heading3"/>
      </w:pPr>
      <w:bookmarkStart w:id="19" w:name="_Toc189136882"/>
      <w:bookmarkStart w:id="20" w:name="_Toc193219079"/>
      <w:r>
        <w:t>P/L Chart</w:t>
      </w:r>
      <w:bookmarkEnd w:id="19"/>
      <w:bookmarkEnd w:id="20"/>
    </w:p>
    <w:p w14:paraId="28E47C36" w14:textId="7BE2159B" w:rsidR="00EB7C42" w:rsidRDefault="00390BE0" w:rsidP="00EB7C42">
      <w:pPr>
        <w:jc w:val="center"/>
      </w:pPr>
      <w:r w:rsidRPr="00390BE0">
        <w:rPr>
          <w:noProof/>
        </w:rPr>
        <w:drawing>
          <wp:inline distT="0" distB="0" distL="0" distR="0" wp14:anchorId="2B77052E" wp14:editId="7CE7910F">
            <wp:extent cx="6400800" cy="3550920"/>
            <wp:effectExtent l="0" t="0" r="0" b="0"/>
            <wp:docPr id="1053126602"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26602" name="Picture 1" descr="A graph of different colored squares&#10;&#10;AI-generated content may be incorrect."/>
                    <pic:cNvPicPr/>
                  </pic:nvPicPr>
                  <pic:blipFill>
                    <a:blip r:embed="rId16"/>
                    <a:stretch>
                      <a:fillRect/>
                    </a:stretch>
                  </pic:blipFill>
                  <pic:spPr>
                    <a:xfrm>
                      <a:off x="0" y="0"/>
                      <a:ext cx="6400800" cy="3550920"/>
                    </a:xfrm>
                    <a:prstGeom prst="rect">
                      <a:avLst/>
                    </a:prstGeom>
                  </pic:spPr>
                </pic:pic>
              </a:graphicData>
            </a:graphic>
          </wp:inline>
        </w:drawing>
      </w:r>
      <w:r w:rsidR="00494C49" w:rsidRPr="00494C49">
        <w:rPr>
          <w:noProof/>
        </w:rPr>
        <w:t xml:space="preserve"> </w:t>
      </w:r>
    </w:p>
    <w:p w14:paraId="607DEE65" w14:textId="77777777" w:rsidR="00EB7C42" w:rsidRPr="0082520D" w:rsidRDefault="00EB7C42" w:rsidP="00EB7C42">
      <w:pPr>
        <w:pStyle w:val="Heading3"/>
      </w:pPr>
      <w:bookmarkStart w:id="21" w:name="_Toc189136883"/>
      <w:bookmarkStart w:id="22" w:name="_Toc193219080"/>
      <w:r>
        <w:lastRenderedPageBreak/>
        <w:t>Cash Flow Chart (left to right)</w:t>
      </w:r>
      <w:bookmarkEnd w:id="21"/>
      <w:bookmarkEnd w:id="22"/>
    </w:p>
    <w:p w14:paraId="6AE1CAB6" w14:textId="6E3F2FA9" w:rsidR="00EB7C42" w:rsidRDefault="00EC5ED9" w:rsidP="00F94A6B">
      <w:pPr>
        <w:jc w:val="center"/>
      </w:pPr>
      <w:r w:rsidRPr="00EC5ED9">
        <w:rPr>
          <w:noProof/>
        </w:rPr>
        <w:drawing>
          <wp:inline distT="0" distB="0" distL="0" distR="0" wp14:anchorId="20432D68" wp14:editId="6C458A2A">
            <wp:extent cx="6400800" cy="3568700"/>
            <wp:effectExtent l="0" t="0" r="0" b="0"/>
            <wp:docPr id="46266685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66857" name="Picture 1" descr="A screenshot of a graph&#10;&#10;AI-generated content may be incorrect."/>
                    <pic:cNvPicPr/>
                  </pic:nvPicPr>
                  <pic:blipFill>
                    <a:blip r:embed="rId17"/>
                    <a:stretch>
                      <a:fillRect/>
                    </a:stretch>
                  </pic:blipFill>
                  <pic:spPr>
                    <a:xfrm>
                      <a:off x="0" y="0"/>
                      <a:ext cx="6400800" cy="3568700"/>
                    </a:xfrm>
                    <a:prstGeom prst="rect">
                      <a:avLst/>
                    </a:prstGeom>
                  </pic:spPr>
                </pic:pic>
              </a:graphicData>
            </a:graphic>
          </wp:inline>
        </w:drawing>
      </w:r>
    </w:p>
    <w:p w14:paraId="732A9E20" w14:textId="77777777" w:rsidR="00EB7C42" w:rsidRPr="00210607" w:rsidRDefault="00EB7C42" w:rsidP="00EB7C42">
      <w:pPr>
        <w:pStyle w:val="Heading3"/>
      </w:pPr>
      <w:bookmarkStart w:id="23" w:name="_Toc189136884"/>
      <w:bookmarkStart w:id="24" w:name="_Toc193219081"/>
      <w:r w:rsidRPr="00210607">
        <w:t>Historical Financial Ratios</w:t>
      </w:r>
      <w:bookmarkEnd w:id="23"/>
      <w:bookmarkEnd w:id="24"/>
    </w:p>
    <w:p w14:paraId="45013520" w14:textId="319BA050" w:rsidR="00EB7C42" w:rsidRDefault="00F94A6B" w:rsidP="007754CC">
      <w:pPr>
        <w:jc w:val="center"/>
      </w:pPr>
      <w:r w:rsidRPr="00F94A6B">
        <w:rPr>
          <w:noProof/>
        </w:rPr>
        <w:drawing>
          <wp:inline distT="0" distB="0" distL="0" distR="0" wp14:anchorId="35712FC6" wp14:editId="0EF6CE79">
            <wp:extent cx="6240780" cy="5048346"/>
            <wp:effectExtent l="0" t="0" r="7620" b="0"/>
            <wp:docPr id="31408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4707" cy="5051523"/>
                    </a:xfrm>
                    <a:prstGeom prst="rect">
                      <a:avLst/>
                    </a:prstGeom>
                    <a:noFill/>
                    <a:ln>
                      <a:noFill/>
                    </a:ln>
                  </pic:spPr>
                </pic:pic>
              </a:graphicData>
            </a:graphic>
          </wp:inline>
        </w:drawing>
      </w:r>
      <w:r w:rsidR="003C462C" w:rsidRPr="003C462C">
        <w:t xml:space="preserve"> </w:t>
      </w:r>
    </w:p>
    <w:p w14:paraId="5A5FDE12" w14:textId="77777777" w:rsidR="00EB7C42" w:rsidRDefault="00EB7C42" w:rsidP="00EB7C42">
      <w:pPr>
        <w:pStyle w:val="Heading3"/>
      </w:pPr>
      <w:bookmarkStart w:id="25" w:name="_Toc189136885"/>
      <w:bookmarkStart w:id="26" w:name="_Toc193219082"/>
      <w:r>
        <w:lastRenderedPageBreak/>
        <w:t>Long-Term Debt (Most Recent Years)</w:t>
      </w:r>
      <w:bookmarkEnd w:id="25"/>
      <w:bookmarkEnd w:id="26"/>
    </w:p>
    <w:p w14:paraId="1F41078E" w14:textId="7E9C84D2" w:rsidR="00EB7C42" w:rsidRPr="00ED7B86" w:rsidRDefault="00B77782" w:rsidP="00820C18">
      <w:pPr>
        <w:jc w:val="center"/>
        <w:rPr>
          <w:sz w:val="16"/>
          <w:szCs w:val="16"/>
        </w:rPr>
      </w:pPr>
      <w:r w:rsidRPr="00B77782">
        <w:rPr>
          <w:noProof/>
          <w:sz w:val="16"/>
          <w:szCs w:val="16"/>
        </w:rPr>
        <w:drawing>
          <wp:inline distT="0" distB="0" distL="0" distR="0" wp14:anchorId="55A06AB1" wp14:editId="6B3B7F44">
            <wp:extent cx="6400800" cy="3868420"/>
            <wp:effectExtent l="0" t="0" r="0" b="0"/>
            <wp:docPr id="1183190977"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90977" name="Picture 1" descr="A screenshot of a document&#10;&#10;AI-generated content may be incorrect."/>
                    <pic:cNvPicPr/>
                  </pic:nvPicPr>
                  <pic:blipFill>
                    <a:blip r:embed="rId19"/>
                    <a:stretch>
                      <a:fillRect/>
                    </a:stretch>
                  </pic:blipFill>
                  <pic:spPr>
                    <a:xfrm>
                      <a:off x="0" y="0"/>
                      <a:ext cx="6400800" cy="3868420"/>
                    </a:xfrm>
                    <a:prstGeom prst="rect">
                      <a:avLst/>
                    </a:prstGeom>
                  </pic:spPr>
                </pic:pic>
              </a:graphicData>
            </a:graphic>
          </wp:inline>
        </w:drawing>
      </w:r>
    </w:p>
    <w:p w14:paraId="1CCB9D38" w14:textId="77777777" w:rsidR="00EB7C42" w:rsidRDefault="00EB7C42" w:rsidP="00EB7C42">
      <w:pPr>
        <w:jc w:val="center"/>
      </w:pPr>
    </w:p>
    <w:p w14:paraId="4A5B1D86" w14:textId="77777777" w:rsidR="00EB7C42" w:rsidRDefault="00EB7C42" w:rsidP="00EB7C42">
      <w:pPr>
        <w:pStyle w:val="Heading3"/>
        <w:rPr>
          <w:noProof/>
        </w:rPr>
      </w:pPr>
      <w:bookmarkStart w:id="27" w:name="_Toc189136886"/>
      <w:bookmarkStart w:id="28" w:name="_Toc193219083"/>
      <w:r>
        <w:t>Maturities of Long-Term Debt / Estimated Debt Service Requirements</w:t>
      </w:r>
      <w:bookmarkEnd w:id="27"/>
      <w:bookmarkEnd w:id="28"/>
    </w:p>
    <w:p w14:paraId="5033120B" w14:textId="2EF750E8" w:rsidR="0058716D" w:rsidRDefault="00BA7CA3" w:rsidP="003C04D2">
      <w:pPr>
        <w:rPr>
          <w:noProof/>
        </w:rPr>
      </w:pPr>
      <w:r w:rsidRPr="00BA7CA3">
        <w:rPr>
          <w:noProof/>
        </w:rPr>
        <w:drawing>
          <wp:inline distT="0" distB="0" distL="0" distR="0" wp14:anchorId="7304D7BA" wp14:editId="4689019E">
            <wp:extent cx="6400800" cy="1570355"/>
            <wp:effectExtent l="0" t="0" r="0" b="0"/>
            <wp:docPr id="1088426459" name="Picture 1" descr="A blue and white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26459" name="Picture 1" descr="A blue and white striped background&#10;&#10;AI-generated content may be incorrect."/>
                    <pic:cNvPicPr/>
                  </pic:nvPicPr>
                  <pic:blipFill>
                    <a:blip r:embed="rId20"/>
                    <a:stretch>
                      <a:fillRect/>
                    </a:stretch>
                  </pic:blipFill>
                  <pic:spPr>
                    <a:xfrm>
                      <a:off x="0" y="0"/>
                      <a:ext cx="6400800" cy="1570355"/>
                    </a:xfrm>
                    <a:prstGeom prst="rect">
                      <a:avLst/>
                    </a:prstGeom>
                  </pic:spPr>
                </pic:pic>
              </a:graphicData>
            </a:graphic>
          </wp:inline>
        </w:drawing>
      </w:r>
      <w:r w:rsidR="00C04A55" w:rsidRPr="00C04A55">
        <w:rPr>
          <w:noProof/>
        </w:rPr>
        <w:t xml:space="preserve"> </w:t>
      </w:r>
    </w:p>
    <w:p w14:paraId="34266074" w14:textId="77777777" w:rsidR="0058716D" w:rsidRDefault="0058716D" w:rsidP="0058716D">
      <w:pPr>
        <w:rPr>
          <w:noProof/>
        </w:rPr>
      </w:pPr>
    </w:p>
    <w:p w14:paraId="24886FA7" w14:textId="22EABAD2" w:rsidR="00EB7C42" w:rsidRDefault="00A1284D" w:rsidP="0058716D">
      <w:pPr>
        <w:pStyle w:val="Heading3"/>
      </w:pPr>
      <w:bookmarkStart w:id="29" w:name="_Toc193219084"/>
      <w:r>
        <w:lastRenderedPageBreak/>
        <w:t>Comparison of 5 Year</w:t>
      </w:r>
      <w:r w:rsidR="0058716D">
        <w:t xml:space="preserve"> Cumulative Total Return</w:t>
      </w:r>
      <w:bookmarkEnd w:id="29"/>
    </w:p>
    <w:p w14:paraId="21302892" w14:textId="4866B499" w:rsidR="00EB7C42" w:rsidRDefault="00A1284D" w:rsidP="00F61AA5">
      <w:pPr>
        <w:jc w:val="center"/>
      </w:pPr>
      <w:r w:rsidRPr="00A1284D">
        <w:rPr>
          <w:noProof/>
        </w:rPr>
        <w:drawing>
          <wp:inline distT="0" distB="0" distL="0" distR="0" wp14:anchorId="29A3A2C8" wp14:editId="4B6C3668">
            <wp:extent cx="6400800" cy="5269865"/>
            <wp:effectExtent l="0" t="0" r="0" b="6985"/>
            <wp:docPr id="462408836"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08836" name="Picture 1" descr="A graph with numbers and lines&#10;&#10;AI-generated content may be incorrect."/>
                    <pic:cNvPicPr/>
                  </pic:nvPicPr>
                  <pic:blipFill>
                    <a:blip r:embed="rId21"/>
                    <a:stretch>
                      <a:fillRect/>
                    </a:stretch>
                  </pic:blipFill>
                  <pic:spPr>
                    <a:xfrm>
                      <a:off x="0" y="0"/>
                      <a:ext cx="6400800" cy="5269865"/>
                    </a:xfrm>
                    <a:prstGeom prst="rect">
                      <a:avLst/>
                    </a:prstGeom>
                  </pic:spPr>
                </pic:pic>
              </a:graphicData>
            </a:graphic>
          </wp:inline>
        </w:drawing>
      </w:r>
    </w:p>
    <w:p w14:paraId="3FC81C33" w14:textId="77777777" w:rsidR="00E1759A" w:rsidRDefault="00E1759A" w:rsidP="0037454A">
      <w:bookmarkStart w:id="30" w:name="_Toc189136887"/>
    </w:p>
    <w:p w14:paraId="4F9126C8" w14:textId="759F33CC" w:rsidR="00EB7C42" w:rsidRDefault="00EB7C42" w:rsidP="00EB7C42">
      <w:pPr>
        <w:pStyle w:val="Heading3"/>
      </w:pPr>
      <w:bookmarkStart w:id="31" w:name="_Toc193219085"/>
      <w:r>
        <w:t>Key Financial Insights</w:t>
      </w:r>
      <w:bookmarkEnd w:id="30"/>
      <w:bookmarkEnd w:id="31"/>
    </w:p>
    <w:p w14:paraId="0E8993E9" w14:textId="57E7EB9D" w:rsidR="00EB7C42" w:rsidRPr="00562910" w:rsidRDefault="00EB7C42" w:rsidP="00EB7C42">
      <w:pPr>
        <w:rPr>
          <w:i/>
          <w:iCs/>
          <w:sz w:val="20"/>
          <w:szCs w:val="20"/>
        </w:rPr>
      </w:pPr>
      <w:r w:rsidRPr="00562910">
        <w:rPr>
          <w:i/>
          <w:iCs/>
          <w:sz w:val="20"/>
          <w:szCs w:val="20"/>
        </w:rPr>
        <w:t xml:space="preserve">Refer to the Supplemental Data section for additional details on </w:t>
      </w:r>
      <w:r w:rsidR="00850086" w:rsidRPr="00562910">
        <w:rPr>
          <w:i/>
          <w:iCs/>
          <w:sz w:val="20"/>
          <w:szCs w:val="20"/>
        </w:rPr>
        <w:t>eBay</w:t>
      </w:r>
      <w:r w:rsidRPr="00562910">
        <w:rPr>
          <w:i/>
          <w:iCs/>
          <w:sz w:val="20"/>
          <w:szCs w:val="20"/>
        </w:rPr>
        <w:t>’s Balance Sheet, Income Statement, Equity Statement, and Cash Flow Statement to better understand the insights discussed below.</w:t>
      </w:r>
    </w:p>
    <w:p w14:paraId="7E64F91A" w14:textId="7A01E734" w:rsidR="00EB7C42" w:rsidRPr="006007E3" w:rsidRDefault="00EB7C42" w:rsidP="00865461">
      <w:pPr>
        <w:ind w:left="360"/>
      </w:pPr>
      <w:r>
        <w:t>(BL</w:t>
      </w:r>
      <w:r w:rsidR="00285335">
        <w:t>/Ratio</w:t>
      </w:r>
      <w:r>
        <w:t xml:space="preserve">) </w:t>
      </w:r>
      <w:r w:rsidR="00573BBA">
        <w:rPr>
          <w:b/>
          <w:bCs/>
          <w:i/>
          <w:iCs/>
        </w:rPr>
        <w:t xml:space="preserve">Equity </w:t>
      </w:r>
      <w:r w:rsidR="00380BA3">
        <w:rPr>
          <w:b/>
          <w:bCs/>
          <w:i/>
          <w:iCs/>
        </w:rPr>
        <w:t>decreased significantly</w:t>
      </w:r>
      <w:r w:rsidR="00AF1F0A">
        <w:rPr>
          <w:b/>
          <w:bCs/>
          <w:i/>
          <w:iCs/>
        </w:rPr>
        <w:t>,</w:t>
      </w:r>
      <w:r w:rsidR="0023177F">
        <w:rPr>
          <w:b/>
          <w:bCs/>
          <w:i/>
          <w:iCs/>
        </w:rPr>
        <w:t xml:space="preserve"> and non-current liabilities increased significantly</w:t>
      </w:r>
      <w:r w:rsidR="00380BA3">
        <w:rPr>
          <w:b/>
          <w:bCs/>
          <w:i/>
          <w:iCs/>
        </w:rPr>
        <w:t xml:space="preserve"> in</w:t>
      </w:r>
      <w:r w:rsidR="00573BBA">
        <w:rPr>
          <w:b/>
          <w:bCs/>
          <w:i/>
          <w:iCs/>
        </w:rPr>
        <w:t xml:space="preserve"> 202</w:t>
      </w:r>
      <w:r w:rsidR="00193FB9">
        <w:rPr>
          <w:b/>
          <w:bCs/>
          <w:i/>
          <w:iCs/>
        </w:rPr>
        <w:t>2</w:t>
      </w:r>
      <w:r w:rsidR="00C12ACC">
        <w:rPr>
          <w:b/>
          <w:bCs/>
          <w:i/>
          <w:iCs/>
        </w:rPr>
        <w:t>.</w:t>
      </w:r>
    </w:p>
    <w:p w14:paraId="33309E24" w14:textId="252BFD0D" w:rsidR="00211549" w:rsidRDefault="00AC0541" w:rsidP="00A41148">
      <w:pPr>
        <w:ind w:firstLine="720"/>
      </w:pPr>
      <w:bookmarkStart w:id="32" w:name="_Toc189136888"/>
      <w:r>
        <w:t>The significant decrease in equity in 2022 was primarily due to the deconsolidation of MGM Growth Properties</w:t>
      </w:r>
      <w:r w:rsidR="00892046">
        <w:t xml:space="preserve"> ($3.2 billion)</w:t>
      </w:r>
      <w:r w:rsidR="00DB65FC">
        <w:t xml:space="preserve">, </w:t>
      </w:r>
      <w:r w:rsidR="00183D9F">
        <w:t>in line</w:t>
      </w:r>
      <w:r w:rsidR="00DB65FC">
        <w:t xml:space="preserve"> with its asset-light strategy,</w:t>
      </w:r>
      <w:r w:rsidR="00892046">
        <w:t xml:space="preserve"> and repurchases of common stock ($2.8 billion)</w:t>
      </w:r>
      <w:r w:rsidR="00F17F09">
        <w:t>.</w:t>
      </w:r>
      <w:r w:rsidR="009E7779">
        <w:t xml:space="preserve"> </w:t>
      </w:r>
    </w:p>
    <w:p w14:paraId="1C21087D" w14:textId="0AD00D02" w:rsidR="00D47A37" w:rsidRDefault="00D47A37" w:rsidP="00A41148">
      <w:pPr>
        <w:ind w:firstLine="720"/>
      </w:pPr>
      <w:r>
        <w:t xml:space="preserve">The significant increase in non-current liabilities in 2022 was primarily due to </w:t>
      </w:r>
      <w:r w:rsidR="00936D78">
        <w:t xml:space="preserve">the VICI </w:t>
      </w:r>
      <w:r w:rsidR="00183D9F">
        <w:t>T</w:t>
      </w:r>
      <w:r w:rsidR="00936D78">
        <w:t>ransaction.</w:t>
      </w:r>
      <w:r w:rsidR="008C156E">
        <w:t xml:space="preserve"> </w:t>
      </w:r>
      <w:r w:rsidR="00936D78">
        <w:t xml:space="preserve">The company </w:t>
      </w:r>
      <w:r w:rsidR="001522D3">
        <w:t xml:space="preserve">entered into an amended and restated master lease with VICI, which resulted in much </w:t>
      </w:r>
      <w:r w:rsidR="004A3575">
        <w:t>larger</w:t>
      </w:r>
      <w:r w:rsidR="001522D3">
        <w:t xml:space="preserve"> </w:t>
      </w:r>
      <w:r w:rsidR="004A3575">
        <w:t>ROU</w:t>
      </w:r>
      <w:r w:rsidR="003F0AF2">
        <w:t xml:space="preserve"> assets and </w:t>
      </w:r>
      <w:r w:rsidR="001522D3">
        <w:t>operating lease liabilities on its balance sheet</w:t>
      </w:r>
      <w:r w:rsidR="004A3575">
        <w:t>.</w:t>
      </w:r>
    </w:p>
    <w:p w14:paraId="6D6DB537" w14:textId="385C929B" w:rsidR="00385A62" w:rsidRDefault="00385A62" w:rsidP="00A41148">
      <w:pPr>
        <w:ind w:firstLine="720"/>
      </w:pPr>
      <w:r>
        <w:t xml:space="preserve">The VICI Transaction </w:t>
      </w:r>
      <w:r w:rsidR="00F9661F">
        <w:t xml:space="preserve">decreased MGM’s equity and increased lease liabilities, </w:t>
      </w:r>
      <w:r w:rsidR="009F7DC4">
        <w:t xml:space="preserve">leading to </w:t>
      </w:r>
      <w:r w:rsidR="00285335">
        <w:t xml:space="preserve">a significantly higher financial leverage. </w:t>
      </w:r>
      <w:r w:rsidR="00AD32B1">
        <w:t>This appears to be a strategic move by MGM to improve its</w:t>
      </w:r>
      <w:r w:rsidR="00680694">
        <w:t xml:space="preserve"> balance sheet and</w:t>
      </w:r>
      <w:r w:rsidR="00AD32B1">
        <w:t xml:space="preserve"> ROE</w:t>
      </w:r>
      <w:r w:rsidR="00ED3E82">
        <w:t xml:space="preserve"> </w:t>
      </w:r>
      <w:r w:rsidR="00FD3F29">
        <w:t xml:space="preserve">and/or EPS </w:t>
      </w:r>
      <w:r w:rsidR="00AD32B1">
        <w:t xml:space="preserve">performance. </w:t>
      </w:r>
    </w:p>
    <w:p w14:paraId="6968BB56" w14:textId="77777777" w:rsidR="00A84A7C" w:rsidRPr="0058717B" w:rsidRDefault="00A84A7C" w:rsidP="0023177F"/>
    <w:p w14:paraId="0E899878" w14:textId="4E08B716" w:rsidR="00CF5ABD" w:rsidRPr="006007E3" w:rsidRDefault="00CF5ABD" w:rsidP="00CF5ABD">
      <w:pPr>
        <w:ind w:left="360"/>
      </w:pPr>
      <w:r>
        <w:t>(BL)</w:t>
      </w:r>
      <w:r w:rsidR="00772461">
        <w:rPr>
          <w:b/>
          <w:bCs/>
          <w:i/>
          <w:iCs/>
        </w:rPr>
        <w:t xml:space="preserve"> </w:t>
      </w:r>
      <w:r w:rsidR="00FA43DB">
        <w:rPr>
          <w:b/>
          <w:bCs/>
          <w:i/>
          <w:iCs/>
        </w:rPr>
        <w:t>Total assets (or liabilities and equity) decreased in 202</w:t>
      </w:r>
      <w:r w:rsidR="00193FB9">
        <w:rPr>
          <w:b/>
          <w:bCs/>
          <w:i/>
          <w:iCs/>
        </w:rPr>
        <w:t>3</w:t>
      </w:r>
      <w:r>
        <w:rPr>
          <w:b/>
          <w:bCs/>
          <w:i/>
          <w:iCs/>
        </w:rPr>
        <w:t>.</w:t>
      </w:r>
    </w:p>
    <w:p w14:paraId="1DB714C3" w14:textId="0E6C7408" w:rsidR="00255A3A" w:rsidRDefault="00D07E88" w:rsidP="00BC4676">
      <w:pPr>
        <w:ind w:firstLine="720"/>
      </w:pPr>
      <w:r>
        <w:lastRenderedPageBreak/>
        <w:t>T</w:t>
      </w:r>
      <w:r w:rsidR="00ED7ED8">
        <w:t>his decrease</w:t>
      </w:r>
      <w:r w:rsidR="002D3BED">
        <w:t xml:space="preserve"> in total assets</w:t>
      </w:r>
      <w:r w:rsidR="00ED7ED8">
        <w:t xml:space="preserve"> was driven primarily by a decrease in cash and </w:t>
      </w:r>
      <w:r w:rsidR="00FF389B">
        <w:t>cash equivalents</w:t>
      </w:r>
      <w:r w:rsidR="003F72C6">
        <w:t xml:space="preserve"> (on the right side of </w:t>
      </w:r>
      <w:r w:rsidR="00091616">
        <w:t>the balance sheet)</w:t>
      </w:r>
      <w:r w:rsidR="00FF389B">
        <w:t xml:space="preserve">, </w:t>
      </w:r>
      <w:r w:rsidR="00E179CE">
        <w:t xml:space="preserve">which were </w:t>
      </w:r>
      <w:r w:rsidR="00425AE3">
        <w:t>used</w:t>
      </w:r>
      <w:r w:rsidR="00FF389B">
        <w:t xml:space="preserve"> to </w:t>
      </w:r>
      <w:r w:rsidR="00425AE3">
        <w:t>service debt</w:t>
      </w:r>
      <w:r w:rsidR="00FF389B">
        <w:t xml:space="preserve"> and</w:t>
      </w:r>
      <w:r w:rsidR="002D64E9">
        <w:t xml:space="preserve"> repurchase</w:t>
      </w:r>
      <w:r w:rsidR="001F2966">
        <w:t xml:space="preserve"> its shares</w:t>
      </w:r>
      <w:r w:rsidR="003B107A">
        <w:t>, funded from retained earnings</w:t>
      </w:r>
      <w:r w:rsidR="00091616">
        <w:t xml:space="preserve"> (on the right side of the balance sheet)</w:t>
      </w:r>
      <w:r w:rsidR="003B107A">
        <w:t>.</w:t>
      </w:r>
      <w:r w:rsidR="009819AB">
        <w:t xml:space="preserve"> </w:t>
      </w:r>
    </w:p>
    <w:p w14:paraId="63EEC331" w14:textId="77777777" w:rsidR="00A84A7C" w:rsidRDefault="00A84A7C" w:rsidP="00255A3A">
      <w:pPr>
        <w:ind w:firstLine="720"/>
      </w:pPr>
    </w:p>
    <w:p w14:paraId="1D30FB15" w14:textId="1DF80EBE" w:rsidR="005C4D9F" w:rsidRPr="006007E3" w:rsidRDefault="005C4D9F" w:rsidP="005C4D9F">
      <w:pPr>
        <w:ind w:left="360"/>
      </w:pPr>
      <w:r>
        <w:t xml:space="preserve">(PL) </w:t>
      </w:r>
      <w:r w:rsidR="0028075E">
        <w:rPr>
          <w:b/>
          <w:bCs/>
          <w:i/>
          <w:iCs/>
        </w:rPr>
        <w:t xml:space="preserve">Net </w:t>
      </w:r>
      <w:r w:rsidR="00CD3096">
        <w:rPr>
          <w:b/>
          <w:bCs/>
          <w:i/>
          <w:iCs/>
        </w:rPr>
        <w:t>r</w:t>
      </w:r>
      <w:r w:rsidR="0028075E">
        <w:rPr>
          <w:b/>
          <w:bCs/>
          <w:i/>
          <w:iCs/>
        </w:rPr>
        <w:t>evenue has been increasing over the last 5 years</w:t>
      </w:r>
      <w:r>
        <w:rPr>
          <w:b/>
          <w:bCs/>
          <w:i/>
          <w:iCs/>
        </w:rPr>
        <w:t>.</w:t>
      </w:r>
    </w:p>
    <w:p w14:paraId="00E1A78C" w14:textId="0F2CCC8F" w:rsidR="009F7470" w:rsidRDefault="00827D28" w:rsidP="00B85C2E">
      <w:pPr>
        <w:ind w:firstLine="720"/>
      </w:pPr>
      <w:r>
        <w:t xml:space="preserve">While </w:t>
      </w:r>
      <w:r w:rsidR="00CE762A">
        <w:t xml:space="preserve">not shown in </w:t>
      </w:r>
      <w:r w:rsidR="0040642F">
        <w:t>MGM’s</w:t>
      </w:r>
      <w:r>
        <w:t xml:space="preserve"> PL chart</w:t>
      </w:r>
      <w:r w:rsidR="00381859">
        <w:t xml:space="preserve">, the company’s revenue dropped </w:t>
      </w:r>
      <w:r w:rsidR="00CE762A">
        <w:t xml:space="preserve">by </w:t>
      </w:r>
      <w:r w:rsidR="00381859">
        <w:t>more than half in 2019, due to the Covid-19 pandemic</w:t>
      </w:r>
      <w:r w:rsidR="009F7470" w:rsidRPr="00FE7F86">
        <w:t>.</w:t>
      </w:r>
      <w:r w:rsidR="00381859">
        <w:t xml:space="preserve"> </w:t>
      </w:r>
      <w:r w:rsidR="00AD095E">
        <w:t>The revenue growth in 2021 and 2022</w:t>
      </w:r>
      <w:r w:rsidR="007C442F">
        <w:t xml:space="preserve"> is mainly attributed to </w:t>
      </w:r>
      <w:r w:rsidR="006D5639">
        <w:t xml:space="preserve">the recovery of </w:t>
      </w:r>
      <w:r w:rsidR="00085A1B">
        <w:t>Las Vegas</w:t>
      </w:r>
      <w:r w:rsidR="00A37EE9">
        <w:t xml:space="preserve"> Strip Resorts</w:t>
      </w:r>
      <w:r w:rsidR="00085A1B">
        <w:t xml:space="preserve"> and Regional </w:t>
      </w:r>
      <w:r w:rsidR="00A37EE9">
        <w:t>O</w:t>
      </w:r>
      <w:r w:rsidR="0042492E">
        <w:t>perations from the pandemic</w:t>
      </w:r>
      <w:r w:rsidR="0003473F">
        <w:t xml:space="preserve">. </w:t>
      </w:r>
      <w:r w:rsidR="003E2AEE">
        <w:t>Las Vegas Strip Resorts</w:t>
      </w:r>
      <w:r w:rsidR="005F6A7A">
        <w:t xml:space="preserve"> </w:t>
      </w:r>
      <w:r w:rsidR="0003473F">
        <w:t>saw increases of</w:t>
      </w:r>
      <w:r w:rsidR="005F6A7A">
        <w:t xml:space="preserve"> 110.9% </w:t>
      </w:r>
      <w:r w:rsidR="0003473F">
        <w:t xml:space="preserve">in 2021 and </w:t>
      </w:r>
      <w:r w:rsidR="005F6A7A">
        <w:t xml:space="preserve">77.3% </w:t>
      </w:r>
      <w:r w:rsidR="0003473F">
        <w:t>in</w:t>
      </w:r>
      <w:r w:rsidR="004D6401">
        <w:t xml:space="preserve"> </w:t>
      </w:r>
      <w:r w:rsidR="005F6A7A">
        <w:t>2022</w:t>
      </w:r>
      <w:r w:rsidR="004D6401">
        <w:t xml:space="preserve"> while</w:t>
      </w:r>
      <w:r w:rsidR="005F6A7A">
        <w:t xml:space="preserve"> Regional Operations </w:t>
      </w:r>
      <w:r w:rsidR="004D6401">
        <w:t>experienced increases of 7</w:t>
      </w:r>
      <w:r w:rsidR="00B85C2E">
        <w:t xml:space="preserve">2.4% </w:t>
      </w:r>
      <w:r w:rsidR="004D6401">
        <w:t xml:space="preserve">in 2021 and </w:t>
      </w:r>
      <w:r w:rsidR="00B85C2E">
        <w:t>12.5% in</w:t>
      </w:r>
      <w:r w:rsidR="004D6401">
        <w:t xml:space="preserve"> </w:t>
      </w:r>
      <w:r w:rsidR="00B85C2E">
        <w:t>2022.</w:t>
      </w:r>
      <w:r w:rsidR="0042492E">
        <w:t xml:space="preserve"> </w:t>
      </w:r>
      <w:r w:rsidR="00B85C2E">
        <w:t>T</w:t>
      </w:r>
      <w:r w:rsidR="0042492E">
        <w:t>he growth in 2023 was mainly attributable to MGM China’s recovery from the pandemic</w:t>
      </w:r>
      <w:r w:rsidR="000D2789">
        <w:t>, with</w:t>
      </w:r>
      <w:r w:rsidR="00B85C2E">
        <w:t xml:space="preserve"> </w:t>
      </w:r>
      <w:r w:rsidR="006A4C40">
        <w:t xml:space="preserve">MGM China </w:t>
      </w:r>
      <w:r w:rsidR="000D2789">
        <w:t>seeing</w:t>
      </w:r>
      <w:r w:rsidR="006A4C40">
        <w:t xml:space="preserve"> a 368% increase in 2023</w:t>
      </w:r>
      <w:r w:rsidR="0042492E">
        <w:t>.</w:t>
      </w:r>
    </w:p>
    <w:p w14:paraId="3834891B" w14:textId="4190AEFC" w:rsidR="00C65ED3" w:rsidRPr="00FE7F86" w:rsidRDefault="00C65ED3" w:rsidP="00B85C2E">
      <w:pPr>
        <w:ind w:firstLine="720"/>
      </w:pPr>
      <w:r>
        <w:t>The</w:t>
      </w:r>
      <w:r w:rsidR="00F5208B">
        <w:t xml:space="preserve"> 6.7%</w:t>
      </w:r>
      <w:r>
        <w:t xml:space="preserve"> growth in 2024 was primarily driven by </w:t>
      </w:r>
      <w:r w:rsidR="00D63F06">
        <w:t>a 27.5% increase</w:t>
      </w:r>
      <w:r>
        <w:t xml:space="preserve"> in MGM China</w:t>
      </w:r>
      <w:r w:rsidR="0009741D">
        <w:t xml:space="preserve"> and a 26.0% increase in corporate and other, which </w:t>
      </w:r>
      <w:r w:rsidR="00623C54">
        <w:t>primarily</w:t>
      </w:r>
      <w:r w:rsidR="0009741D">
        <w:t xml:space="preserve"> consists of MGM Digital</w:t>
      </w:r>
      <w:r w:rsidR="00862AE6">
        <w:t>.</w:t>
      </w:r>
      <w:r>
        <w:t xml:space="preserve"> </w:t>
      </w:r>
    </w:p>
    <w:p w14:paraId="2A5D4B2F" w14:textId="77777777" w:rsidR="00A84A7C" w:rsidRPr="0058717B" w:rsidRDefault="00A84A7C" w:rsidP="004C311F"/>
    <w:p w14:paraId="7C14C2E8" w14:textId="07E2C7B7" w:rsidR="006728FB" w:rsidRPr="006007E3" w:rsidRDefault="006728FB" w:rsidP="006728FB">
      <w:pPr>
        <w:ind w:left="360"/>
      </w:pPr>
      <w:r>
        <w:t>(PL)</w:t>
      </w:r>
      <w:r w:rsidR="00FE7F86">
        <w:rPr>
          <w:b/>
          <w:bCs/>
          <w:i/>
          <w:iCs/>
        </w:rPr>
        <w:t xml:space="preserve"> </w:t>
      </w:r>
      <w:r w:rsidR="00CD3096">
        <w:rPr>
          <w:b/>
          <w:bCs/>
          <w:i/>
          <w:iCs/>
        </w:rPr>
        <w:t xml:space="preserve">The company had </w:t>
      </w:r>
      <w:r w:rsidR="00D86DC0">
        <w:rPr>
          <w:b/>
          <w:bCs/>
          <w:i/>
          <w:iCs/>
        </w:rPr>
        <w:t xml:space="preserve">a </w:t>
      </w:r>
      <w:r w:rsidR="00CD3096">
        <w:rPr>
          <w:b/>
          <w:bCs/>
          <w:i/>
          <w:iCs/>
        </w:rPr>
        <w:t>net loss in 2020</w:t>
      </w:r>
      <w:r w:rsidR="008C713B">
        <w:rPr>
          <w:b/>
          <w:bCs/>
          <w:i/>
          <w:iCs/>
        </w:rPr>
        <w:t>.</w:t>
      </w:r>
    </w:p>
    <w:p w14:paraId="080DB0BB" w14:textId="00BDF1C3" w:rsidR="00110503" w:rsidRDefault="001512E8" w:rsidP="00092CF2">
      <w:pPr>
        <w:ind w:firstLine="720"/>
      </w:pPr>
      <w:r>
        <w:t>The net loss in 2020 was primarily due to the adverse effects of the Covid-19 pandemic on the results of MGM’s global operations</w:t>
      </w:r>
      <w:r w:rsidR="00483274">
        <w:t>, including both North America and China</w:t>
      </w:r>
      <w:r w:rsidR="003F26FB">
        <w:t>.</w:t>
      </w:r>
    </w:p>
    <w:p w14:paraId="0035F700" w14:textId="34135FC7" w:rsidR="008F56CB" w:rsidRDefault="00A25CAC" w:rsidP="00092CF2">
      <w:pPr>
        <w:ind w:firstLine="720"/>
      </w:pPr>
      <w:r>
        <w:t>MGM China also</w:t>
      </w:r>
      <w:r w:rsidR="00A10E5D">
        <w:t xml:space="preserve"> experienced a 44.4% decrease in revenue in 2022 due to </w:t>
      </w:r>
      <w:r w:rsidR="008F56CB">
        <w:t xml:space="preserve">China </w:t>
      </w:r>
      <w:r w:rsidR="00B23EF0">
        <w:t>strengthen</w:t>
      </w:r>
      <w:r w:rsidR="00A10E5D">
        <w:t>ing</w:t>
      </w:r>
      <w:r w:rsidR="00B23EF0">
        <w:t xml:space="preserve"> </w:t>
      </w:r>
      <w:r w:rsidR="00544590">
        <w:t xml:space="preserve">its </w:t>
      </w:r>
      <w:r w:rsidR="00B23EF0">
        <w:t>restrictions again in 2022</w:t>
      </w:r>
      <w:r w:rsidR="00544590">
        <w:t>. However,</w:t>
      </w:r>
      <w:r w:rsidR="00E227E4">
        <w:t xml:space="preserve"> MGM did not </w:t>
      </w:r>
      <w:r w:rsidR="00544590">
        <w:t>report a</w:t>
      </w:r>
      <w:r w:rsidR="00E227E4">
        <w:t xml:space="preserve"> net loss due to the recovery </w:t>
      </w:r>
      <w:r w:rsidR="00544590">
        <w:t xml:space="preserve">of </w:t>
      </w:r>
      <w:r w:rsidR="00E227E4">
        <w:t xml:space="preserve">Las Vegas Strip Resorts and Regional Operations. </w:t>
      </w:r>
      <w:r w:rsidR="008F6352">
        <w:t>Wynn</w:t>
      </w:r>
      <w:r w:rsidR="00544590">
        <w:t>, which</w:t>
      </w:r>
      <w:r w:rsidR="00E13272">
        <w:t xml:space="preserve"> owns </w:t>
      </w:r>
      <w:r w:rsidR="003142A9">
        <w:t>properties in Macau</w:t>
      </w:r>
      <w:r w:rsidR="00544590">
        <w:t>,</w:t>
      </w:r>
      <w:r w:rsidR="008F6352">
        <w:t xml:space="preserve"> also experienced </w:t>
      </w:r>
      <w:r w:rsidR="00E13272">
        <w:t xml:space="preserve">a significant negative impact on its results but </w:t>
      </w:r>
      <w:r w:rsidR="003142A9">
        <w:t xml:space="preserve">took a longer time to recover </w:t>
      </w:r>
      <w:r w:rsidR="00772795">
        <w:t>its operational results to pre-pandemic levels due to its limited number of resorts</w:t>
      </w:r>
      <w:r w:rsidR="00EF6651">
        <w:t>.</w:t>
      </w:r>
    </w:p>
    <w:p w14:paraId="4411A1CC" w14:textId="77777777" w:rsidR="005F2030" w:rsidRDefault="005F2030" w:rsidP="005F2030"/>
    <w:p w14:paraId="20417C02" w14:textId="14FA4557" w:rsidR="005F2030" w:rsidRPr="006007E3" w:rsidRDefault="005F2030" w:rsidP="005F2030">
      <w:pPr>
        <w:ind w:left="360"/>
      </w:pPr>
      <w:r>
        <w:t>(PL)</w:t>
      </w:r>
      <w:r>
        <w:rPr>
          <w:b/>
          <w:bCs/>
          <w:i/>
          <w:iCs/>
        </w:rPr>
        <w:t xml:space="preserve"> </w:t>
      </w:r>
      <w:r w:rsidR="008135CC">
        <w:rPr>
          <w:b/>
          <w:bCs/>
          <w:i/>
          <w:iCs/>
        </w:rPr>
        <w:t>Based on the last 5 years, COGS % typically exceeds 50%</w:t>
      </w:r>
      <w:r w:rsidR="00AB0A9D">
        <w:rPr>
          <w:b/>
          <w:bCs/>
          <w:i/>
          <w:iCs/>
        </w:rPr>
        <w:t>,</w:t>
      </w:r>
      <w:r w:rsidR="008135CC">
        <w:rPr>
          <w:b/>
          <w:bCs/>
          <w:i/>
          <w:iCs/>
        </w:rPr>
        <w:t xml:space="preserve"> and Opex % </w:t>
      </w:r>
      <w:r w:rsidR="0056555C">
        <w:rPr>
          <w:b/>
          <w:bCs/>
          <w:i/>
          <w:iCs/>
        </w:rPr>
        <w:t>is typically around 35%</w:t>
      </w:r>
      <w:r>
        <w:rPr>
          <w:b/>
          <w:bCs/>
          <w:i/>
          <w:iCs/>
        </w:rPr>
        <w:t>.</w:t>
      </w:r>
    </w:p>
    <w:p w14:paraId="0B3F22E9" w14:textId="0BDAA315" w:rsidR="005F2030" w:rsidRDefault="00DB4B6D" w:rsidP="005F2030">
      <w:pPr>
        <w:ind w:firstLine="720"/>
      </w:pPr>
      <w:r>
        <w:t xml:space="preserve">For </w:t>
      </w:r>
      <w:r w:rsidR="00A165C6">
        <w:t>a company like MGM in the hospitality, gaming, and entertainment industries, it is not surprising to see a higher COGS % and a relatively high Opex %</w:t>
      </w:r>
      <w:r w:rsidR="00A40AD1">
        <w:t xml:space="preserve">, given that running hotels, restaurants, and entertainment </w:t>
      </w:r>
      <w:r w:rsidR="005B3B0E">
        <w:t>venues requires a large workforce — from housekeeping to dealers to chefs — leading to high payroll-related expenses.</w:t>
      </w:r>
      <w:r w:rsidR="004339AA">
        <w:t xml:space="preserve"> The</w:t>
      </w:r>
      <w:r w:rsidR="00F25DE3">
        <w:t xml:space="preserve"> company also faces high gaming taxe</w:t>
      </w:r>
      <w:r w:rsidR="007A0002">
        <w:t>s which eat up a significant portion of gaming revenue in some regions like Macau.</w:t>
      </w:r>
    </w:p>
    <w:p w14:paraId="05A3D634" w14:textId="369D6D89" w:rsidR="005D4771" w:rsidRDefault="00144010" w:rsidP="005F2030">
      <w:pPr>
        <w:ind w:firstLine="720"/>
      </w:pPr>
      <w:r>
        <w:t>Operating expenses mostly</w:t>
      </w:r>
      <w:r w:rsidR="006B3D45">
        <w:t xml:space="preserve"> consist of general and administrative expenses, which primarily </w:t>
      </w:r>
      <w:r w:rsidR="00AC4185">
        <w:t>include</w:t>
      </w:r>
      <w:r w:rsidR="006B3D45">
        <w:t xml:space="preserve"> operating lease cost</w:t>
      </w:r>
      <w:r w:rsidR="00AF11C6">
        <w:t>s</w:t>
      </w:r>
      <w:r w:rsidR="006B3D45">
        <w:t>, advertising cost</w:t>
      </w:r>
      <w:r w:rsidR="00AF11C6">
        <w:t>s</w:t>
      </w:r>
      <w:r w:rsidR="006B3D45">
        <w:t>, etc.</w:t>
      </w:r>
      <w:r w:rsidR="00A20F4E">
        <w:t xml:space="preserve"> </w:t>
      </w:r>
      <w:r w:rsidR="004A5016">
        <w:t xml:space="preserve">A 68.6% increase in general and administrative expenses in 2022 was driven by the VICI Transaction, </w:t>
      </w:r>
      <w:r w:rsidR="00154E60">
        <w:t>where MGM sold MGP to VICI and entered into an amended and restated</w:t>
      </w:r>
      <w:r w:rsidR="00385A62">
        <w:t xml:space="preserve"> master</w:t>
      </w:r>
      <w:r w:rsidR="00154E60">
        <w:t xml:space="preserve"> lease agreement. </w:t>
      </w:r>
    </w:p>
    <w:p w14:paraId="229341A6" w14:textId="77777777" w:rsidR="009F3285" w:rsidRDefault="009F3285" w:rsidP="009F3285"/>
    <w:p w14:paraId="34368C79" w14:textId="22A92755" w:rsidR="009F3285" w:rsidRPr="006007E3" w:rsidRDefault="009F3285" w:rsidP="009F3285">
      <w:pPr>
        <w:ind w:left="360"/>
      </w:pPr>
      <w:r>
        <w:t>(CF)</w:t>
      </w:r>
      <w:r>
        <w:rPr>
          <w:b/>
          <w:bCs/>
          <w:i/>
          <w:iCs/>
        </w:rPr>
        <w:t xml:space="preserve"> </w:t>
      </w:r>
      <w:r w:rsidR="00B04B43" w:rsidRPr="00B04B43">
        <w:rPr>
          <w:b/>
          <w:bCs/>
          <w:i/>
          <w:iCs/>
        </w:rPr>
        <w:t>The company’s cash flows from operating, investing, and financing activities were “</w:t>
      </w:r>
      <w:r w:rsidR="000B44D5">
        <w:rPr>
          <w:b/>
          <w:bCs/>
          <w:i/>
          <w:iCs/>
        </w:rPr>
        <w:t>-</w:t>
      </w:r>
      <w:r w:rsidR="00B04B43" w:rsidRPr="00B04B43">
        <w:rPr>
          <w:b/>
          <w:bCs/>
          <w:i/>
          <w:iCs/>
        </w:rPr>
        <w:t xml:space="preserve"> </w:t>
      </w:r>
      <w:r w:rsidR="00B04B43">
        <w:rPr>
          <w:b/>
          <w:bCs/>
          <w:i/>
          <w:iCs/>
        </w:rPr>
        <w:t>, +, +</w:t>
      </w:r>
      <w:r w:rsidR="00B04B43" w:rsidRPr="00B04B43">
        <w:rPr>
          <w:b/>
          <w:bCs/>
          <w:i/>
          <w:iCs/>
        </w:rPr>
        <w:t>“</w:t>
      </w:r>
      <w:r w:rsidR="00B04B43">
        <w:rPr>
          <w:b/>
          <w:bCs/>
          <w:i/>
          <w:iCs/>
        </w:rPr>
        <w:t xml:space="preserve"> </w:t>
      </w:r>
      <w:r w:rsidR="000B44D5">
        <w:rPr>
          <w:b/>
          <w:bCs/>
          <w:i/>
          <w:iCs/>
        </w:rPr>
        <w:t xml:space="preserve">in 2020, </w:t>
      </w:r>
      <w:r w:rsidR="000B44D5" w:rsidRPr="00B04B43">
        <w:rPr>
          <w:b/>
          <w:bCs/>
          <w:i/>
          <w:iCs/>
        </w:rPr>
        <w:t>“</w:t>
      </w:r>
      <w:r w:rsidR="000B44D5">
        <w:rPr>
          <w:b/>
          <w:bCs/>
          <w:i/>
          <w:iCs/>
        </w:rPr>
        <w:t>+</w:t>
      </w:r>
      <w:r w:rsidR="000B44D5" w:rsidRPr="00B04B43">
        <w:rPr>
          <w:b/>
          <w:bCs/>
          <w:i/>
          <w:iCs/>
        </w:rPr>
        <w:t xml:space="preserve"> </w:t>
      </w:r>
      <w:r w:rsidR="000B44D5">
        <w:rPr>
          <w:b/>
          <w:bCs/>
          <w:i/>
          <w:iCs/>
        </w:rPr>
        <w:t>, +, -</w:t>
      </w:r>
      <w:r w:rsidR="000B44D5" w:rsidRPr="00B04B43">
        <w:rPr>
          <w:b/>
          <w:bCs/>
          <w:i/>
          <w:iCs/>
        </w:rPr>
        <w:t>“</w:t>
      </w:r>
      <w:r w:rsidR="000B44D5">
        <w:rPr>
          <w:b/>
          <w:bCs/>
          <w:i/>
          <w:iCs/>
        </w:rPr>
        <w:t xml:space="preserve"> in 2021 and 2022, and </w:t>
      </w:r>
      <w:r w:rsidR="000B44D5" w:rsidRPr="00B04B43">
        <w:rPr>
          <w:b/>
          <w:bCs/>
          <w:i/>
          <w:iCs/>
        </w:rPr>
        <w:t>“</w:t>
      </w:r>
      <w:r w:rsidR="000B44D5">
        <w:rPr>
          <w:b/>
          <w:bCs/>
          <w:i/>
          <w:iCs/>
        </w:rPr>
        <w:t>+</w:t>
      </w:r>
      <w:r w:rsidR="000B44D5" w:rsidRPr="00B04B43">
        <w:rPr>
          <w:b/>
          <w:bCs/>
          <w:i/>
          <w:iCs/>
        </w:rPr>
        <w:t xml:space="preserve"> </w:t>
      </w:r>
      <w:r w:rsidR="000B44D5">
        <w:rPr>
          <w:b/>
          <w:bCs/>
          <w:i/>
          <w:iCs/>
        </w:rPr>
        <w:t>, -, -</w:t>
      </w:r>
      <w:r w:rsidR="000B44D5" w:rsidRPr="00B04B43">
        <w:rPr>
          <w:b/>
          <w:bCs/>
          <w:i/>
          <w:iCs/>
        </w:rPr>
        <w:t>“</w:t>
      </w:r>
      <w:r w:rsidR="000B44D5">
        <w:rPr>
          <w:b/>
          <w:bCs/>
          <w:i/>
          <w:iCs/>
        </w:rPr>
        <w:t xml:space="preserve"> in 202</w:t>
      </w:r>
      <w:r w:rsidR="002008F6">
        <w:rPr>
          <w:b/>
          <w:bCs/>
          <w:i/>
          <w:iCs/>
        </w:rPr>
        <w:t>3 and 2024</w:t>
      </w:r>
      <w:r w:rsidRPr="00B04B43">
        <w:rPr>
          <w:b/>
          <w:bCs/>
          <w:i/>
          <w:iCs/>
        </w:rPr>
        <w:t>.</w:t>
      </w:r>
    </w:p>
    <w:p w14:paraId="31DAA38B" w14:textId="2839B2DB" w:rsidR="0045783C" w:rsidRDefault="004F237A" w:rsidP="0045783C">
      <w:pPr>
        <w:ind w:firstLine="720"/>
      </w:pPr>
      <w:r>
        <w:t>These cash flow patterns</w:t>
      </w:r>
      <w:r w:rsidR="00F07840">
        <w:t xml:space="preserve"> can reveal</w:t>
      </w:r>
      <w:r w:rsidR="00AB2A95">
        <w:t xml:space="preserve"> several of</w:t>
      </w:r>
      <w:r w:rsidR="00F07840">
        <w:t xml:space="preserve"> </w:t>
      </w:r>
      <w:r w:rsidR="008A0AA9">
        <w:t>MGM’s capital strategies</w:t>
      </w:r>
      <w:r w:rsidR="0045783C">
        <w:t>:</w:t>
      </w:r>
    </w:p>
    <w:p w14:paraId="41762527" w14:textId="7E506ACD" w:rsidR="003F6E4C" w:rsidRDefault="003F6E4C" w:rsidP="0045783C">
      <w:pPr>
        <w:ind w:firstLine="720"/>
      </w:pPr>
      <w:r>
        <w:t xml:space="preserve">The cash flow pattern of </w:t>
      </w:r>
      <w:r w:rsidRPr="00ED67AC">
        <w:rPr>
          <w:b/>
          <w:bCs/>
        </w:rPr>
        <w:t>“</w:t>
      </w:r>
      <w:r>
        <w:rPr>
          <w:b/>
          <w:bCs/>
        </w:rPr>
        <w:t>-</w:t>
      </w:r>
      <w:r w:rsidRPr="00ED67AC">
        <w:rPr>
          <w:b/>
          <w:bCs/>
        </w:rPr>
        <w:t>,</w:t>
      </w:r>
      <w:r>
        <w:rPr>
          <w:b/>
          <w:bCs/>
        </w:rPr>
        <w:t xml:space="preserve"> </w:t>
      </w:r>
      <w:r w:rsidRPr="00ED67AC">
        <w:rPr>
          <w:b/>
          <w:bCs/>
        </w:rPr>
        <w:t>+,</w:t>
      </w:r>
      <w:r>
        <w:rPr>
          <w:b/>
          <w:bCs/>
        </w:rPr>
        <w:t xml:space="preserve"> +</w:t>
      </w:r>
      <w:r w:rsidRPr="00ED67AC">
        <w:rPr>
          <w:b/>
          <w:bCs/>
        </w:rPr>
        <w:t>“</w:t>
      </w:r>
      <w:r w:rsidR="0041777A">
        <w:t xml:space="preserve"> in 2020 is </w:t>
      </w:r>
      <w:r w:rsidR="008D0BAA">
        <w:t>typically</w:t>
      </w:r>
      <w:r w:rsidR="0041777A">
        <w:t xml:space="preserve"> a bad sign as a company </w:t>
      </w:r>
      <w:r w:rsidR="00393AB4">
        <w:t>may be trying</w:t>
      </w:r>
      <w:r w:rsidR="0041777A">
        <w:t xml:space="preserve"> to raise money </w:t>
      </w:r>
      <w:r w:rsidR="00393AB4">
        <w:t>to cover its loss</w:t>
      </w:r>
      <w:r w:rsidR="008D0BAA">
        <w:t>es</w:t>
      </w:r>
      <w:r w:rsidR="00393AB4">
        <w:t xml:space="preserve"> from operations </w:t>
      </w:r>
      <w:r w:rsidR="0041777A">
        <w:t>by selling assets and</w:t>
      </w:r>
      <w:r w:rsidR="00780249">
        <w:t xml:space="preserve"> </w:t>
      </w:r>
      <w:r w:rsidR="00755C33">
        <w:t xml:space="preserve">financing </w:t>
      </w:r>
      <w:r w:rsidR="00780249">
        <w:t>debt</w:t>
      </w:r>
      <w:r w:rsidR="00755C33">
        <w:t xml:space="preserve"> and/or </w:t>
      </w:r>
      <w:r w:rsidR="00780249">
        <w:t>equity</w:t>
      </w:r>
      <w:r w:rsidR="007B6416">
        <w:t>.</w:t>
      </w:r>
      <w:r w:rsidR="00780249">
        <w:t xml:space="preserve"> However, </w:t>
      </w:r>
      <w:r w:rsidR="00390360">
        <w:t>this is likely not the case for MGM</w:t>
      </w:r>
      <w:r w:rsidR="00E50E0D">
        <w:t xml:space="preserve">: its negative cash flows from operating activities were </w:t>
      </w:r>
      <w:r w:rsidR="0080317A">
        <w:t xml:space="preserve">due primarily to the adverse </w:t>
      </w:r>
      <w:r w:rsidR="0080317A">
        <w:lastRenderedPageBreak/>
        <w:t xml:space="preserve">effects of </w:t>
      </w:r>
      <w:r w:rsidR="006C4699">
        <w:t>the Covid-19 pandemic on its overall results of operati</w:t>
      </w:r>
      <w:r w:rsidR="009941E0">
        <w:t>ons, which is temporary</w:t>
      </w:r>
      <w:r w:rsidR="008973A8">
        <w:t xml:space="preserve">. While the company’s </w:t>
      </w:r>
      <w:r w:rsidR="003A7B75">
        <w:t xml:space="preserve">positive cash flows from financing activities </w:t>
      </w:r>
      <w:r w:rsidR="0024365A">
        <w:t xml:space="preserve">were likely used </w:t>
      </w:r>
      <w:r w:rsidR="003A7B75">
        <w:t xml:space="preserve">to prepare </w:t>
      </w:r>
      <w:r w:rsidR="00B810E6">
        <w:t xml:space="preserve">the funds </w:t>
      </w:r>
      <w:r w:rsidR="00E874E7">
        <w:t>needed to</w:t>
      </w:r>
      <w:r w:rsidR="00A6769B">
        <w:t xml:space="preserve"> run operations </w:t>
      </w:r>
      <w:r w:rsidR="00B810E6">
        <w:t>during the pandemic, its positive cash flows from investing activiti</w:t>
      </w:r>
      <w:r w:rsidR="00525AB4">
        <w:t>es were driven by proceeds from real estate transactions</w:t>
      </w:r>
      <w:r w:rsidR="00E874E7">
        <w:t>,</w:t>
      </w:r>
      <w:r w:rsidR="009941E0">
        <w:t xml:space="preserve"> </w:t>
      </w:r>
      <w:r w:rsidR="00A6769B">
        <w:t xml:space="preserve">which </w:t>
      </w:r>
      <w:r w:rsidR="00FA2C59">
        <w:t xml:space="preserve">appears to </w:t>
      </w:r>
      <w:r w:rsidR="00E874E7">
        <w:t>align with its</w:t>
      </w:r>
      <w:r w:rsidR="00FA2C59">
        <w:t xml:space="preserve"> asset-light business model, </w:t>
      </w:r>
      <w:r w:rsidR="00EE0A16">
        <w:t>rather than t</w:t>
      </w:r>
      <w:r w:rsidR="00FA2C59">
        <w:t>o cover loss</w:t>
      </w:r>
      <w:r w:rsidR="00EE0A16">
        <w:t>es</w:t>
      </w:r>
      <w:r w:rsidR="00FA2C59">
        <w:t xml:space="preserve"> from</w:t>
      </w:r>
      <w:r w:rsidR="00EE0A16">
        <w:t xml:space="preserve"> </w:t>
      </w:r>
      <w:r w:rsidR="00FA2C59">
        <w:t>declining business</w:t>
      </w:r>
      <w:r w:rsidR="00EE0A16">
        <w:t xml:space="preserve"> operations</w:t>
      </w:r>
      <w:r w:rsidR="00FA2C59">
        <w:t>.</w:t>
      </w:r>
    </w:p>
    <w:p w14:paraId="465E8F6C" w14:textId="79BB37F5" w:rsidR="0045783C" w:rsidRDefault="0045783C" w:rsidP="0045783C">
      <w:pPr>
        <w:ind w:firstLine="720"/>
      </w:pPr>
      <w:r>
        <w:t xml:space="preserve">The cash flow pattern of </w:t>
      </w:r>
      <w:r w:rsidRPr="00ED67AC">
        <w:rPr>
          <w:b/>
          <w:bCs/>
        </w:rPr>
        <w:t>“+,</w:t>
      </w:r>
      <w:r w:rsidR="00ED67AC">
        <w:rPr>
          <w:b/>
          <w:bCs/>
        </w:rPr>
        <w:t xml:space="preserve"> </w:t>
      </w:r>
      <w:r w:rsidRPr="00ED67AC">
        <w:rPr>
          <w:b/>
          <w:bCs/>
        </w:rPr>
        <w:t>+,</w:t>
      </w:r>
      <w:r w:rsidR="00ED67AC">
        <w:rPr>
          <w:b/>
          <w:bCs/>
        </w:rPr>
        <w:t xml:space="preserve"> </w:t>
      </w:r>
      <w:r w:rsidRPr="00ED67AC">
        <w:rPr>
          <w:b/>
          <w:bCs/>
        </w:rPr>
        <w:t>-“</w:t>
      </w:r>
      <w:r>
        <w:t xml:space="preserve"> in 202</w:t>
      </w:r>
      <w:r w:rsidR="009C4691">
        <w:t xml:space="preserve">1 and 2022 indicates that the company </w:t>
      </w:r>
      <w:r w:rsidR="00ED67AC">
        <w:t>was</w:t>
      </w:r>
      <w:r w:rsidR="009C4691">
        <w:t xml:space="preserve"> trying to improve its capital structure by generating cash from operating and investing activities (sale of assets, securities, etc.) and actively using them </w:t>
      </w:r>
      <w:r w:rsidR="005B1FE6">
        <w:t>to service its debt or improve its equity structure.</w:t>
      </w:r>
      <w:r w:rsidR="00397F4A">
        <w:t xml:space="preserve"> The positive cash flows from investing activities in th</w:t>
      </w:r>
      <w:r w:rsidR="004D5C14">
        <w:t>ose</w:t>
      </w:r>
      <w:r w:rsidR="00397F4A">
        <w:t xml:space="preserve"> two years were due primarily to proceeds from real estate transactions</w:t>
      </w:r>
      <w:r w:rsidR="00AD0FCB">
        <w:t xml:space="preserve">, which aligned with </w:t>
      </w:r>
      <w:r w:rsidR="00116FA2">
        <w:t>MGM’s</w:t>
      </w:r>
      <w:r w:rsidR="00AD0FCB">
        <w:t xml:space="preserve"> asset-light strategy</w:t>
      </w:r>
      <w:r w:rsidR="00397F4A">
        <w:t xml:space="preserve">, partially offset by </w:t>
      </w:r>
      <w:r w:rsidR="002B4EB4">
        <w:t>acquisitions costs</w:t>
      </w:r>
      <w:r w:rsidR="00757EA3">
        <w:t>.</w:t>
      </w:r>
    </w:p>
    <w:p w14:paraId="672BFA90" w14:textId="3F3BCA28" w:rsidR="00971841" w:rsidRDefault="00971841" w:rsidP="0045783C">
      <w:pPr>
        <w:ind w:firstLine="720"/>
      </w:pPr>
      <w:r>
        <w:t xml:space="preserve">The cash flow pattern of </w:t>
      </w:r>
      <w:r w:rsidRPr="00ED67AC">
        <w:rPr>
          <w:b/>
          <w:bCs/>
        </w:rPr>
        <w:t>“+,</w:t>
      </w:r>
      <w:r>
        <w:rPr>
          <w:b/>
          <w:bCs/>
        </w:rPr>
        <w:t xml:space="preserve"> -</w:t>
      </w:r>
      <w:r w:rsidRPr="00ED67AC">
        <w:rPr>
          <w:b/>
          <w:bCs/>
        </w:rPr>
        <w:t>,</w:t>
      </w:r>
      <w:r>
        <w:rPr>
          <w:b/>
          <w:bCs/>
        </w:rPr>
        <w:t xml:space="preserve"> </w:t>
      </w:r>
      <w:r w:rsidRPr="00ED67AC">
        <w:rPr>
          <w:b/>
          <w:bCs/>
        </w:rPr>
        <w:t>-“</w:t>
      </w:r>
      <w:r>
        <w:t xml:space="preserve"> in 2023 and 2024 </w:t>
      </w:r>
      <w:r w:rsidR="008A1EEE">
        <w:t xml:space="preserve">is </w:t>
      </w:r>
      <w:r w:rsidR="0008177E">
        <w:t>typically</w:t>
      </w:r>
      <w:r w:rsidR="008A1EEE">
        <w:t xml:space="preserve"> one of the healthiest cash flow patterns</w:t>
      </w:r>
      <w:r w:rsidR="008B59C4">
        <w:t xml:space="preserve"> a company</w:t>
      </w:r>
      <w:r w:rsidR="008A1EEE">
        <w:t xml:space="preserve"> can have</w:t>
      </w:r>
      <w:r w:rsidR="008B59C4">
        <w:t>,</w:t>
      </w:r>
      <w:r w:rsidR="008A1EEE">
        <w:t xml:space="preserve"> as </w:t>
      </w:r>
      <w:r w:rsidR="008B59C4">
        <w:t>it</w:t>
      </w:r>
      <w:r w:rsidR="006A64FD">
        <w:t xml:space="preserve"> generates sufficient cash from operating activities and use it not only </w:t>
      </w:r>
      <w:r w:rsidR="00BF3A08">
        <w:t>to maintain</w:t>
      </w:r>
      <w:r w:rsidR="00521F8B">
        <w:t xml:space="preserve"> and/or grow its</w:t>
      </w:r>
      <w:r w:rsidR="006A64FD">
        <w:t xml:space="preserve"> businesses</w:t>
      </w:r>
      <w:r w:rsidR="000E48A8">
        <w:t xml:space="preserve"> but also</w:t>
      </w:r>
      <w:r w:rsidR="00521F8B">
        <w:t xml:space="preserve"> to</w:t>
      </w:r>
      <w:r w:rsidR="000E48A8">
        <w:t xml:space="preserve"> improve its capital </w:t>
      </w:r>
      <w:r w:rsidR="00934DCD">
        <w:t xml:space="preserve">structure (liabilities and/or equity). </w:t>
      </w:r>
      <w:r w:rsidR="00733D0C">
        <w:t>Since</w:t>
      </w:r>
      <w:r w:rsidR="00B1687C">
        <w:t xml:space="preserve"> </w:t>
      </w:r>
      <w:r w:rsidR="00733D0C">
        <w:t>the VICI Transaction was complete</w:t>
      </w:r>
      <w:r w:rsidR="00323A44">
        <w:t>d</w:t>
      </w:r>
      <w:r w:rsidR="00C3751E">
        <w:t xml:space="preserve"> in 2022</w:t>
      </w:r>
      <w:r w:rsidR="00733D0C">
        <w:t xml:space="preserve">, MGM has leased all properties, so </w:t>
      </w:r>
      <w:r w:rsidR="00C3751E">
        <w:t>th</w:t>
      </w:r>
      <w:r w:rsidR="00323A44">
        <w:t>ere</w:t>
      </w:r>
      <w:r w:rsidR="00733D0C">
        <w:t xml:space="preserve"> </w:t>
      </w:r>
      <w:r w:rsidR="00C3751E">
        <w:t>have</w:t>
      </w:r>
      <w:r w:rsidR="00323A44">
        <w:t xml:space="preserve"> been</w:t>
      </w:r>
      <w:r w:rsidR="00C3751E">
        <w:t xml:space="preserve"> no proc</w:t>
      </w:r>
      <w:r w:rsidR="00133B48">
        <w:t>eeds</w:t>
      </w:r>
      <w:r w:rsidR="00C3751E">
        <w:t xml:space="preserve"> from real estate transactions</w:t>
      </w:r>
      <w:r w:rsidR="00323A44">
        <w:t>, and the company has primarily focused on</w:t>
      </w:r>
      <w:r w:rsidR="004237C5">
        <w:t xml:space="preserve"> capital expenditures</w:t>
      </w:r>
      <w:r w:rsidR="00A62444">
        <w:t>,</w:t>
      </w:r>
      <w:r w:rsidR="004237C5">
        <w:t xml:space="preserve"> </w:t>
      </w:r>
      <w:r w:rsidR="00A62444">
        <w:t>resulting</w:t>
      </w:r>
      <w:r w:rsidR="00C3751E">
        <w:t xml:space="preserve"> in negative cash flows from investing activities in 2023 and 2024.</w:t>
      </w:r>
      <w:r w:rsidR="00BA6BDA">
        <w:t xml:space="preserve"> </w:t>
      </w:r>
      <w:r w:rsidR="00280CEE">
        <w:t xml:space="preserve">The company also used a </w:t>
      </w:r>
      <w:r w:rsidR="00A62444">
        <w:t>significant amount of</w:t>
      </w:r>
      <w:r w:rsidR="00280CEE">
        <w:t xml:space="preserve"> cash to service its debt and repurchase shares.</w:t>
      </w:r>
    </w:p>
    <w:p w14:paraId="32296042" w14:textId="77777777" w:rsidR="009D500C" w:rsidRDefault="009D500C" w:rsidP="009D500C"/>
    <w:p w14:paraId="43196B21" w14:textId="18377517" w:rsidR="009D500C" w:rsidRPr="006007E3" w:rsidRDefault="009D500C" w:rsidP="009D500C">
      <w:pPr>
        <w:ind w:left="360"/>
      </w:pPr>
      <w:r>
        <w:t>(Ratio)</w:t>
      </w:r>
      <w:r>
        <w:rPr>
          <w:b/>
          <w:bCs/>
          <w:i/>
          <w:iCs/>
        </w:rPr>
        <w:t xml:space="preserve"> The company </w:t>
      </w:r>
      <w:r w:rsidR="00697A95">
        <w:rPr>
          <w:b/>
          <w:bCs/>
          <w:i/>
          <w:iCs/>
        </w:rPr>
        <w:t>suspended</w:t>
      </w:r>
      <w:r>
        <w:rPr>
          <w:b/>
          <w:bCs/>
          <w:i/>
          <w:iCs/>
        </w:rPr>
        <w:t xml:space="preserve"> dividends in 2023</w:t>
      </w:r>
      <w:r w:rsidRPr="00B04B43">
        <w:rPr>
          <w:b/>
          <w:bCs/>
          <w:i/>
          <w:iCs/>
        </w:rPr>
        <w:t>.</w:t>
      </w:r>
    </w:p>
    <w:p w14:paraId="4F6E55E3" w14:textId="4FC87D0D" w:rsidR="006F6E2A" w:rsidRDefault="00725F47" w:rsidP="00385A62">
      <w:pPr>
        <w:ind w:firstLine="720"/>
      </w:pPr>
      <w:r>
        <w:t xml:space="preserve">MGM implemented a dividend program </w:t>
      </w:r>
      <w:r w:rsidR="00494C2D">
        <w:t>in 2017</w:t>
      </w:r>
      <w:r w:rsidR="00F50F8C">
        <w:t xml:space="preserve"> but</w:t>
      </w:r>
      <w:r w:rsidR="00966FA0">
        <w:t xml:space="preserve"> </w:t>
      </w:r>
      <w:r w:rsidR="00966FA0">
        <w:t>significantly</w:t>
      </w:r>
      <w:r w:rsidR="00F50F8C">
        <w:t xml:space="preserve"> reduced the amount</w:t>
      </w:r>
      <w:r w:rsidR="00966FA0">
        <w:t xml:space="preserve"> </w:t>
      </w:r>
      <w:r w:rsidR="00F50F8C">
        <w:t>in 2020 in response to the Covid-19 pandemic</w:t>
      </w:r>
      <w:r w:rsidR="009D500C">
        <w:t>.</w:t>
      </w:r>
      <w:r w:rsidR="00ED57A0">
        <w:t xml:space="preserve"> </w:t>
      </w:r>
      <w:r w:rsidR="00966FA0">
        <w:t>Additionally</w:t>
      </w:r>
      <w:r w:rsidR="0091761C">
        <w:t xml:space="preserve">, the company suspended its regular dividends </w:t>
      </w:r>
      <w:r w:rsidR="00F57703">
        <w:t>in 2023 to focus on its preferred method of returning value to shareholders through its share repurchase plan.</w:t>
      </w:r>
    </w:p>
    <w:p w14:paraId="29046747" w14:textId="19243D69" w:rsidR="00EC39DC" w:rsidRDefault="00BD10B3" w:rsidP="00385A62">
      <w:pPr>
        <w:ind w:firstLine="720"/>
      </w:pPr>
      <w:r>
        <w:t xml:space="preserve">Dividends </w:t>
      </w:r>
      <w:r w:rsidR="00B14706">
        <w:t xml:space="preserve">usually </w:t>
      </w:r>
      <w:r w:rsidR="00C10B0B">
        <w:t xml:space="preserve">make sense when </w:t>
      </w:r>
      <w:r w:rsidR="00B14706">
        <w:t xml:space="preserve">a company is mature and stable with predictable cash flow or </w:t>
      </w:r>
      <w:r w:rsidR="00DD0E42">
        <w:t xml:space="preserve">when </w:t>
      </w:r>
      <w:r w:rsidR="000245D6">
        <w:t>a company wants to signal long-term strength</w:t>
      </w:r>
      <w:r w:rsidR="00D04388">
        <w:t xml:space="preserve">. </w:t>
      </w:r>
      <w:r w:rsidR="00D0653F">
        <w:t>Examples include</w:t>
      </w:r>
      <w:r w:rsidR="007D7E12">
        <w:t xml:space="preserve">, but </w:t>
      </w:r>
      <w:r w:rsidR="001A6E56">
        <w:t xml:space="preserve">are </w:t>
      </w:r>
      <w:r w:rsidR="007D7E12">
        <w:t xml:space="preserve">not limited to, Coca-Cola and Sysco. These companies often don’t need to reinvest as aggressively for growth </w:t>
      </w:r>
      <w:r w:rsidR="00673934">
        <w:t>because</w:t>
      </w:r>
      <w:r w:rsidR="007D7E12">
        <w:t xml:space="preserve"> the market is </w:t>
      </w:r>
      <w:r w:rsidR="00486734">
        <w:t>mature. Dividends</w:t>
      </w:r>
      <w:r w:rsidR="00B14706">
        <w:t xml:space="preserve"> </w:t>
      </w:r>
      <w:r>
        <w:t>create an expectation of consistent payouts</w:t>
      </w:r>
      <w:r w:rsidR="00647CCE">
        <w:t>, and o</w:t>
      </w:r>
      <w:r>
        <w:t xml:space="preserve">nce a company starts paying them, cutting </w:t>
      </w:r>
      <w:r w:rsidR="00987E74">
        <w:t xml:space="preserve">or suspending them can signal financial trouble to investors. </w:t>
      </w:r>
    </w:p>
    <w:p w14:paraId="10777C7E" w14:textId="509D97C9" w:rsidR="006F6E2A" w:rsidRDefault="00D65A34" w:rsidP="009D500C">
      <w:pPr>
        <w:ind w:firstLine="720"/>
      </w:pPr>
      <w:r>
        <w:t xml:space="preserve">In MGM’s case, </w:t>
      </w:r>
      <w:r w:rsidR="00A27025">
        <w:t xml:space="preserve">while its intention to initiate dividends was not clear from their annual report, </w:t>
      </w:r>
      <w:r w:rsidR="0019390B">
        <w:t>shifting its focus more to share repurchases seems to make more sense</w:t>
      </w:r>
      <w:r w:rsidR="005268BF">
        <w:t>,</w:t>
      </w:r>
      <w:r w:rsidR="0019390B">
        <w:t xml:space="preserve"> given that </w:t>
      </w:r>
      <w:r w:rsidR="001F0A3D">
        <w:t xml:space="preserve">share buybacks are more discretionary </w:t>
      </w:r>
      <w:r w:rsidR="00795C91">
        <w:t>and offer</w:t>
      </w:r>
      <w:r w:rsidR="001F0A3D">
        <w:t xml:space="preserve"> </w:t>
      </w:r>
      <w:r w:rsidR="00795C91">
        <w:t>great</w:t>
      </w:r>
      <w:r w:rsidR="004148FA">
        <w:t>er</w:t>
      </w:r>
      <w:r w:rsidR="00795C91">
        <w:t xml:space="preserve"> flexibility in capital allocation</w:t>
      </w:r>
      <w:r w:rsidR="004148FA">
        <w:t>.</w:t>
      </w:r>
      <w:r w:rsidR="007E2409">
        <w:t xml:space="preserve"> </w:t>
      </w:r>
      <w:r w:rsidR="004148FA">
        <w:t>T</w:t>
      </w:r>
      <w:r w:rsidR="007E2409">
        <w:t>he company</w:t>
      </w:r>
      <w:r w:rsidR="004148FA">
        <w:t xml:space="preserve"> has</w:t>
      </w:r>
      <w:r w:rsidR="007E2409">
        <w:t xml:space="preserve"> </w:t>
      </w:r>
      <w:r w:rsidR="00553D23">
        <w:t xml:space="preserve">monetized through the real estate transactions and </w:t>
      </w:r>
      <w:r w:rsidR="007E2409">
        <w:t>has been pivoting</w:t>
      </w:r>
      <w:r w:rsidR="00CA167F">
        <w:t xml:space="preserve"> towards</w:t>
      </w:r>
      <w:r w:rsidR="007E2409">
        <w:t xml:space="preserve"> digital gaming and international markets</w:t>
      </w:r>
      <w:r w:rsidR="00CA167F">
        <w:t>.</w:t>
      </w:r>
      <w:r w:rsidR="00E825BC">
        <w:t xml:space="preserve"> </w:t>
      </w:r>
      <w:r w:rsidR="00591B87">
        <w:t xml:space="preserve"> </w:t>
      </w:r>
      <w:r w:rsidR="00F03693">
        <w:t xml:space="preserve"> </w:t>
      </w:r>
      <w:r>
        <w:t xml:space="preserve"> </w:t>
      </w:r>
    </w:p>
    <w:p w14:paraId="36E3BC3C" w14:textId="77777777" w:rsidR="001A5E90" w:rsidRDefault="001A5E90" w:rsidP="009D500C">
      <w:pPr>
        <w:ind w:firstLine="720"/>
      </w:pPr>
    </w:p>
    <w:p w14:paraId="2345AB3C" w14:textId="3CE0D960" w:rsidR="006F6E2A" w:rsidRPr="006007E3" w:rsidRDefault="006F6E2A" w:rsidP="006F6E2A">
      <w:pPr>
        <w:ind w:left="360"/>
      </w:pPr>
      <w:r>
        <w:t>(Debt)</w:t>
      </w:r>
      <w:r>
        <w:rPr>
          <w:b/>
          <w:bCs/>
          <w:i/>
          <w:iCs/>
        </w:rPr>
        <w:t xml:space="preserve"> The company has significant debt maturities in 2026 and 2027</w:t>
      </w:r>
      <w:r w:rsidRPr="00B04B43">
        <w:rPr>
          <w:b/>
          <w:bCs/>
          <w:i/>
          <w:iCs/>
        </w:rPr>
        <w:t>.</w:t>
      </w:r>
    </w:p>
    <w:p w14:paraId="42C6E7E0" w14:textId="2227F5F6" w:rsidR="006F6E2A" w:rsidRDefault="00576019" w:rsidP="006F6E2A">
      <w:pPr>
        <w:ind w:firstLine="720"/>
      </w:pPr>
      <w:r>
        <w:t xml:space="preserve">MGM’s free cash flow, together with </w:t>
      </w:r>
      <w:r w:rsidR="00021DD1">
        <w:t xml:space="preserve">available cash under its credit facilities, </w:t>
      </w:r>
      <w:r w:rsidR="00A07654">
        <w:t>appears</w:t>
      </w:r>
      <w:r w:rsidR="00021DD1">
        <w:t xml:space="preserve"> to be sufficient to service future debt obligations</w:t>
      </w:r>
      <w:r w:rsidR="006F6E2A">
        <w:t>.</w:t>
      </w:r>
      <w:r w:rsidR="00021DD1">
        <w:t xml:space="preserve"> </w:t>
      </w:r>
      <w:r w:rsidR="006E51DD">
        <w:t>The company</w:t>
      </w:r>
      <w:r w:rsidR="009D3BF2">
        <w:t xml:space="preserve">’s historical </w:t>
      </w:r>
      <w:r w:rsidR="006C2F3D">
        <w:t>track record of repaying the long-term portion of debt in advance</w:t>
      </w:r>
      <w:r w:rsidR="00AE39F7">
        <w:t xml:space="preserve"> also indicates that MGM will likely repay some portion of the 2026 and 2027 maturities in 2025</w:t>
      </w:r>
      <w:r w:rsidR="00540CBD">
        <w:t>.</w:t>
      </w:r>
      <w:r w:rsidR="009D3BF2">
        <w:t xml:space="preserve"> </w:t>
      </w:r>
    </w:p>
    <w:p w14:paraId="1D7EC484" w14:textId="77777777" w:rsidR="006F6E2A" w:rsidRDefault="006F6E2A" w:rsidP="009D500C">
      <w:pPr>
        <w:ind w:firstLine="720"/>
      </w:pPr>
    </w:p>
    <w:p w14:paraId="329C8351" w14:textId="188D5E6A" w:rsidR="00702C29" w:rsidRDefault="00702C29">
      <w:r>
        <w:br w:type="page"/>
      </w:r>
    </w:p>
    <w:p w14:paraId="02BC4C0E" w14:textId="1F1BC97E" w:rsidR="009617A6" w:rsidRDefault="009617A6" w:rsidP="00110503">
      <w:bookmarkStart w:id="33" w:name="_Toc193219086"/>
      <w:r w:rsidRPr="00110503">
        <w:rPr>
          <w:rStyle w:val="Heading1Char"/>
        </w:rPr>
        <w:lastRenderedPageBreak/>
        <w:t>Final Notes</w:t>
      </w:r>
      <w:bookmarkEnd w:id="32"/>
      <w:bookmarkEnd w:id="33"/>
    </w:p>
    <w:p w14:paraId="0CBE7767" w14:textId="77777777" w:rsidR="009617A6" w:rsidRPr="000E04DA" w:rsidRDefault="009617A6" w:rsidP="009617A6"/>
    <w:p w14:paraId="01F75462" w14:textId="77777777" w:rsidR="009617A6" w:rsidRDefault="009617A6" w:rsidP="009617A6">
      <w:pPr>
        <w:pStyle w:val="Heading2"/>
      </w:pPr>
      <w:bookmarkStart w:id="34" w:name="_Toc189136889"/>
      <w:bookmarkStart w:id="35" w:name="_Toc193219087"/>
      <w:r>
        <w:t>Capital Structure</w:t>
      </w:r>
      <w:bookmarkEnd w:id="34"/>
      <w:bookmarkEnd w:id="35"/>
    </w:p>
    <w:p w14:paraId="682DBFB2" w14:textId="3CEEC66C" w:rsidR="003E5C58" w:rsidRDefault="00E75A5B" w:rsidP="003E5C58">
      <w:pPr>
        <w:pStyle w:val="ListParagraph"/>
        <w:numPr>
          <w:ilvl w:val="0"/>
          <w:numId w:val="32"/>
        </w:numPr>
      </w:pPr>
      <w:r>
        <w:t>Decreased equity and increased</w:t>
      </w:r>
      <w:r w:rsidR="00F738CC">
        <w:t xml:space="preserve"> </w:t>
      </w:r>
      <w:r w:rsidR="00CD0F8C">
        <w:t>lease</w:t>
      </w:r>
      <w:r w:rsidR="00F738CC">
        <w:t xml:space="preserve"> liabilities</w:t>
      </w:r>
      <w:r w:rsidR="00CD0F8C">
        <w:t xml:space="preserve"> align with</w:t>
      </w:r>
      <w:r>
        <w:t xml:space="preserve"> </w:t>
      </w:r>
      <w:r w:rsidR="00CD0F8C">
        <w:t>its</w:t>
      </w:r>
      <w:r>
        <w:t xml:space="preserve"> asset-light business model</w:t>
      </w:r>
      <w:r w:rsidR="00FA1D50">
        <w:t>.</w:t>
      </w:r>
    </w:p>
    <w:p w14:paraId="45C29851" w14:textId="4FFBEE34" w:rsidR="003E5C58" w:rsidRDefault="00231712" w:rsidP="004B688E">
      <w:pPr>
        <w:pStyle w:val="ListParagraph"/>
        <w:numPr>
          <w:ilvl w:val="0"/>
          <w:numId w:val="32"/>
        </w:numPr>
      </w:pPr>
      <w:r>
        <w:t xml:space="preserve">MGM’s equity </w:t>
      </w:r>
      <w:r w:rsidR="007C3AA6">
        <w:t>primarily</w:t>
      </w:r>
      <w:r>
        <w:t xml:space="preserve"> consists of retained earnings, reflecting its strong historical performance.</w:t>
      </w:r>
    </w:p>
    <w:p w14:paraId="21051CBB" w14:textId="4273499C" w:rsidR="009617A6" w:rsidRDefault="009617A6" w:rsidP="009617A6">
      <w:pPr>
        <w:pStyle w:val="Heading2"/>
      </w:pPr>
      <w:bookmarkStart w:id="36" w:name="_Toc189136891"/>
      <w:bookmarkStart w:id="37" w:name="_Toc193219088"/>
      <w:r>
        <w:t>Revenue &amp; Profitability</w:t>
      </w:r>
      <w:bookmarkEnd w:id="36"/>
      <w:bookmarkEnd w:id="37"/>
    </w:p>
    <w:p w14:paraId="4CCBA91A" w14:textId="7B80E68C" w:rsidR="0071010F" w:rsidRDefault="007C3AA6" w:rsidP="0071010F">
      <w:pPr>
        <w:pStyle w:val="ListParagraph"/>
        <w:numPr>
          <w:ilvl w:val="0"/>
          <w:numId w:val="32"/>
        </w:numPr>
      </w:pPr>
      <w:r>
        <w:t xml:space="preserve">Net profit margin less than </w:t>
      </w:r>
      <w:r w:rsidR="005B6BF7">
        <w:t xml:space="preserve">10% </w:t>
      </w:r>
      <w:r w:rsidR="00F04A0F">
        <w:t xml:space="preserve">due to </w:t>
      </w:r>
      <w:r w:rsidR="005B6BF7">
        <w:t>its labor-intensive</w:t>
      </w:r>
      <w:r w:rsidR="00F04A0F">
        <w:t xml:space="preserve"> business mode</w:t>
      </w:r>
      <w:r w:rsidR="009055BB">
        <w:t>l</w:t>
      </w:r>
      <w:r w:rsidR="00821779">
        <w:t xml:space="preserve"> </w:t>
      </w:r>
      <w:r w:rsidR="00EB1565">
        <w:t>and significant</w:t>
      </w:r>
      <w:r w:rsidR="00821779">
        <w:t xml:space="preserve"> lease payments</w:t>
      </w:r>
      <w:r w:rsidR="000D0D7A">
        <w:t>.</w:t>
      </w:r>
    </w:p>
    <w:p w14:paraId="4A542D22" w14:textId="6022661B" w:rsidR="000F533D" w:rsidRDefault="002339DA" w:rsidP="0071010F">
      <w:pPr>
        <w:pStyle w:val="ListParagraph"/>
        <w:numPr>
          <w:ilvl w:val="0"/>
          <w:numId w:val="32"/>
        </w:numPr>
      </w:pPr>
      <w:r>
        <w:t>Over half of the net revenue from its Las Vegas Strip Resorts is typically derived from non-gaming operations, including hotel, food and beverage, entertainment and other non-gaming amenities, and the majority of the net revenue from its Regional Operations</w:t>
      </w:r>
      <w:r w:rsidR="006E7561">
        <w:t xml:space="preserve"> and MGM China</w:t>
      </w:r>
      <w:r>
        <w:t xml:space="preserve"> is typically derived from gaming operations.</w:t>
      </w:r>
    </w:p>
    <w:p w14:paraId="6C2B80F1" w14:textId="27F0B951" w:rsidR="000D0D7A" w:rsidRDefault="00843886" w:rsidP="0071010F">
      <w:pPr>
        <w:pStyle w:val="ListParagraph"/>
        <w:numPr>
          <w:ilvl w:val="0"/>
          <w:numId w:val="32"/>
        </w:numPr>
      </w:pPr>
      <w:r>
        <w:t xml:space="preserve">Revenue </w:t>
      </w:r>
      <w:r w:rsidR="00EF7D02">
        <w:t>has grown</w:t>
      </w:r>
      <w:r w:rsidR="000F533D">
        <w:t xml:space="preserve">, </w:t>
      </w:r>
      <w:r w:rsidR="00440EF7">
        <w:t>particularly</w:t>
      </w:r>
      <w:r>
        <w:t xml:space="preserve"> in digital and international segments</w:t>
      </w:r>
      <w:r w:rsidR="00911645">
        <w:t>.</w:t>
      </w:r>
    </w:p>
    <w:p w14:paraId="0BBD8190" w14:textId="77777777" w:rsidR="009617A6" w:rsidRDefault="009617A6" w:rsidP="009617A6">
      <w:pPr>
        <w:pStyle w:val="Heading2"/>
      </w:pPr>
      <w:bookmarkStart w:id="38" w:name="_Toc189136892"/>
      <w:bookmarkStart w:id="39" w:name="_Toc193219089"/>
      <w:r>
        <w:t>Liquidity &amp; Solvency</w:t>
      </w:r>
      <w:bookmarkEnd w:id="38"/>
      <w:bookmarkEnd w:id="39"/>
    </w:p>
    <w:p w14:paraId="4C547598" w14:textId="16E226C9" w:rsidR="009617A6" w:rsidRDefault="009617A6" w:rsidP="009617A6">
      <w:pPr>
        <w:pStyle w:val="ListParagraph"/>
        <w:numPr>
          <w:ilvl w:val="0"/>
          <w:numId w:val="32"/>
        </w:numPr>
      </w:pPr>
      <w:r>
        <w:t xml:space="preserve">Strong </w:t>
      </w:r>
      <w:r w:rsidR="00D65BD2">
        <w:t>free cash flow and working capital.</w:t>
      </w:r>
    </w:p>
    <w:p w14:paraId="7DE7F021" w14:textId="6BABDF9E" w:rsidR="00234633" w:rsidRPr="00234633" w:rsidRDefault="009617A6" w:rsidP="00234633">
      <w:pPr>
        <w:pStyle w:val="Heading2"/>
      </w:pPr>
      <w:bookmarkStart w:id="40" w:name="_Toc189136893"/>
      <w:bookmarkStart w:id="41" w:name="_Toc193219090"/>
      <w:r>
        <w:t>Cash Flow</w:t>
      </w:r>
      <w:bookmarkEnd w:id="40"/>
      <w:bookmarkEnd w:id="41"/>
    </w:p>
    <w:p w14:paraId="3649E63F" w14:textId="0DB36169" w:rsidR="00234633" w:rsidRDefault="00234633" w:rsidP="003411BC">
      <w:pPr>
        <w:pStyle w:val="ListParagraph"/>
        <w:numPr>
          <w:ilvl w:val="0"/>
          <w:numId w:val="32"/>
        </w:numPr>
      </w:pPr>
      <w:r>
        <w:t>Steady cash flows from operating activities</w:t>
      </w:r>
    </w:p>
    <w:p w14:paraId="562CB8E3" w14:textId="4E44CEE7" w:rsidR="009617A6" w:rsidRDefault="0020766E" w:rsidP="003411BC">
      <w:pPr>
        <w:pStyle w:val="ListParagraph"/>
        <w:numPr>
          <w:ilvl w:val="0"/>
          <w:numId w:val="32"/>
        </w:numPr>
      </w:pPr>
      <w:r>
        <w:t>Actively sold</w:t>
      </w:r>
      <w:r w:rsidR="00A9136A">
        <w:t xml:space="preserve"> real estate until 2022</w:t>
      </w:r>
      <w:r w:rsidR="00D97598">
        <w:t>,</w:t>
      </w:r>
      <w:r w:rsidR="007B7DB5">
        <w:t xml:space="preserve"> but</w:t>
      </w:r>
      <w:r>
        <w:t xml:space="preserve"> its</w:t>
      </w:r>
      <w:r w:rsidR="007B7DB5">
        <w:t xml:space="preserve"> main invest</w:t>
      </w:r>
      <w:r w:rsidR="00D97598">
        <w:t>ing activities</w:t>
      </w:r>
      <w:r w:rsidR="007B7DB5">
        <w:t xml:space="preserve"> since 2023 h</w:t>
      </w:r>
      <w:r w:rsidR="00D97598">
        <w:t>ave</w:t>
      </w:r>
      <w:r w:rsidR="007B7DB5">
        <w:t xml:space="preserve"> been capital expenditures.</w:t>
      </w:r>
    </w:p>
    <w:p w14:paraId="3D66F5ED" w14:textId="63E48A55" w:rsidR="00234633" w:rsidRDefault="00D97598" w:rsidP="0054421D">
      <w:pPr>
        <w:pStyle w:val="ListParagraph"/>
        <w:numPr>
          <w:ilvl w:val="0"/>
          <w:numId w:val="32"/>
        </w:numPr>
      </w:pPr>
      <w:r>
        <w:t xml:space="preserve">Actively </w:t>
      </w:r>
      <w:r w:rsidR="0054421D">
        <w:t>repurchasing shares while also servicing debt</w:t>
      </w:r>
      <w:r w:rsidR="006B746A">
        <w:t>.</w:t>
      </w:r>
    </w:p>
    <w:p w14:paraId="1F6398BC" w14:textId="77777777" w:rsidR="00004FF0" w:rsidRDefault="00004FF0" w:rsidP="00004FF0"/>
    <w:p w14:paraId="3CD0B057" w14:textId="1839E5EF" w:rsidR="00004FF0" w:rsidRDefault="00004FF0" w:rsidP="00004FF0">
      <w:r>
        <w:t xml:space="preserve">The casino and hospitality industry has </w:t>
      </w:r>
      <w:r w:rsidR="00133138">
        <w:t>undergone</w:t>
      </w:r>
      <w:r>
        <w:t xml:space="preserve"> rapid and significant changes </w:t>
      </w:r>
      <w:r w:rsidR="00133138">
        <w:t>recently</w:t>
      </w:r>
      <w:r>
        <w:t xml:space="preserve">, including </w:t>
      </w:r>
      <w:r w:rsidR="00C21668">
        <w:t xml:space="preserve">sports-betting, online gaming, </w:t>
      </w:r>
      <w:r w:rsidR="00133138">
        <w:t xml:space="preserve">and evolving </w:t>
      </w:r>
      <w:r w:rsidR="00C21668">
        <w:t>customer preferences. MGM</w:t>
      </w:r>
      <w:r w:rsidR="005D30C5">
        <w:t xml:space="preserve">’s management </w:t>
      </w:r>
      <w:r w:rsidR="00D725FD">
        <w:t xml:space="preserve">appears </w:t>
      </w:r>
      <w:r w:rsidR="005D30C5">
        <w:t xml:space="preserve">to be very </w:t>
      </w:r>
      <w:r w:rsidR="000D6E24">
        <w:t>responsive to these changes</w:t>
      </w:r>
      <w:r w:rsidR="000462B3">
        <w:t xml:space="preserve">. BetMGM </w:t>
      </w:r>
      <w:r w:rsidR="00D725FD">
        <w:t>has</w:t>
      </w:r>
      <w:r w:rsidR="00A509A8">
        <w:t xml:space="preserve"> already </w:t>
      </w:r>
      <w:r w:rsidR="00D725FD">
        <w:t xml:space="preserve">become </w:t>
      </w:r>
      <w:r w:rsidR="00A509A8">
        <w:t xml:space="preserve">one of the most </w:t>
      </w:r>
      <w:r w:rsidR="00D725FD">
        <w:t>well-</w:t>
      </w:r>
      <w:r w:rsidR="00A509A8">
        <w:t>known online gambling platforms</w:t>
      </w:r>
      <w:r w:rsidR="00E05985">
        <w:t xml:space="preserve">, alongside </w:t>
      </w:r>
      <w:r w:rsidR="00133EA0">
        <w:t>DraftKing</w:t>
      </w:r>
      <w:r w:rsidR="00E05985">
        <w:t>s</w:t>
      </w:r>
      <w:r w:rsidR="00133EA0">
        <w:t xml:space="preserve"> and FunDuel, and</w:t>
      </w:r>
      <w:r w:rsidR="00B223A8">
        <w:t xml:space="preserve"> is</w:t>
      </w:r>
      <w:r w:rsidR="00775B96">
        <w:t xml:space="preserve"> also invest</w:t>
      </w:r>
      <w:r w:rsidR="00B223A8">
        <w:t>ing</w:t>
      </w:r>
      <w:r w:rsidR="00775B96">
        <w:t xml:space="preserve"> in international markets, such as China and Japan.</w:t>
      </w:r>
      <w:r w:rsidR="00D72D76">
        <w:t xml:space="preserve"> </w:t>
      </w:r>
      <w:r w:rsidR="00B223A8">
        <w:t>Additionally</w:t>
      </w:r>
      <w:r w:rsidR="00D72D76">
        <w:t>,</w:t>
      </w:r>
      <w:r w:rsidR="00775B96">
        <w:t xml:space="preserve"> </w:t>
      </w:r>
      <w:r w:rsidR="00D72D76">
        <w:t>m</w:t>
      </w:r>
      <w:r w:rsidR="002E5640">
        <w:t>ore customers</w:t>
      </w:r>
      <w:r w:rsidR="00D72D76">
        <w:t>, especially younger generations,</w:t>
      </w:r>
      <w:r w:rsidR="00EF1708">
        <w:t xml:space="preserve"> are</w:t>
      </w:r>
      <w:r w:rsidR="002E5640">
        <w:t xml:space="preserve"> visit</w:t>
      </w:r>
      <w:r w:rsidR="00EF1708">
        <w:t>ing</w:t>
      </w:r>
      <w:r w:rsidR="002E5640">
        <w:t xml:space="preserve"> Las Vegas </w:t>
      </w:r>
      <w:r w:rsidR="00272A47">
        <w:t xml:space="preserve">to enjoy non-gaming </w:t>
      </w:r>
      <w:r w:rsidR="00D72D76">
        <w:t>offerings</w:t>
      </w:r>
      <w:r w:rsidR="00272A47">
        <w:t>, like restaurants, hotels, and entertainment, and MGM</w:t>
      </w:r>
      <w:r w:rsidR="00B94D24">
        <w:t xml:space="preserve"> has successfully increased revenues in these segments. </w:t>
      </w:r>
      <w:r w:rsidR="00272A47">
        <w:t xml:space="preserve"> </w:t>
      </w:r>
    </w:p>
    <w:p w14:paraId="2DA88C8D" w14:textId="77777777" w:rsidR="00BC2032" w:rsidRPr="00110503" w:rsidRDefault="00A867CB" w:rsidP="009A3EE4">
      <w:pPr>
        <w:pStyle w:val="Heading1"/>
      </w:pPr>
      <w:r>
        <w:br w:type="column"/>
      </w:r>
      <w:bookmarkStart w:id="42" w:name="_Toc193219091"/>
      <w:r w:rsidR="00BC2032" w:rsidRPr="00D249C5">
        <w:rPr>
          <w:rStyle w:val="Heading1Char"/>
        </w:rPr>
        <w:lastRenderedPageBreak/>
        <w:t>Supplemental Data</w:t>
      </w:r>
      <w:bookmarkEnd w:id="42"/>
    </w:p>
    <w:p w14:paraId="1F73FC4A" w14:textId="7D8CAB1C" w:rsidR="00BC2032" w:rsidRDefault="00702C29" w:rsidP="00BC2032">
      <w:pPr>
        <w:pStyle w:val="Heading2"/>
        <w:rPr>
          <w:sz w:val="28"/>
          <w:szCs w:val="28"/>
        </w:rPr>
      </w:pPr>
      <w:bookmarkStart w:id="43" w:name="_Hlk185434300"/>
      <w:bookmarkStart w:id="44" w:name="_Toc193219092"/>
      <w:r>
        <w:rPr>
          <w:sz w:val="28"/>
          <w:szCs w:val="28"/>
        </w:rPr>
        <w:t>MGM Resorts International</w:t>
      </w:r>
      <w:bookmarkEnd w:id="44"/>
    </w:p>
    <w:bookmarkEnd w:id="43"/>
    <w:p w14:paraId="406333C5" w14:textId="4A86961F" w:rsidR="008B1130" w:rsidRPr="005C013E" w:rsidRDefault="008B1130" w:rsidP="005C013E">
      <w:pPr>
        <w:pStyle w:val="Heading3"/>
      </w:pPr>
    </w:p>
    <w:p w14:paraId="7D16C2D8" w14:textId="557D3B92" w:rsidR="00F90664" w:rsidRDefault="00F90664" w:rsidP="00F90664">
      <w:pPr>
        <w:pStyle w:val="Heading3"/>
      </w:pPr>
      <w:bookmarkStart w:id="45" w:name="_Toc193219093"/>
      <w:r>
        <w:t>Historical Operating Expenses</w:t>
      </w:r>
      <w:bookmarkEnd w:id="45"/>
    </w:p>
    <w:p w14:paraId="71F11A72" w14:textId="3873B616" w:rsidR="00611564" w:rsidRPr="008B1130" w:rsidRDefault="008B1130" w:rsidP="00611564">
      <w:pPr>
        <w:rPr>
          <w:sz w:val="16"/>
          <w:szCs w:val="16"/>
        </w:rPr>
      </w:pPr>
      <w:r>
        <w:rPr>
          <w:sz w:val="16"/>
          <w:szCs w:val="16"/>
        </w:rPr>
        <w:t xml:space="preserve">(In </w:t>
      </w:r>
      <w:r w:rsidR="005C013E">
        <w:rPr>
          <w:sz w:val="16"/>
          <w:szCs w:val="16"/>
        </w:rPr>
        <w:t>Thousands</w:t>
      </w:r>
      <w:r>
        <w:rPr>
          <w:sz w:val="16"/>
          <w:szCs w:val="16"/>
        </w:rPr>
        <w:t>)</w:t>
      </w:r>
    </w:p>
    <w:p w14:paraId="16274D8A" w14:textId="4FC75E7E" w:rsidR="00611564" w:rsidRDefault="00D43D90" w:rsidP="00C97E6B">
      <w:pPr>
        <w:jc w:val="center"/>
      </w:pPr>
      <w:r w:rsidRPr="00D43D90">
        <w:drawing>
          <wp:inline distT="0" distB="0" distL="0" distR="0" wp14:anchorId="26DB920D" wp14:editId="545D703B">
            <wp:extent cx="6400800" cy="1075055"/>
            <wp:effectExtent l="0" t="0" r="0" b="0"/>
            <wp:docPr id="85177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1075055"/>
                    </a:xfrm>
                    <a:prstGeom prst="rect">
                      <a:avLst/>
                    </a:prstGeom>
                    <a:noFill/>
                    <a:ln>
                      <a:noFill/>
                    </a:ln>
                  </pic:spPr>
                </pic:pic>
              </a:graphicData>
            </a:graphic>
          </wp:inline>
        </w:drawing>
      </w:r>
    </w:p>
    <w:p w14:paraId="3BA36514" w14:textId="77777777" w:rsidR="00000C97" w:rsidRDefault="00000C97" w:rsidP="00000C97"/>
    <w:p w14:paraId="1802B109" w14:textId="3FD5D4D0" w:rsidR="00000C97" w:rsidRDefault="005663C8" w:rsidP="00393AE5">
      <w:pPr>
        <w:pStyle w:val="Heading3"/>
      </w:pPr>
      <w:bookmarkStart w:id="46" w:name="_Toc193219094"/>
      <w:r>
        <w:t xml:space="preserve">Historical </w:t>
      </w:r>
      <w:r w:rsidR="00201F1C">
        <w:t xml:space="preserve">Balance </w:t>
      </w:r>
      <w:r w:rsidR="00CD3BCA">
        <w:t>Sheet</w:t>
      </w:r>
      <w:r w:rsidR="00D04051">
        <w:t xml:space="preserve"> with % Change</w:t>
      </w:r>
      <w:bookmarkEnd w:id="46"/>
    </w:p>
    <w:p w14:paraId="61DC444D" w14:textId="5A7F2EF0" w:rsidR="00705C95" w:rsidRDefault="004E6091" w:rsidP="0036616F">
      <w:pPr>
        <w:jc w:val="center"/>
      </w:pPr>
      <w:r w:rsidRPr="004E6091">
        <w:drawing>
          <wp:inline distT="0" distB="0" distL="0" distR="0" wp14:anchorId="20D40E43" wp14:editId="56D61227">
            <wp:extent cx="6400800" cy="4635500"/>
            <wp:effectExtent l="0" t="0" r="0" b="0"/>
            <wp:docPr id="7762815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4635500"/>
                    </a:xfrm>
                    <a:prstGeom prst="rect">
                      <a:avLst/>
                    </a:prstGeom>
                    <a:noFill/>
                    <a:ln>
                      <a:noFill/>
                    </a:ln>
                  </pic:spPr>
                </pic:pic>
              </a:graphicData>
            </a:graphic>
          </wp:inline>
        </w:drawing>
      </w:r>
    </w:p>
    <w:p w14:paraId="391211D5" w14:textId="12C2155D" w:rsidR="00070AB3" w:rsidRDefault="00070AB3" w:rsidP="00070AB3">
      <w:pPr>
        <w:pStyle w:val="Heading3"/>
      </w:pPr>
      <w:bookmarkStart w:id="47" w:name="_Toc193219095"/>
      <w:r>
        <w:lastRenderedPageBreak/>
        <w:t>Historical Balance Sheet with % of Total</w:t>
      </w:r>
      <w:bookmarkEnd w:id="47"/>
    </w:p>
    <w:p w14:paraId="739FA382" w14:textId="6E793D87" w:rsidR="00070AB3" w:rsidRDefault="000F5012" w:rsidP="0036616F">
      <w:pPr>
        <w:jc w:val="center"/>
      </w:pPr>
      <w:r w:rsidRPr="000F5012">
        <w:drawing>
          <wp:inline distT="0" distB="0" distL="0" distR="0" wp14:anchorId="52129C0B" wp14:editId="6932D3C4">
            <wp:extent cx="6400800" cy="4350385"/>
            <wp:effectExtent l="0" t="0" r="0" b="0"/>
            <wp:docPr id="2862500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4350385"/>
                    </a:xfrm>
                    <a:prstGeom prst="rect">
                      <a:avLst/>
                    </a:prstGeom>
                    <a:noFill/>
                    <a:ln>
                      <a:noFill/>
                    </a:ln>
                  </pic:spPr>
                </pic:pic>
              </a:graphicData>
            </a:graphic>
          </wp:inline>
        </w:drawing>
      </w:r>
    </w:p>
    <w:p w14:paraId="06852812" w14:textId="2429A2D2" w:rsidR="00251BAE" w:rsidRDefault="00251BAE">
      <w:pPr>
        <w:rPr>
          <w:rStyle w:val="Heading3Char"/>
        </w:rPr>
      </w:pPr>
    </w:p>
    <w:p w14:paraId="6D3C8E07" w14:textId="3A9BCFF1" w:rsidR="005C5EA7" w:rsidRDefault="006E75DF" w:rsidP="006E75DF">
      <w:pPr>
        <w:rPr>
          <w:rStyle w:val="Heading3Char"/>
        </w:rPr>
      </w:pPr>
      <w:bookmarkStart w:id="48" w:name="_Toc193219096"/>
      <w:r w:rsidRPr="00400AA6">
        <w:rPr>
          <w:rStyle w:val="Heading3Char"/>
        </w:rPr>
        <w:t xml:space="preserve">Historical </w:t>
      </w:r>
      <w:r>
        <w:rPr>
          <w:rStyle w:val="Heading3Char"/>
        </w:rPr>
        <w:t>P/L Statement</w:t>
      </w:r>
      <w:bookmarkEnd w:id="48"/>
    </w:p>
    <w:p w14:paraId="6CD910E6" w14:textId="07453612" w:rsidR="006E75DF" w:rsidRDefault="00A54B97" w:rsidP="00C97E6B">
      <w:pPr>
        <w:jc w:val="center"/>
      </w:pPr>
      <w:r w:rsidRPr="00A54B97">
        <w:drawing>
          <wp:inline distT="0" distB="0" distL="0" distR="0" wp14:anchorId="5DC6F334" wp14:editId="6F075498">
            <wp:extent cx="6400800" cy="3104515"/>
            <wp:effectExtent l="0" t="0" r="0" b="635"/>
            <wp:docPr id="330840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3104515"/>
                    </a:xfrm>
                    <a:prstGeom prst="rect">
                      <a:avLst/>
                    </a:prstGeom>
                    <a:noFill/>
                    <a:ln>
                      <a:noFill/>
                    </a:ln>
                  </pic:spPr>
                </pic:pic>
              </a:graphicData>
            </a:graphic>
          </wp:inline>
        </w:drawing>
      </w:r>
    </w:p>
    <w:p w14:paraId="032E517B" w14:textId="77777777" w:rsidR="00577E2B" w:rsidRDefault="00577E2B">
      <w:pPr>
        <w:rPr>
          <w:rStyle w:val="Heading3Char"/>
        </w:rPr>
      </w:pPr>
      <w:r>
        <w:rPr>
          <w:rStyle w:val="Heading3Char"/>
        </w:rPr>
        <w:br w:type="page"/>
      </w:r>
    </w:p>
    <w:p w14:paraId="13DACDA4" w14:textId="0A1FDB57" w:rsidR="004838C9" w:rsidRDefault="00992686" w:rsidP="004838C9">
      <w:pPr>
        <w:pStyle w:val="Heading3"/>
        <w:rPr>
          <w:rStyle w:val="Heading3Char"/>
        </w:rPr>
      </w:pPr>
      <w:bookmarkStart w:id="49" w:name="_Toc193219097"/>
      <w:r w:rsidRPr="00400AA6">
        <w:rPr>
          <w:rStyle w:val="Heading3Char"/>
        </w:rPr>
        <w:lastRenderedPageBreak/>
        <w:t xml:space="preserve">Historical </w:t>
      </w:r>
      <w:r>
        <w:rPr>
          <w:rStyle w:val="Heading3Char"/>
        </w:rPr>
        <w:t>Equity Statement</w:t>
      </w:r>
      <w:bookmarkEnd w:id="49"/>
    </w:p>
    <w:p w14:paraId="32CFEFF0" w14:textId="77777777" w:rsidR="002A767C" w:rsidRDefault="008F59A0" w:rsidP="002A767C">
      <w:pPr>
        <w:rPr>
          <w:sz w:val="16"/>
          <w:szCs w:val="16"/>
        </w:rPr>
      </w:pPr>
      <w:r>
        <w:rPr>
          <w:sz w:val="16"/>
          <w:szCs w:val="16"/>
        </w:rPr>
        <w:t xml:space="preserve">(In </w:t>
      </w:r>
      <w:r w:rsidR="00923FDC">
        <w:rPr>
          <w:sz w:val="16"/>
          <w:szCs w:val="16"/>
        </w:rPr>
        <w:t>Thousands</w:t>
      </w:r>
      <w:r>
        <w:rPr>
          <w:sz w:val="16"/>
          <w:szCs w:val="16"/>
        </w:rPr>
        <w:t>)</w:t>
      </w:r>
    </w:p>
    <w:p w14:paraId="6653EAAF" w14:textId="10CB0817" w:rsidR="009927D8" w:rsidRDefault="00362E90" w:rsidP="00362E90">
      <w:pPr>
        <w:jc w:val="center"/>
        <w:rPr>
          <w:sz w:val="16"/>
          <w:szCs w:val="16"/>
        </w:rPr>
      </w:pPr>
      <w:r w:rsidRPr="00362E90">
        <w:rPr>
          <w:sz w:val="16"/>
          <w:szCs w:val="16"/>
        </w:rPr>
        <w:drawing>
          <wp:inline distT="0" distB="0" distL="0" distR="0" wp14:anchorId="5802030A" wp14:editId="6BEB8FE6">
            <wp:extent cx="6254660" cy="7894320"/>
            <wp:effectExtent l="0" t="0" r="0" b="0"/>
            <wp:docPr id="1268661931"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61931" name="Picture 1" descr="A screenshot of a document&#10;&#10;AI-generated content may be incorrect."/>
                    <pic:cNvPicPr/>
                  </pic:nvPicPr>
                  <pic:blipFill>
                    <a:blip r:embed="rId26"/>
                    <a:stretch>
                      <a:fillRect/>
                    </a:stretch>
                  </pic:blipFill>
                  <pic:spPr>
                    <a:xfrm>
                      <a:off x="0" y="0"/>
                      <a:ext cx="6262396" cy="7904084"/>
                    </a:xfrm>
                    <a:prstGeom prst="rect">
                      <a:avLst/>
                    </a:prstGeom>
                  </pic:spPr>
                </pic:pic>
              </a:graphicData>
            </a:graphic>
          </wp:inline>
        </w:drawing>
      </w:r>
    </w:p>
    <w:p w14:paraId="2AF08E0B" w14:textId="061C2146" w:rsidR="00EF3649" w:rsidRPr="00C420AC" w:rsidRDefault="00200506" w:rsidP="002A767C">
      <w:pPr>
        <w:rPr>
          <w:sz w:val="16"/>
          <w:szCs w:val="16"/>
        </w:rPr>
      </w:pPr>
      <w:r w:rsidRPr="00200506">
        <w:rPr>
          <w:noProof/>
        </w:rPr>
        <w:lastRenderedPageBreak/>
        <w:drawing>
          <wp:inline distT="0" distB="0" distL="0" distR="0" wp14:anchorId="45AC4669" wp14:editId="60D92C2A">
            <wp:extent cx="6400800" cy="6089015"/>
            <wp:effectExtent l="0" t="0" r="0" b="6985"/>
            <wp:docPr id="1879803151" name="Picture 1" descr="A blue and white spreadshee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03151" name="Picture 1" descr="A blue and white spreadsheet with numbers and text&#10;&#10;AI-generated content may be incorrect."/>
                    <pic:cNvPicPr/>
                  </pic:nvPicPr>
                  <pic:blipFill>
                    <a:blip r:embed="rId27"/>
                    <a:stretch>
                      <a:fillRect/>
                    </a:stretch>
                  </pic:blipFill>
                  <pic:spPr>
                    <a:xfrm>
                      <a:off x="0" y="0"/>
                      <a:ext cx="6400800" cy="6089015"/>
                    </a:xfrm>
                    <a:prstGeom prst="rect">
                      <a:avLst/>
                    </a:prstGeom>
                  </pic:spPr>
                </pic:pic>
              </a:graphicData>
            </a:graphic>
          </wp:inline>
        </w:drawing>
      </w:r>
    </w:p>
    <w:p w14:paraId="590D7FE8" w14:textId="69BFE9D5" w:rsidR="005C5EA7" w:rsidRDefault="005C5EA7" w:rsidP="005C5EA7">
      <w:pPr>
        <w:pStyle w:val="Heading3"/>
      </w:pPr>
      <w:r w:rsidRPr="005C5EA7">
        <w:br w:type="column"/>
      </w:r>
      <w:bookmarkStart w:id="50" w:name="_Toc193219098"/>
      <w:r>
        <w:lastRenderedPageBreak/>
        <w:t>Historical Cash Flow Statement</w:t>
      </w:r>
      <w:bookmarkEnd w:id="50"/>
    </w:p>
    <w:p w14:paraId="129670AD" w14:textId="77777777" w:rsidR="005C5EA7" w:rsidRPr="005C5EA7" w:rsidRDefault="005C5EA7" w:rsidP="005C5EA7"/>
    <w:p w14:paraId="65AF5FCD" w14:textId="465D23C5" w:rsidR="005C5EA7" w:rsidRDefault="00ED5621" w:rsidP="00C97E6B">
      <w:pPr>
        <w:jc w:val="center"/>
      </w:pPr>
      <w:r w:rsidRPr="00ED5621">
        <w:drawing>
          <wp:inline distT="0" distB="0" distL="0" distR="0" wp14:anchorId="20E335C1" wp14:editId="69396E72">
            <wp:extent cx="6400800" cy="6897370"/>
            <wp:effectExtent l="0" t="0" r="0" b="0"/>
            <wp:docPr id="228971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6897370"/>
                    </a:xfrm>
                    <a:prstGeom prst="rect">
                      <a:avLst/>
                    </a:prstGeom>
                    <a:noFill/>
                    <a:ln>
                      <a:noFill/>
                    </a:ln>
                  </pic:spPr>
                </pic:pic>
              </a:graphicData>
            </a:graphic>
          </wp:inline>
        </w:drawing>
      </w:r>
    </w:p>
    <w:p w14:paraId="3E876E79" w14:textId="47BCF71A" w:rsidR="0039211C" w:rsidRDefault="005C5EA7" w:rsidP="0039211C">
      <w:pPr>
        <w:pStyle w:val="Heading2"/>
      </w:pPr>
      <w:r>
        <w:br w:type="column"/>
      </w:r>
      <w:bookmarkStart w:id="51" w:name="_Toc193219099"/>
      <w:r w:rsidR="0039211C">
        <w:lastRenderedPageBreak/>
        <w:t>DuPont Analysis</w:t>
      </w:r>
      <w:bookmarkEnd w:id="51"/>
    </w:p>
    <w:p w14:paraId="1D957A61" w14:textId="77777777" w:rsidR="0038070B" w:rsidRPr="0038070B" w:rsidRDefault="0038070B" w:rsidP="0038070B"/>
    <w:p w14:paraId="317E6482" w14:textId="6D038EDE" w:rsidR="00A3392E" w:rsidRDefault="00A3392E" w:rsidP="00A3392E">
      <w:r>
        <w:t xml:space="preserve">DuPont Analysis is a financial performance framework </w:t>
      </w:r>
      <w:r w:rsidR="0038070B">
        <w:t xml:space="preserve">that helps break down a company’s ROE into </w:t>
      </w:r>
      <w:r w:rsidR="00E917F1">
        <w:t>6</w:t>
      </w:r>
      <w:r w:rsidR="0038070B">
        <w:t xml:space="preserve"> key components. This analysis provides insights into the drivers of a company’s financial performance, helping stakeholders understand how each factor contributes to the overall return.</w:t>
      </w:r>
    </w:p>
    <w:p w14:paraId="78919298" w14:textId="77777777" w:rsidR="0038070B" w:rsidRDefault="0038070B" w:rsidP="00A3392E"/>
    <w:p w14:paraId="56491EBD" w14:textId="51D96EF4" w:rsidR="0038070B" w:rsidRDefault="00696931" w:rsidP="0038070B">
      <w:pPr>
        <w:pStyle w:val="Heading3"/>
      </w:pPr>
      <w:bookmarkStart w:id="52" w:name="_Toc193219100"/>
      <w:r>
        <w:t>2024</w:t>
      </w:r>
      <w:bookmarkEnd w:id="52"/>
    </w:p>
    <w:p w14:paraId="49638ABB" w14:textId="612D7AA6" w:rsidR="006D00B9" w:rsidRDefault="00696931" w:rsidP="00696931">
      <w:pPr>
        <w:jc w:val="right"/>
      </w:pPr>
      <w:r w:rsidRPr="00696931">
        <w:drawing>
          <wp:inline distT="0" distB="0" distL="0" distR="0" wp14:anchorId="2F124CBE" wp14:editId="0D99D282">
            <wp:extent cx="6400800" cy="1000760"/>
            <wp:effectExtent l="0" t="0" r="0" b="8890"/>
            <wp:docPr id="1184990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1000760"/>
                    </a:xfrm>
                    <a:prstGeom prst="rect">
                      <a:avLst/>
                    </a:prstGeom>
                    <a:noFill/>
                    <a:ln>
                      <a:noFill/>
                    </a:ln>
                  </pic:spPr>
                </pic:pic>
              </a:graphicData>
            </a:graphic>
          </wp:inline>
        </w:drawing>
      </w:r>
    </w:p>
    <w:p w14:paraId="7B58EABB" w14:textId="1E8B9DEA" w:rsidR="00696931" w:rsidRDefault="00696931" w:rsidP="00696931">
      <w:pPr>
        <w:pStyle w:val="Heading3"/>
      </w:pPr>
      <w:bookmarkStart w:id="53" w:name="_Toc193219101"/>
      <w:r>
        <w:t>202</w:t>
      </w:r>
      <w:r>
        <w:t>3</w:t>
      </w:r>
      <w:bookmarkEnd w:id="53"/>
    </w:p>
    <w:p w14:paraId="482970E7" w14:textId="316F7A49" w:rsidR="00696931" w:rsidRPr="00696931" w:rsidRDefault="00696931" w:rsidP="00696931">
      <w:pPr>
        <w:jc w:val="center"/>
      </w:pPr>
      <w:r w:rsidRPr="00696931">
        <w:drawing>
          <wp:inline distT="0" distB="0" distL="0" distR="0" wp14:anchorId="6B36F7A3" wp14:editId="2E900418">
            <wp:extent cx="6400800" cy="1000760"/>
            <wp:effectExtent l="0" t="0" r="0" b="8890"/>
            <wp:docPr id="15443902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0800" cy="1000760"/>
                    </a:xfrm>
                    <a:prstGeom prst="rect">
                      <a:avLst/>
                    </a:prstGeom>
                    <a:noFill/>
                    <a:ln>
                      <a:noFill/>
                    </a:ln>
                  </pic:spPr>
                </pic:pic>
              </a:graphicData>
            </a:graphic>
          </wp:inline>
        </w:drawing>
      </w:r>
    </w:p>
    <w:p w14:paraId="77D6CC57" w14:textId="60FA5717" w:rsidR="003145B9" w:rsidRDefault="008A2BC5" w:rsidP="003145B9">
      <w:pPr>
        <w:pStyle w:val="Heading2"/>
      </w:pPr>
      <w:r>
        <w:br w:type="column"/>
      </w:r>
      <w:bookmarkStart w:id="54" w:name="_Toc193219102"/>
      <w:r w:rsidR="003145B9">
        <w:lastRenderedPageBreak/>
        <w:t>Financial Ratio</w:t>
      </w:r>
      <w:r>
        <w:t>s Formula</w:t>
      </w:r>
      <w:bookmarkEnd w:id="54"/>
    </w:p>
    <w:p w14:paraId="3EE28EDE" w14:textId="33E44997" w:rsidR="008A2BC5" w:rsidRDefault="008A2BC5" w:rsidP="008A2BC5">
      <w:pPr>
        <w:pStyle w:val="Heading3"/>
      </w:pPr>
      <w:bookmarkStart w:id="55" w:name="_Toc193219103"/>
      <w:r>
        <w:t>Activity Ratios</w:t>
      </w:r>
      <w:bookmarkEnd w:id="55"/>
    </w:p>
    <w:p w14:paraId="78C232EC" w14:textId="54C4622B" w:rsidR="008A2BC5" w:rsidRDefault="008A2BC5" w:rsidP="008A2BC5">
      <w:pPr>
        <w:pStyle w:val="Heading4"/>
      </w:pPr>
      <w:r>
        <w:t>Receiva</w:t>
      </w:r>
      <w:r w:rsidR="00945058">
        <w:t>bles Turnover</w:t>
      </w:r>
    </w:p>
    <w:p w14:paraId="6F55D3B9" w14:textId="25C0A36F" w:rsidR="00484A56" w:rsidRPr="00740CB4" w:rsidRDefault="005F62D0" w:rsidP="00740CB4">
      <w:r>
        <w:t xml:space="preserve">Meaning: </w:t>
      </w:r>
      <w:r w:rsidR="00740CB4">
        <w:t>The efficiency of a company in collecting its receivables</w:t>
      </w:r>
      <w:r w:rsidR="00F44F8B">
        <w:br/>
      </w:r>
      <w:r w:rsidR="00484A56">
        <w:t>Formula: Revenue / Average Receivables</w:t>
      </w:r>
    </w:p>
    <w:p w14:paraId="5701B39A" w14:textId="75A6ACC5" w:rsidR="00945058" w:rsidRDefault="00945058" w:rsidP="00945058">
      <w:pPr>
        <w:pStyle w:val="Heading4"/>
      </w:pPr>
      <w:r>
        <w:t>DSO</w:t>
      </w:r>
    </w:p>
    <w:p w14:paraId="2EAF2568" w14:textId="39F7F16E" w:rsidR="002D0A8F" w:rsidRPr="002D0A8F" w:rsidRDefault="002D0A8F" w:rsidP="002D0A8F">
      <w:r>
        <w:t>Meaning: The average number of days a company takes to collect its receivables from clients</w:t>
      </w:r>
      <w:r w:rsidR="00F44F8B">
        <w:br/>
      </w:r>
      <w:r>
        <w:t>Formula: 365 / Receivables Turnover</w:t>
      </w:r>
    </w:p>
    <w:p w14:paraId="6DDF324A" w14:textId="13B437D5" w:rsidR="00945058" w:rsidRDefault="00945058" w:rsidP="00945058">
      <w:pPr>
        <w:pStyle w:val="Heading4"/>
      </w:pPr>
      <w:r>
        <w:t>Inventory Turnover</w:t>
      </w:r>
    </w:p>
    <w:p w14:paraId="24D8F1C9" w14:textId="70D9FC02" w:rsidR="00A607C1" w:rsidRPr="002D0A8F" w:rsidRDefault="002D0A8F" w:rsidP="002D0A8F">
      <w:r>
        <w:t>Meaning: The efficiency of a company in terms of inventory management</w:t>
      </w:r>
      <w:r w:rsidR="00F44F8B">
        <w:br/>
      </w:r>
      <w:r w:rsidR="00A607C1">
        <w:t>Formula: COGS / Average Inventory</w:t>
      </w:r>
    </w:p>
    <w:p w14:paraId="5D046189" w14:textId="73373B5D" w:rsidR="00945058" w:rsidRDefault="00945058" w:rsidP="00945058">
      <w:pPr>
        <w:pStyle w:val="Heading4"/>
      </w:pPr>
      <w:r>
        <w:t>DIO</w:t>
      </w:r>
    </w:p>
    <w:p w14:paraId="4F25B0E2" w14:textId="2BB87472" w:rsidR="00291F5E" w:rsidRPr="00A607C1" w:rsidRDefault="00A607C1" w:rsidP="00A607C1">
      <w:r>
        <w:t xml:space="preserve">Meaning: </w:t>
      </w:r>
      <w:r w:rsidR="00291F5E">
        <w:t>The average inventory processing period</w:t>
      </w:r>
      <w:r w:rsidR="00F44F8B">
        <w:br/>
      </w:r>
      <w:r w:rsidR="00291F5E">
        <w:t>Formula: 365 / Inventory Turnover</w:t>
      </w:r>
    </w:p>
    <w:p w14:paraId="0FFF1E18" w14:textId="71E1DC53" w:rsidR="00945058" w:rsidRDefault="00945058" w:rsidP="00945058">
      <w:pPr>
        <w:pStyle w:val="Heading4"/>
      </w:pPr>
      <w:r>
        <w:t>Payables Turnover</w:t>
      </w:r>
    </w:p>
    <w:p w14:paraId="3B4F435C" w14:textId="6AFAECBC" w:rsidR="00A26D86" w:rsidRPr="00291F5E" w:rsidRDefault="00291F5E" w:rsidP="00291F5E">
      <w:r>
        <w:t xml:space="preserve">Meaning: The efficiency of a company in allowing </w:t>
      </w:r>
      <w:r w:rsidR="00A26D86">
        <w:t>its credit to suppliers</w:t>
      </w:r>
      <w:r w:rsidR="00F44F8B">
        <w:br/>
      </w:r>
      <w:r w:rsidR="00A26D86">
        <w:t>Formula: Purchases / Average Payables</w:t>
      </w:r>
    </w:p>
    <w:p w14:paraId="26C7CDCF" w14:textId="4EF421C7" w:rsidR="00945058" w:rsidRDefault="00945058" w:rsidP="00945058">
      <w:pPr>
        <w:pStyle w:val="Heading4"/>
      </w:pPr>
      <w:r>
        <w:t>DPO</w:t>
      </w:r>
    </w:p>
    <w:p w14:paraId="1176EF35" w14:textId="295C2CAD" w:rsidR="00BB4BA4" w:rsidRPr="00BB4BA4" w:rsidRDefault="00BB4BA4" w:rsidP="00BB4BA4">
      <w:r>
        <w:t>Meaning: The average number of days a company takes to pay its suppliers</w:t>
      </w:r>
      <w:r w:rsidR="00F44F8B">
        <w:br/>
      </w:r>
      <w:r>
        <w:t>Formula: 365 / Payables Turnover</w:t>
      </w:r>
    </w:p>
    <w:p w14:paraId="654E696F" w14:textId="3A0F625C" w:rsidR="00945058" w:rsidRDefault="00945058" w:rsidP="00945058">
      <w:pPr>
        <w:pStyle w:val="Heading4"/>
      </w:pPr>
      <w:r>
        <w:t>Cash Conversion Cycle</w:t>
      </w:r>
    </w:p>
    <w:p w14:paraId="71F20DCD" w14:textId="5E589099" w:rsidR="00BB4BA4" w:rsidRDefault="00BB4BA4" w:rsidP="00BB4BA4">
      <w:r>
        <w:t>Meaning: The number of days a company takes to convert its investments in inventory and other resources into cash flows from sales</w:t>
      </w:r>
    </w:p>
    <w:p w14:paraId="724631CB" w14:textId="6A9CBB9A" w:rsidR="00635638" w:rsidRPr="00BB4BA4" w:rsidRDefault="00635638" w:rsidP="00BB4BA4">
      <w:r>
        <w:t>Formula: DSO + DIO - DPO</w:t>
      </w:r>
    </w:p>
    <w:p w14:paraId="1AD37398" w14:textId="7317B81C" w:rsidR="00945058" w:rsidRDefault="00F747BD" w:rsidP="00945058">
      <w:pPr>
        <w:pStyle w:val="Heading4"/>
      </w:pPr>
      <w:r>
        <w:t>Fixed Assets</w:t>
      </w:r>
      <w:r w:rsidR="00945058">
        <w:t xml:space="preserve"> Turnover</w:t>
      </w:r>
    </w:p>
    <w:p w14:paraId="688903E3" w14:textId="36BB3D97" w:rsidR="00635638" w:rsidRPr="00635638" w:rsidRDefault="00635638" w:rsidP="00635638">
      <w:r>
        <w:t>Meaning: The efficiency of a company in utilizing its fixed assets</w:t>
      </w:r>
      <w:r w:rsidR="008571FC">
        <w:t xml:space="preserve"> to generate revenue</w:t>
      </w:r>
      <w:r w:rsidR="00F44F8B">
        <w:br/>
      </w:r>
      <w:r>
        <w:t>Formula: Revenue / Average Fixed Assets</w:t>
      </w:r>
    </w:p>
    <w:p w14:paraId="383D8B5B" w14:textId="63B8B962" w:rsidR="00945058" w:rsidRDefault="00F747BD" w:rsidP="00945058">
      <w:pPr>
        <w:pStyle w:val="Heading4"/>
      </w:pPr>
      <w:r>
        <w:t>Working Capital</w:t>
      </w:r>
      <w:r w:rsidR="00945058">
        <w:t xml:space="preserve"> Turnover</w:t>
      </w:r>
    </w:p>
    <w:p w14:paraId="17A69DFB" w14:textId="6AE8D1AC" w:rsidR="00480CF8" w:rsidRPr="000E2A7C" w:rsidRDefault="000E2A7C" w:rsidP="000E2A7C">
      <w:r>
        <w:t>Meaning: The efficiency of a company in managing its working capital (current assets – current liabilities)</w:t>
      </w:r>
      <w:r w:rsidR="00F44F8B">
        <w:br/>
      </w:r>
      <w:r w:rsidR="00480CF8">
        <w:t>Formula: Revenue / Average Working Capital</w:t>
      </w:r>
    </w:p>
    <w:p w14:paraId="2FEDCF4E" w14:textId="5C660796" w:rsidR="00945058" w:rsidRDefault="00F747BD" w:rsidP="00945058">
      <w:pPr>
        <w:pStyle w:val="Heading4"/>
      </w:pPr>
      <w:r>
        <w:t>Total Assets</w:t>
      </w:r>
      <w:r w:rsidR="00945058">
        <w:t xml:space="preserve"> Turnover</w:t>
      </w:r>
    </w:p>
    <w:p w14:paraId="5D36B71E" w14:textId="63C892C2" w:rsidR="008571FC" w:rsidRPr="00480CF8" w:rsidRDefault="00480CF8" w:rsidP="00480CF8">
      <w:r>
        <w:t xml:space="preserve">Meaning: The efficiency of a company in utilizing its total assets to </w:t>
      </w:r>
      <w:r w:rsidR="008571FC">
        <w:t>generate revenue</w:t>
      </w:r>
      <w:r w:rsidR="00F44F8B">
        <w:br/>
      </w:r>
      <w:r w:rsidR="008571FC">
        <w:t>Formula: Revenue / Average Total Assets</w:t>
      </w:r>
    </w:p>
    <w:p w14:paraId="39947515" w14:textId="247C43BC" w:rsidR="00945058" w:rsidRDefault="00F747BD" w:rsidP="00945058">
      <w:pPr>
        <w:pStyle w:val="Heading4"/>
      </w:pPr>
      <w:r>
        <w:t>Equity</w:t>
      </w:r>
      <w:r w:rsidR="00945058">
        <w:t xml:space="preserve"> Turnover</w:t>
      </w:r>
    </w:p>
    <w:p w14:paraId="79C7BB21" w14:textId="1F6B1334" w:rsidR="00061D0C" w:rsidRDefault="00061D0C" w:rsidP="00061D0C">
      <w:r>
        <w:t>Meaning: The efficiency of a company in utilizing equity to generate revenue</w:t>
      </w:r>
      <w:r w:rsidR="00F44F8B">
        <w:br/>
      </w:r>
      <w:r>
        <w:t>Formula: Revenue / Average Total Equity</w:t>
      </w:r>
    </w:p>
    <w:p w14:paraId="1A1501FF" w14:textId="41B9C1EE" w:rsidR="00061D0C" w:rsidRDefault="00061D0C" w:rsidP="00B74775">
      <w:pPr>
        <w:pStyle w:val="Heading3"/>
      </w:pPr>
      <w:bookmarkStart w:id="56" w:name="_Toc193219104"/>
      <w:r>
        <w:t>Liquidity Ratios</w:t>
      </w:r>
      <w:bookmarkEnd w:id="56"/>
    </w:p>
    <w:p w14:paraId="6EB3E0FA" w14:textId="38094C3C" w:rsidR="00061D0C" w:rsidRDefault="00061D0C" w:rsidP="00B74775">
      <w:pPr>
        <w:pStyle w:val="Heading4"/>
      </w:pPr>
      <w:r>
        <w:t>Current Ratio</w:t>
      </w:r>
    </w:p>
    <w:p w14:paraId="15D7DB81" w14:textId="25121C94" w:rsidR="00040C80" w:rsidRPr="00261C08" w:rsidRDefault="00261C08" w:rsidP="00261C08">
      <w:r>
        <w:t xml:space="preserve">Meaning: </w:t>
      </w:r>
      <w:r w:rsidR="00040C80">
        <w:t>The ability of a company to meet current liabilities (with total current assets)</w:t>
      </w:r>
      <w:r w:rsidR="00933227">
        <w:br/>
      </w:r>
      <w:r w:rsidR="00040C80">
        <w:t>Formula: Current Assets / Current Liabilities</w:t>
      </w:r>
    </w:p>
    <w:p w14:paraId="44C38544" w14:textId="7001C378" w:rsidR="00261C08" w:rsidRDefault="00261C08" w:rsidP="00B74775">
      <w:pPr>
        <w:pStyle w:val="Heading4"/>
      </w:pPr>
      <w:r>
        <w:lastRenderedPageBreak/>
        <w:t>Quick Ratio</w:t>
      </w:r>
    </w:p>
    <w:p w14:paraId="311C9625" w14:textId="32976EA4" w:rsidR="00040C80" w:rsidRDefault="00040C80" w:rsidP="00040C80">
      <w:r>
        <w:t xml:space="preserve">Meaning:  The ability of a company to </w:t>
      </w:r>
      <w:r w:rsidR="00603AC5">
        <w:t>meet current liabilities (with total current assets, excluding inventory</w:t>
      </w:r>
      <w:r w:rsidR="00652269">
        <w:t xml:space="preserve"> and prepaid expenses</w:t>
      </w:r>
      <w:r w:rsidR="00603AC5">
        <w:t>)</w:t>
      </w:r>
    </w:p>
    <w:p w14:paraId="4780F706" w14:textId="3286692F" w:rsidR="00603AC5" w:rsidRPr="00040C80" w:rsidRDefault="00603AC5" w:rsidP="00040C80">
      <w:r>
        <w:t>Formula: (</w:t>
      </w:r>
      <w:r w:rsidR="00007EC3">
        <w:t>Total Current Assets – Inventory – Prepaid Expenses) / Current Liabilities</w:t>
      </w:r>
    </w:p>
    <w:p w14:paraId="713D6351" w14:textId="667A9244" w:rsidR="00261C08" w:rsidRDefault="00261C08" w:rsidP="00B74775">
      <w:pPr>
        <w:pStyle w:val="Heading4"/>
      </w:pPr>
      <w:r>
        <w:t>Cash Ratio</w:t>
      </w:r>
    </w:p>
    <w:p w14:paraId="2467A3C2" w14:textId="7C31A1AE" w:rsidR="00EA2E48" w:rsidRPr="00EA2E48" w:rsidRDefault="00EA2E48" w:rsidP="00EA2E48">
      <w:r>
        <w:t>Meaning: The ability of a company to meet current liabilities (with cash only)</w:t>
      </w:r>
      <w:r w:rsidR="00933227">
        <w:br/>
      </w:r>
      <w:r>
        <w:t>Formula: Cash / Current Liabilities</w:t>
      </w:r>
    </w:p>
    <w:p w14:paraId="47B3D95F" w14:textId="789A4383" w:rsidR="00261C08" w:rsidRDefault="00261C08" w:rsidP="00B74775">
      <w:pPr>
        <w:pStyle w:val="Heading4"/>
      </w:pPr>
      <w:r>
        <w:t>Defensive Interval</w:t>
      </w:r>
    </w:p>
    <w:p w14:paraId="6C22E331" w14:textId="2D2278F1" w:rsidR="00EA2E48" w:rsidRDefault="00EA2E48" w:rsidP="00EA2E48">
      <w:r>
        <w:t>Meaning: The number of days a company can cover its average daily expenses with the use of current liquid assets only</w:t>
      </w:r>
    </w:p>
    <w:p w14:paraId="28915F86" w14:textId="6D97D663" w:rsidR="009E12AE" w:rsidRDefault="009E12AE" w:rsidP="00EA2E48">
      <w:r>
        <w:t>Formula: (Total Current Assets – Inventory – Prepaid Expenses) / Average Daily Expenditure</w:t>
      </w:r>
    </w:p>
    <w:p w14:paraId="038DEE4A" w14:textId="77777777" w:rsidR="00933227" w:rsidRDefault="00933227" w:rsidP="009E12AE">
      <w:pPr>
        <w:pStyle w:val="Heading2"/>
      </w:pPr>
    </w:p>
    <w:p w14:paraId="650F289B" w14:textId="211A286F" w:rsidR="009E12AE" w:rsidRDefault="009E12AE" w:rsidP="00B74775">
      <w:pPr>
        <w:pStyle w:val="Heading3"/>
      </w:pPr>
      <w:bookmarkStart w:id="57" w:name="_Toc193219105"/>
      <w:r>
        <w:t>Solvency Ratios</w:t>
      </w:r>
      <w:bookmarkEnd w:id="57"/>
    </w:p>
    <w:p w14:paraId="3C77ED95" w14:textId="37CE50FA" w:rsidR="009E12AE" w:rsidRDefault="009E12AE" w:rsidP="00B74775">
      <w:pPr>
        <w:pStyle w:val="Heading4"/>
      </w:pPr>
      <w:r>
        <w:t>Debt-to-Equity</w:t>
      </w:r>
    </w:p>
    <w:p w14:paraId="506DCFC0" w14:textId="68D6C634" w:rsidR="00441973" w:rsidRPr="00441973" w:rsidRDefault="00441973" w:rsidP="00441973">
      <w:r>
        <w:t>Meaning: Debt as a percentage of total equity</w:t>
      </w:r>
      <w:r w:rsidR="00933227">
        <w:br/>
      </w:r>
      <w:r>
        <w:t>Formula: Total Debt / Total Equity</w:t>
      </w:r>
    </w:p>
    <w:p w14:paraId="62EEED3D" w14:textId="689B0D94" w:rsidR="00441973" w:rsidRDefault="00441973" w:rsidP="00B74775">
      <w:pPr>
        <w:pStyle w:val="Heading4"/>
      </w:pPr>
      <w:r>
        <w:t>Debt-to-Capital</w:t>
      </w:r>
    </w:p>
    <w:p w14:paraId="47BE91A6" w14:textId="409977CC" w:rsidR="00497B41" w:rsidRPr="00497B41" w:rsidRDefault="00497B41" w:rsidP="00497B41">
      <w:r>
        <w:t>Meaning: Debt as a percentage of total capital</w:t>
      </w:r>
      <w:r w:rsidR="00933227">
        <w:br/>
      </w:r>
      <w:r>
        <w:t xml:space="preserve">Formula: Total Debt / </w:t>
      </w:r>
      <w:r w:rsidR="00B67533">
        <w:t>(Total Debt + Total Equity)</w:t>
      </w:r>
    </w:p>
    <w:p w14:paraId="1F0C619C" w14:textId="1A6C80F2" w:rsidR="00441973" w:rsidRDefault="00441973" w:rsidP="00B74775">
      <w:pPr>
        <w:pStyle w:val="Heading4"/>
      </w:pPr>
      <w:r>
        <w:t>Debt-to-Assets</w:t>
      </w:r>
    </w:p>
    <w:p w14:paraId="6687DDBD" w14:textId="1D92A010" w:rsidR="00B67533" w:rsidRPr="00B67533" w:rsidRDefault="00B67533" w:rsidP="00B67533">
      <w:r>
        <w:t>Meaning: Debt as a percentage of total assets</w:t>
      </w:r>
      <w:r w:rsidR="00933227">
        <w:br/>
      </w:r>
      <w:r>
        <w:t>Formula: Total Debt / Total Assets</w:t>
      </w:r>
    </w:p>
    <w:p w14:paraId="36BA1920" w14:textId="5C5EC056" w:rsidR="00441973" w:rsidRDefault="00441973" w:rsidP="00B74775">
      <w:pPr>
        <w:pStyle w:val="Heading4"/>
      </w:pPr>
      <w:r>
        <w:t>Financial Leverage</w:t>
      </w:r>
    </w:p>
    <w:p w14:paraId="1F5D231D" w14:textId="4455EBB9" w:rsidR="005C1CE3" w:rsidRPr="00B67533" w:rsidRDefault="00B67533" w:rsidP="00B67533">
      <w:r>
        <w:t xml:space="preserve">Meaning: </w:t>
      </w:r>
      <w:r w:rsidR="005C1CE3">
        <w:t>An indicator of a company’s debt financing usage</w:t>
      </w:r>
      <w:r w:rsidR="00933227">
        <w:br/>
      </w:r>
      <w:r w:rsidR="005C1CE3">
        <w:t>Formula: Average Total Assets / Average Total Equity</w:t>
      </w:r>
    </w:p>
    <w:p w14:paraId="119B4449" w14:textId="729D26C6" w:rsidR="00441973" w:rsidRDefault="00441973" w:rsidP="00B74775">
      <w:pPr>
        <w:pStyle w:val="Heading4"/>
      </w:pPr>
      <w:r>
        <w:t>Interest Coverage</w:t>
      </w:r>
    </w:p>
    <w:p w14:paraId="77D345C4" w14:textId="1545B202" w:rsidR="00BA4067" w:rsidRDefault="005C1CE3" w:rsidP="00945058">
      <w:r>
        <w:t xml:space="preserve">Meaning: </w:t>
      </w:r>
      <w:r w:rsidR="00FC1629">
        <w:t>The ability of a company to cover its interest expenses</w:t>
      </w:r>
      <w:r w:rsidR="00933227">
        <w:br/>
      </w:r>
      <w:r w:rsidR="00FC1629">
        <w:t>Formula: EBIT (Operating Income) / Interest Payments</w:t>
      </w:r>
    </w:p>
    <w:p w14:paraId="2DCAB8E4" w14:textId="0E49365C" w:rsidR="00BA4067" w:rsidRDefault="00BA4067" w:rsidP="00B74775">
      <w:pPr>
        <w:pStyle w:val="Heading3"/>
      </w:pPr>
      <w:r>
        <w:br w:type="column"/>
      </w:r>
      <w:bookmarkStart w:id="58" w:name="_Toc193219106"/>
      <w:r>
        <w:lastRenderedPageBreak/>
        <w:t>Profitability Ratios</w:t>
      </w:r>
      <w:bookmarkEnd w:id="58"/>
    </w:p>
    <w:p w14:paraId="5523C537" w14:textId="4417390E" w:rsidR="00BA4067" w:rsidRDefault="00BA4067" w:rsidP="00B74775">
      <w:pPr>
        <w:pStyle w:val="Heading4"/>
      </w:pPr>
      <w:r>
        <w:t>Gross Profit Margin</w:t>
      </w:r>
    </w:p>
    <w:p w14:paraId="221A4220" w14:textId="31C9DF77" w:rsidR="00BF775F" w:rsidRPr="00BF775F" w:rsidRDefault="00BF775F" w:rsidP="00BF775F">
      <w:r>
        <w:t>Meaning: Gross profitability as a percentage of total revenue</w:t>
      </w:r>
      <w:r>
        <w:br/>
        <w:t>Formula: (Revenue – COGS) / Revenue</w:t>
      </w:r>
    </w:p>
    <w:p w14:paraId="2E8F0F7A" w14:textId="3613AD2A" w:rsidR="00BA4067" w:rsidRDefault="00234F49" w:rsidP="00B74775">
      <w:pPr>
        <w:pStyle w:val="Heading4"/>
      </w:pPr>
      <w:r>
        <w:t>Operating</w:t>
      </w:r>
      <w:r w:rsidR="00BA4067">
        <w:t xml:space="preserve"> Profit Margin</w:t>
      </w:r>
    </w:p>
    <w:p w14:paraId="0C6BD1C3" w14:textId="20B4A56D" w:rsidR="00BF775F" w:rsidRPr="00BF775F" w:rsidRDefault="00BF775F" w:rsidP="00BF775F">
      <w:r>
        <w:t xml:space="preserve">Meaning: Operating profitability </w:t>
      </w:r>
      <w:r w:rsidR="00F45DA9">
        <w:t xml:space="preserve">(before interest and tax) </w:t>
      </w:r>
      <w:r>
        <w:t>as a percentage of total revenue</w:t>
      </w:r>
      <w:r>
        <w:br/>
        <w:t>Formula: Operating Income (EBIT) / Revenue</w:t>
      </w:r>
    </w:p>
    <w:p w14:paraId="6776B39F" w14:textId="5BDDCF48" w:rsidR="00234F49" w:rsidRDefault="00234F49" w:rsidP="00B74775">
      <w:pPr>
        <w:pStyle w:val="Heading4"/>
      </w:pPr>
      <w:r>
        <w:t>Pre-Tax Profit Margin</w:t>
      </w:r>
    </w:p>
    <w:p w14:paraId="4899CA72" w14:textId="1841EBB5" w:rsidR="00BF775F" w:rsidRPr="00BF775F" w:rsidRDefault="00BF775F" w:rsidP="00BF775F">
      <w:r>
        <w:t xml:space="preserve">Meaning: Operating profitability </w:t>
      </w:r>
      <w:r w:rsidR="00F45DA9">
        <w:t>(before tax) as a percentage of total revenue</w:t>
      </w:r>
      <w:r w:rsidR="00F45DA9">
        <w:br/>
        <w:t>Formula: EBT / Revenue</w:t>
      </w:r>
    </w:p>
    <w:p w14:paraId="586C5C5A" w14:textId="19D72FA1" w:rsidR="00234F49" w:rsidRDefault="00234F49" w:rsidP="00B74775">
      <w:pPr>
        <w:pStyle w:val="Heading4"/>
      </w:pPr>
      <w:r>
        <w:t>Net Profit Margin</w:t>
      </w:r>
    </w:p>
    <w:p w14:paraId="6C64FB82" w14:textId="7B827C9E" w:rsidR="00F45DA9" w:rsidRPr="00F45DA9" w:rsidRDefault="00F45DA9" w:rsidP="00F45DA9">
      <w:r>
        <w:t>Meaning: Net profitability as a percentage of total revenue</w:t>
      </w:r>
      <w:r>
        <w:br/>
        <w:t>Formula: Net Income / Revenue</w:t>
      </w:r>
    </w:p>
    <w:p w14:paraId="6FB5B993" w14:textId="5B09A106" w:rsidR="00234F49" w:rsidRDefault="00234F49" w:rsidP="00B74775">
      <w:pPr>
        <w:pStyle w:val="Heading4"/>
      </w:pPr>
      <w:r>
        <w:t>ROA</w:t>
      </w:r>
      <w:r w:rsidR="00983279">
        <w:t xml:space="preserve"> (Return on Assets)</w:t>
      </w:r>
    </w:p>
    <w:p w14:paraId="3BAE4012" w14:textId="2C58B535" w:rsidR="00F45DA9" w:rsidRPr="00F45DA9" w:rsidRDefault="00F45DA9" w:rsidP="00F45DA9">
      <w:r>
        <w:t xml:space="preserve">Meaning: Net profitability </w:t>
      </w:r>
      <w:r w:rsidR="00827926">
        <w:t xml:space="preserve">(excluding interest and tax) </w:t>
      </w:r>
      <w:r w:rsidR="00CA53E0">
        <w:t>as a percentage of total invested funds</w:t>
      </w:r>
      <w:r w:rsidR="00CA53E0">
        <w:br/>
        <w:t>Formula: Net Income / Average Total Assets</w:t>
      </w:r>
    </w:p>
    <w:p w14:paraId="0D50B8E8" w14:textId="6B839550" w:rsidR="00234F49" w:rsidRDefault="00983279" w:rsidP="00B74775">
      <w:pPr>
        <w:pStyle w:val="Heading4"/>
      </w:pPr>
      <w:r>
        <w:t>Operating ROA</w:t>
      </w:r>
    </w:p>
    <w:p w14:paraId="51E46EC1" w14:textId="72F16F50" w:rsidR="00CA53E0" w:rsidRPr="00CA53E0" w:rsidRDefault="00CA53E0" w:rsidP="00CA53E0">
      <w:r>
        <w:t xml:space="preserve">Meaning: </w:t>
      </w:r>
      <w:r w:rsidR="00827926">
        <w:t>Net profitability (including interest and tax) as a percentage of total invested funds</w:t>
      </w:r>
      <w:r w:rsidR="00DD71D8">
        <w:br/>
        <w:t>Formula: Operating Income (EBIT) / Average Total Assets</w:t>
      </w:r>
    </w:p>
    <w:p w14:paraId="5DE85904" w14:textId="0106A186" w:rsidR="00234F49" w:rsidRDefault="00983279" w:rsidP="00B74775">
      <w:pPr>
        <w:pStyle w:val="Heading4"/>
      </w:pPr>
      <w:r>
        <w:t>ROC (Return on Total Capital)</w:t>
      </w:r>
    </w:p>
    <w:p w14:paraId="73C9C5A9" w14:textId="3426D252" w:rsidR="00DD71D8" w:rsidRPr="00DD71D8" w:rsidRDefault="00DD71D8" w:rsidP="00DD71D8">
      <w:r>
        <w:t>Meaning: Operating profitability as a percentage of total capital</w:t>
      </w:r>
      <w:r>
        <w:br/>
        <w:t>Formula: Operating Income (EBIT) / Average Total Capital</w:t>
      </w:r>
    </w:p>
    <w:p w14:paraId="19F63982" w14:textId="074F0CE7" w:rsidR="00234F49" w:rsidRDefault="00983279" w:rsidP="00B74775">
      <w:pPr>
        <w:pStyle w:val="Heading4"/>
      </w:pPr>
      <w:r>
        <w:t>ROE (Return on Equity)</w:t>
      </w:r>
    </w:p>
    <w:p w14:paraId="756868E7" w14:textId="1E51637E" w:rsidR="00DD71D8" w:rsidRPr="00DD71D8" w:rsidRDefault="00DD71D8" w:rsidP="00DD71D8">
      <w:r>
        <w:t>Meaning: Net profitability as a percentage of total equity</w:t>
      </w:r>
      <w:r>
        <w:br/>
        <w:t>Formula: Net Income / Average Equity</w:t>
      </w:r>
    </w:p>
    <w:p w14:paraId="4B3F70BC" w14:textId="39EB42F2" w:rsidR="00BA4067" w:rsidRDefault="00BA4067" w:rsidP="00BA4067"/>
    <w:p w14:paraId="3B9707EC" w14:textId="5CB3AFE3" w:rsidR="00D968F4" w:rsidRDefault="00D968F4" w:rsidP="00B74775">
      <w:pPr>
        <w:pStyle w:val="Heading3"/>
      </w:pPr>
      <w:bookmarkStart w:id="59" w:name="_Toc193219107"/>
      <w:r>
        <w:t>Valuation Ratios</w:t>
      </w:r>
      <w:bookmarkEnd w:id="59"/>
    </w:p>
    <w:p w14:paraId="36511DE0" w14:textId="77777777" w:rsidR="007C6B8F" w:rsidRDefault="005D7437" w:rsidP="00B74775">
      <w:pPr>
        <w:pStyle w:val="Heading4"/>
      </w:pPr>
      <w:r>
        <w:t>EPS (Earnings Per Share)</w:t>
      </w:r>
    </w:p>
    <w:p w14:paraId="6D0C853C" w14:textId="3D21BCC1" w:rsidR="00BA7A5A" w:rsidRPr="00BA7A5A" w:rsidRDefault="00BA7A5A" w:rsidP="00BA7A5A">
      <w:r>
        <w:t>Meaning: Income earned per 1 common share outstanding</w:t>
      </w:r>
    </w:p>
    <w:p w14:paraId="37BBC08A" w14:textId="5E4E3BF5" w:rsidR="007C6B8F" w:rsidRDefault="007C6B8F" w:rsidP="007C6B8F">
      <w:r>
        <w:t>Data</w:t>
      </w:r>
      <w:r w:rsidR="00726AB4">
        <w:t xml:space="preserve"> is obtained</w:t>
      </w:r>
      <w:r>
        <w:t xml:space="preserve"> from each company’s financial statement</w:t>
      </w:r>
      <w:r w:rsidR="007975CE">
        <w:t>.</w:t>
      </w:r>
    </w:p>
    <w:p w14:paraId="2C17BDA1" w14:textId="040D48F7" w:rsidR="00D968F4" w:rsidRDefault="00BA7A5A" w:rsidP="00BA7A5A">
      <w:r w:rsidRPr="00B74775">
        <w:rPr>
          <w:rStyle w:val="Heading4Char"/>
        </w:rPr>
        <w:t>PE Ratio</w:t>
      </w:r>
      <w:r w:rsidR="005D7437">
        <w:br/>
      </w:r>
      <w:r w:rsidR="00726AB4">
        <w:t>Meaning: The price that investors are willing to pay per $1 of earnings</w:t>
      </w:r>
    </w:p>
    <w:p w14:paraId="10E9B12E" w14:textId="158D06E5" w:rsidR="00726AB4" w:rsidRDefault="00726AB4" w:rsidP="00BA7A5A">
      <w:r>
        <w:t xml:space="preserve">Data is obtained from </w:t>
      </w:r>
      <w:r w:rsidR="007975CE">
        <w:t>Macrotrends.</w:t>
      </w:r>
    </w:p>
    <w:p w14:paraId="6A5101F8" w14:textId="77777777" w:rsidR="00857670" w:rsidRDefault="00857670" w:rsidP="00857670">
      <w:r>
        <w:rPr>
          <w:rStyle w:val="Heading4Char"/>
        </w:rPr>
        <w:t>Dividend Payout Ratio (DPR)</w:t>
      </w:r>
      <w:r>
        <w:br/>
        <w:t>Meaning: The measure of dividends paid out to shareholders relative to the company’s net income</w:t>
      </w:r>
    </w:p>
    <w:p w14:paraId="40C57217" w14:textId="77777777" w:rsidR="00857670" w:rsidRDefault="00857670" w:rsidP="00857670">
      <w:r>
        <w:t>Formula: Dividends Paid to Common Shareholders / Net Income</w:t>
      </w:r>
    </w:p>
    <w:p w14:paraId="71B6C4E1" w14:textId="77777777" w:rsidR="00857670" w:rsidRDefault="00857670" w:rsidP="00857670">
      <w:r>
        <w:rPr>
          <w:rStyle w:val="Heading4Char"/>
        </w:rPr>
        <w:t>Dividend Yield</w:t>
      </w:r>
      <w:r>
        <w:br/>
        <w:t>Meaning: The ratio that shows how much a company pays out in dividends each year relative to its stock price</w:t>
      </w:r>
    </w:p>
    <w:p w14:paraId="0AE52EEB" w14:textId="2D1A5E2A" w:rsidR="00945058" w:rsidRPr="00945058" w:rsidRDefault="00857670" w:rsidP="00945058">
      <w:r>
        <w:t>Formula: Dividends Paid to Common Shareholders / Net Income</w:t>
      </w:r>
    </w:p>
    <w:sectPr w:rsidR="00945058" w:rsidRPr="00945058" w:rsidSect="006925A2">
      <w:pgSz w:w="12240" w:h="15840" w:code="1"/>
      <w:pgMar w:top="720" w:right="1080" w:bottom="720" w:left="108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06082" w14:textId="77777777" w:rsidR="00B17DD8" w:rsidRDefault="00B17DD8" w:rsidP="00E17FDD">
      <w:pPr>
        <w:spacing w:after="0" w:line="240" w:lineRule="auto"/>
      </w:pPr>
      <w:r>
        <w:separator/>
      </w:r>
    </w:p>
  </w:endnote>
  <w:endnote w:type="continuationSeparator" w:id="0">
    <w:p w14:paraId="67DC7662" w14:textId="77777777" w:rsidR="00B17DD8" w:rsidRDefault="00B17DD8" w:rsidP="00E17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8189312"/>
      <w:docPartObj>
        <w:docPartGallery w:val="Page Numbers (Bottom of Page)"/>
        <w:docPartUnique/>
      </w:docPartObj>
    </w:sdtPr>
    <w:sdtEndPr>
      <w:rPr>
        <w:noProof/>
      </w:rPr>
    </w:sdtEndPr>
    <w:sdtContent>
      <w:p w14:paraId="6403668A" w14:textId="16989586" w:rsidR="00B44E82" w:rsidRDefault="007A56FF" w:rsidP="006925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06C99" w14:textId="77777777" w:rsidR="00B17DD8" w:rsidRDefault="00B17DD8" w:rsidP="00E17FDD">
      <w:pPr>
        <w:spacing w:after="0" w:line="240" w:lineRule="auto"/>
      </w:pPr>
      <w:r>
        <w:separator/>
      </w:r>
    </w:p>
  </w:footnote>
  <w:footnote w:type="continuationSeparator" w:id="0">
    <w:p w14:paraId="4F147419" w14:textId="77777777" w:rsidR="00B17DD8" w:rsidRDefault="00B17DD8" w:rsidP="00E17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FFFFFFFF"/>
    <w:lvl w:ilvl="0">
      <w:numFmt w:val="bullet"/>
      <w:lvlText w:val="•"/>
      <w:lvlJc w:val="left"/>
      <w:pPr>
        <w:ind w:left="736" w:hanging="311"/>
      </w:pPr>
      <w:rPr>
        <w:rFonts w:ascii="Arial" w:hAnsi="Arial" w:cs="Arial"/>
        <w:b w:val="0"/>
        <w:bCs w:val="0"/>
        <w:i w:val="0"/>
        <w:iCs w:val="0"/>
        <w:w w:val="100"/>
        <w:sz w:val="21"/>
        <w:szCs w:val="21"/>
      </w:rPr>
    </w:lvl>
    <w:lvl w:ilvl="1">
      <w:numFmt w:val="bullet"/>
      <w:lvlText w:val="•"/>
      <w:lvlJc w:val="left"/>
      <w:pPr>
        <w:ind w:left="1811" w:hanging="311"/>
      </w:pPr>
    </w:lvl>
    <w:lvl w:ilvl="2">
      <w:numFmt w:val="bullet"/>
      <w:lvlText w:val="•"/>
      <w:lvlJc w:val="left"/>
      <w:pPr>
        <w:ind w:left="2883" w:hanging="311"/>
      </w:pPr>
    </w:lvl>
    <w:lvl w:ilvl="3">
      <w:numFmt w:val="bullet"/>
      <w:lvlText w:val="•"/>
      <w:lvlJc w:val="left"/>
      <w:pPr>
        <w:ind w:left="3955" w:hanging="311"/>
      </w:pPr>
    </w:lvl>
    <w:lvl w:ilvl="4">
      <w:numFmt w:val="bullet"/>
      <w:lvlText w:val="•"/>
      <w:lvlJc w:val="left"/>
      <w:pPr>
        <w:ind w:left="5027" w:hanging="311"/>
      </w:pPr>
    </w:lvl>
    <w:lvl w:ilvl="5">
      <w:numFmt w:val="bullet"/>
      <w:lvlText w:val="•"/>
      <w:lvlJc w:val="left"/>
      <w:pPr>
        <w:ind w:left="6099" w:hanging="311"/>
      </w:pPr>
    </w:lvl>
    <w:lvl w:ilvl="6">
      <w:numFmt w:val="bullet"/>
      <w:lvlText w:val="•"/>
      <w:lvlJc w:val="left"/>
      <w:pPr>
        <w:ind w:left="7171" w:hanging="311"/>
      </w:pPr>
    </w:lvl>
    <w:lvl w:ilvl="7">
      <w:numFmt w:val="bullet"/>
      <w:lvlText w:val="•"/>
      <w:lvlJc w:val="left"/>
      <w:pPr>
        <w:ind w:left="8243" w:hanging="311"/>
      </w:pPr>
    </w:lvl>
    <w:lvl w:ilvl="8">
      <w:numFmt w:val="bullet"/>
      <w:lvlText w:val="•"/>
      <w:lvlJc w:val="left"/>
      <w:pPr>
        <w:ind w:left="9315" w:hanging="311"/>
      </w:pPr>
    </w:lvl>
  </w:abstractNum>
  <w:abstractNum w:abstractNumId="1" w15:restartNumberingAfterBreak="0">
    <w:nsid w:val="022271F2"/>
    <w:multiLevelType w:val="hybridMultilevel"/>
    <w:tmpl w:val="947E43DC"/>
    <w:lvl w:ilvl="0" w:tplc="D06403E4">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46902"/>
    <w:multiLevelType w:val="hybridMultilevel"/>
    <w:tmpl w:val="63F05D86"/>
    <w:lvl w:ilvl="0" w:tplc="10BE952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46340"/>
    <w:multiLevelType w:val="hybridMultilevel"/>
    <w:tmpl w:val="D62A81CA"/>
    <w:lvl w:ilvl="0" w:tplc="852A1CC2">
      <w:start w:val="1"/>
      <w:numFmt w:val="decimal"/>
      <w:lvlText w:val="%1."/>
      <w:lvlJc w:val="left"/>
      <w:pPr>
        <w:ind w:left="720" w:hanging="360"/>
      </w:pPr>
      <w:rPr>
        <w:rFonts w:hint="default"/>
        <w:b/>
        <w:bCs/>
        <w:i/>
        <w:i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17A32"/>
    <w:multiLevelType w:val="hybridMultilevel"/>
    <w:tmpl w:val="D3AE6FC6"/>
    <w:lvl w:ilvl="0" w:tplc="0BC2686E">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93CF4"/>
    <w:multiLevelType w:val="hybridMultilevel"/>
    <w:tmpl w:val="F2A6609A"/>
    <w:lvl w:ilvl="0" w:tplc="6ABC1DB4">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0678D"/>
    <w:multiLevelType w:val="hybridMultilevel"/>
    <w:tmpl w:val="92BA7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1081F"/>
    <w:multiLevelType w:val="hybridMultilevel"/>
    <w:tmpl w:val="8612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B6C93"/>
    <w:multiLevelType w:val="hybridMultilevel"/>
    <w:tmpl w:val="E38AC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B061B"/>
    <w:multiLevelType w:val="hybridMultilevel"/>
    <w:tmpl w:val="DB90DA32"/>
    <w:lvl w:ilvl="0" w:tplc="325E92F8">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20482"/>
    <w:multiLevelType w:val="hybridMultilevel"/>
    <w:tmpl w:val="21EA5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51E86"/>
    <w:multiLevelType w:val="hybridMultilevel"/>
    <w:tmpl w:val="70C476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A704A"/>
    <w:multiLevelType w:val="hybridMultilevel"/>
    <w:tmpl w:val="0AF2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C3BB5"/>
    <w:multiLevelType w:val="hybridMultilevel"/>
    <w:tmpl w:val="85F6A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506FE"/>
    <w:multiLevelType w:val="hybridMultilevel"/>
    <w:tmpl w:val="E24E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41393"/>
    <w:multiLevelType w:val="hybridMultilevel"/>
    <w:tmpl w:val="3D9A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43D15"/>
    <w:multiLevelType w:val="hybridMultilevel"/>
    <w:tmpl w:val="CE7C1B50"/>
    <w:lvl w:ilvl="0" w:tplc="3578B6F0">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B70A6"/>
    <w:multiLevelType w:val="hybridMultilevel"/>
    <w:tmpl w:val="D2A24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468FF"/>
    <w:multiLevelType w:val="hybridMultilevel"/>
    <w:tmpl w:val="3B0A696C"/>
    <w:lvl w:ilvl="0" w:tplc="10BE952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565350"/>
    <w:multiLevelType w:val="hybridMultilevel"/>
    <w:tmpl w:val="C3D0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B1053"/>
    <w:multiLevelType w:val="hybridMultilevel"/>
    <w:tmpl w:val="F4121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F3ADC"/>
    <w:multiLevelType w:val="hybridMultilevel"/>
    <w:tmpl w:val="E444B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A785C"/>
    <w:multiLevelType w:val="hybridMultilevel"/>
    <w:tmpl w:val="7ABCE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95BA9"/>
    <w:multiLevelType w:val="hybridMultilevel"/>
    <w:tmpl w:val="E094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005C9C"/>
    <w:multiLevelType w:val="hybridMultilevel"/>
    <w:tmpl w:val="3EB6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3708E4"/>
    <w:multiLevelType w:val="hybridMultilevel"/>
    <w:tmpl w:val="A368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77EC7"/>
    <w:multiLevelType w:val="hybridMultilevel"/>
    <w:tmpl w:val="C3841306"/>
    <w:lvl w:ilvl="0" w:tplc="852A1CC2">
      <w:start w:val="1"/>
      <w:numFmt w:val="decimal"/>
      <w:lvlText w:val="%1."/>
      <w:lvlJc w:val="left"/>
      <w:pPr>
        <w:ind w:left="720" w:hanging="360"/>
      </w:pPr>
      <w:rPr>
        <w:rFonts w:hint="default"/>
        <w:b/>
        <w:bCs/>
        <w:i/>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9C296E"/>
    <w:multiLevelType w:val="hybridMultilevel"/>
    <w:tmpl w:val="209444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C1350A"/>
    <w:multiLevelType w:val="hybridMultilevel"/>
    <w:tmpl w:val="E5A0D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9C47D0"/>
    <w:multiLevelType w:val="hybridMultilevel"/>
    <w:tmpl w:val="6E66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F205B1"/>
    <w:multiLevelType w:val="hybridMultilevel"/>
    <w:tmpl w:val="36B8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BA6D1D"/>
    <w:multiLevelType w:val="hybridMultilevel"/>
    <w:tmpl w:val="A2F4D1A4"/>
    <w:lvl w:ilvl="0" w:tplc="F8D485D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874F3F"/>
    <w:multiLevelType w:val="hybridMultilevel"/>
    <w:tmpl w:val="1BE0E05E"/>
    <w:lvl w:ilvl="0" w:tplc="70FAAAE2">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6679AE"/>
    <w:multiLevelType w:val="hybridMultilevel"/>
    <w:tmpl w:val="A08CA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72651">
    <w:abstractNumId w:val="12"/>
  </w:num>
  <w:num w:numId="2" w16cid:durableId="271910693">
    <w:abstractNumId w:val="17"/>
  </w:num>
  <w:num w:numId="3" w16cid:durableId="1067652675">
    <w:abstractNumId w:val="21"/>
  </w:num>
  <w:num w:numId="4" w16cid:durableId="1811822207">
    <w:abstractNumId w:val="30"/>
  </w:num>
  <w:num w:numId="5" w16cid:durableId="1813406354">
    <w:abstractNumId w:val="24"/>
  </w:num>
  <w:num w:numId="6" w16cid:durableId="498932750">
    <w:abstractNumId w:val="18"/>
  </w:num>
  <w:num w:numId="7" w16cid:durableId="1796943451">
    <w:abstractNumId w:val="2"/>
  </w:num>
  <w:num w:numId="8" w16cid:durableId="162283745">
    <w:abstractNumId w:val="22"/>
  </w:num>
  <w:num w:numId="9" w16cid:durableId="829830674">
    <w:abstractNumId w:val="6"/>
  </w:num>
  <w:num w:numId="10" w16cid:durableId="1044015327">
    <w:abstractNumId w:val="3"/>
  </w:num>
  <w:num w:numId="11" w16cid:durableId="1982884621">
    <w:abstractNumId w:val="8"/>
  </w:num>
  <w:num w:numId="12" w16cid:durableId="1084838051">
    <w:abstractNumId w:val="19"/>
  </w:num>
  <w:num w:numId="13" w16cid:durableId="1240362740">
    <w:abstractNumId w:val="29"/>
  </w:num>
  <w:num w:numId="14" w16cid:durableId="1109590434">
    <w:abstractNumId w:val="20"/>
  </w:num>
  <w:num w:numId="15" w16cid:durableId="150103451">
    <w:abstractNumId w:val="26"/>
  </w:num>
  <w:num w:numId="16" w16cid:durableId="1658074812">
    <w:abstractNumId w:val="11"/>
  </w:num>
  <w:num w:numId="17" w16cid:durableId="425687255">
    <w:abstractNumId w:val="23"/>
  </w:num>
  <w:num w:numId="18" w16cid:durableId="1450977173">
    <w:abstractNumId w:val="25"/>
  </w:num>
  <w:num w:numId="19" w16cid:durableId="108205667">
    <w:abstractNumId w:val="10"/>
  </w:num>
  <w:num w:numId="20" w16cid:durableId="83840785">
    <w:abstractNumId w:val="31"/>
  </w:num>
  <w:num w:numId="21" w16cid:durableId="1519583635">
    <w:abstractNumId w:val="0"/>
  </w:num>
  <w:num w:numId="22" w16cid:durableId="1664432015">
    <w:abstractNumId w:val="15"/>
  </w:num>
  <w:num w:numId="23" w16cid:durableId="516582811">
    <w:abstractNumId w:val="14"/>
  </w:num>
  <w:num w:numId="24" w16cid:durableId="1957637048">
    <w:abstractNumId w:val="33"/>
  </w:num>
  <w:num w:numId="25" w16cid:durableId="697778712">
    <w:abstractNumId w:val="27"/>
  </w:num>
  <w:num w:numId="26" w16cid:durableId="1539120640">
    <w:abstractNumId w:val="13"/>
  </w:num>
  <w:num w:numId="27" w16cid:durableId="1700668780">
    <w:abstractNumId w:val="28"/>
  </w:num>
  <w:num w:numId="28" w16cid:durableId="2088190766">
    <w:abstractNumId w:val="4"/>
  </w:num>
  <w:num w:numId="29" w16cid:durableId="715667053">
    <w:abstractNumId w:val="5"/>
  </w:num>
  <w:num w:numId="30" w16cid:durableId="851798522">
    <w:abstractNumId w:val="1"/>
  </w:num>
  <w:num w:numId="31" w16cid:durableId="1629435921">
    <w:abstractNumId w:val="9"/>
  </w:num>
  <w:num w:numId="32" w16cid:durableId="927347326">
    <w:abstractNumId w:val="32"/>
  </w:num>
  <w:num w:numId="33" w16cid:durableId="698749469">
    <w:abstractNumId w:val="7"/>
  </w:num>
  <w:num w:numId="34" w16cid:durableId="16525183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29"/>
    <w:rsid w:val="00000C97"/>
    <w:rsid w:val="000011C8"/>
    <w:rsid w:val="00001D08"/>
    <w:rsid w:val="00001F18"/>
    <w:rsid w:val="00002B99"/>
    <w:rsid w:val="000031A7"/>
    <w:rsid w:val="00003AD9"/>
    <w:rsid w:val="00003FAD"/>
    <w:rsid w:val="00004A73"/>
    <w:rsid w:val="00004F51"/>
    <w:rsid w:val="00004FF0"/>
    <w:rsid w:val="00006D09"/>
    <w:rsid w:val="00007EC3"/>
    <w:rsid w:val="00010320"/>
    <w:rsid w:val="000110A9"/>
    <w:rsid w:val="000111A5"/>
    <w:rsid w:val="00011ADA"/>
    <w:rsid w:val="00011B62"/>
    <w:rsid w:val="0001272C"/>
    <w:rsid w:val="000131C1"/>
    <w:rsid w:val="000131CD"/>
    <w:rsid w:val="00013286"/>
    <w:rsid w:val="0001335E"/>
    <w:rsid w:val="00014CE7"/>
    <w:rsid w:val="00015672"/>
    <w:rsid w:val="000156D7"/>
    <w:rsid w:val="00016499"/>
    <w:rsid w:val="0002099F"/>
    <w:rsid w:val="0002102E"/>
    <w:rsid w:val="00021DD1"/>
    <w:rsid w:val="0002233F"/>
    <w:rsid w:val="00022AC5"/>
    <w:rsid w:val="000230BF"/>
    <w:rsid w:val="000237F6"/>
    <w:rsid w:val="00023E64"/>
    <w:rsid w:val="00023FC9"/>
    <w:rsid w:val="000245D6"/>
    <w:rsid w:val="00025B6F"/>
    <w:rsid w:val="000262D4"/>
    <w:rsid w:val="00026B74"/>
    <w:rsid w:val="00027337"/>
    <w:rsid w:val="000275EF"/>
    <w:rsid w:val="00027A2F"/>
    <w:rsid w:val="00027E19"/>
    <w:rsid w:val="00027EF4"/>
    <w:rsid w:val="00027FF3"/>
    <w:rsid w:val="000314A4"/>
    <w:rsid w:val="00031FAE"/>
    <w:rsid w:val="0003234E"/>
    <w:rsid w:val="0003257D"/>
    <w:rsid w:val="000325AA"/>
    <w:rsid w:val="00032737"/>
    <w:rsid w:val="00032E32"/>
    <w:rsid w:val="0003368A"/>
    <w:rsid w:val="000341DC"/>
    <w:rsid w:val="00034416"/>
    <w:rsid w:val="0003473F"/>
    <w:rsid w:val="000348E6"/>
    <w:rsid w:val="00034F83"/>
    <w:rsid w:val="00034FE5"/>
    <w:rsid w:val="00035519"/>
    <w:rsid w:val="00035D04"/>
    <w:rsid w:val="00036265"/>
    <w:rsid w:val="000365A6"/>
    <w:rsid w:val="000367B2"/>
    <w:rsid w:val="0003732A"/>
    <w:rsid w:val="000376A2"/>
    <w:rsid w:val="000378FB"/>
    <w:rsid w:val="00037AD0"/>
    <w:rsid w:val="00040893"/>
    <w:rsid w:val="00040C6C"/>
    <w:rsid w:val="00040C80"/>
    <w:rsid w:val="0004193F"/>
    <w:rsid w:val="0004194E"/>
    <w:rsid w:val="00041FC3"/>
    <w:rsid w:val="00042240"/>
    <w:rsid w:val="00042757"/>
    <w:rsid w:val="00042870"/>
    <w:rsid w:val="0004387D"/>
    <w:rsid w:val="000438A7"/>
    <w:rsid w:val="00045F33"/>
    <w:rsid w:val="000460A4"/>
    <w:rsid w:val="000461E7"/>
    <w:rsid w:val="000462B3"/>
    <w:rsid w:val="000467C3"/>
    <w:rsid w:val="00046A4D"/>
    <w:rsid w:val="00046B4F"/>
    <w:rsid w:val="00047063"/>
    <w:rsid w:val="00051C21"/>
    <w:rsid w:val="000526AC"/>
    <w:rsid w:val="00052D12"/>
    <w:rsid w:val="00053E57"/>
    <w:rsid w:val="00054752"/>
    <w:rsid w:val="0005591D"/>
    <w:rsid w:val="00055924"/>
    <w:rsid w:val="000559E0"/>
    <w:rsid w:val="0005691E"/>
    <w:rsid w:val="00057AFF"/>
    <w:rsid w:val="00060BB6"/>
    <w:rsid w:val="00060F58"/>
    <w:rsid w:val="00061017"/>
    <w:rsid w:val="00061085"/>
    <w:rsid w:val="0006171D"/>
    <w:rsid w:val="00061B5B"/>
    <w:rsid w:val="00061D0C"/>
    <w:rsid w:val="00061D71"/>
    <w:rsid w:val="000625D0"/>
    <w:rsid w:val="000635B9"/>
    <w:rsid w:val="000636EB"/>
    <w:rsid w:val="00063C48"/>
    <w:rsid w:val="0006419F"/>
    <w:rsid w:val="00064621"/>
    <w:rsid w:val="00064B53"/>
    <w:rsid w:val="000651CF"/>
    <w:rsid w:val="0006549B"/>
    <w:rsid w:val="000657F6"/>
    <w:rsid w:val="00066108"/>
    <w:rsid w:val="000676DE"/>
    <w:rsid w:val="000703A9"/>
    <w:rsid w:val="0007089E"/>
    <w:rsid w:val="00070AB3"/>
    <w:rsid w:val="00070EAD"/>
    <w:rsid w:val="000716B4"/>
    <w:rsid w:val="000727C8"/>
    <w:rsid w:val="00074C7C"/>
    <w:rsid w:val="00074DE8"/>
    <w:rsid w:val="000752E5"/>
    <w:rsid w:val="00075310"/>
    <w:rsid w:val="000754AD"/>
    <w:rsid w:val="000765DD"/>
    <w:rsid w:val="00076922"/>
    <w:rsid w:val="00077C27"/>
    <w:rsid w:val="00080582"/>
    <w:rsid w:val="00080E56"/>
    <w:rsid w:val="000812D0"/>
    <w:rsid w:val="0008144F"/>
    <w:rsid w:val="0008177E"/>
    <w:rsid w:val="000817AF"/>
    <w:rsid w:val="00081A15"/>
    <w:rsid w:val="00082FB7"/>
    <w:rsid w:val="00083796"/>
    <w:rsid w:val="00084C78"/>
    <w:rsid w:val="00085A1B"/>
    <w:rsid w:val="0008679D"/>
    <w:rsid w:val="00086822"/>
    <w:rsid w:val="00086F9B"/>
    <w:rsid w:val="000876FB"/>
    <w:rsid w:val="00090057"/>
    <w:rsid w:val="0009053F"/>
    <w:rsid w:val="00090D4E"/>
    <w:rsid w:val="00090E42"/>
    <w:rsid w:val="00091616"/>
    <w:rsid w:val="00092CF2"/>
    <w:rsid w:val="0009413B"/>
    <w:rsid w:val="00094EA3"/>
    <w:rsid w:val="00094FB4"/>
    <w:rsid w:val="00094FD9"/>
    <w:rsid w:val="000956A1"/>
    <w:rsid w:val="000956B4"/>
    <w:rsid w:val="00095AC7"/>
    <w:rsid w:val="00095C05"/>
    <w:rsid w:val="00095D66"/>
    <w:rsid w:val="00096027"/>
    <w:rsid w:val="00096220"/>
    <w:rsid w:val="00096637"/>
    <w:rsid w:val="00097100"/>
    <w:rsid w:val="0009741D"/>
    <w:rsid w:val="0009780D"/>
    <w:rsid w:val="00097DAF"/>
    <w:rsid w:val="000A1354"/>
    <w:rsid w:val="000A2AC3"/>
    <w:rsid w:val="000A31B2"/>
    <w:rsid w:val="000A3868"/>
    <w:rsid w:val="000A3EBB"/>
    <w:rsid w:val="000A4504"/>
    <w:rsid w:val="000A4A2D"/>
    <w:rsid w:val="000A54A6"/>
    <w:rsid w:val="000A5612"/>
    <w:rsid w:val="000A5748"/>
    <w:rsid w:val="000A57BB"/>
    <w:rsid w:val="000A5818"/>
    <w:rsid w:val="000A5C1B"/>
    <w:rsid w:val="000A6C6F"/>
    <w:rsid w:val="000A74C9"/>
    <w:rsid w:val="000A7698"/>
    <w:rsid w:val="000A7F0B"/>
    <w:rsid w:val="000B03BA"/>
    <w:rsid w:val="000B07A6"/>
    <w:rsid w:val="000B1184"/>
    <w:rsid w:val="000B1422"/>
    <w:rsid w:val="000B1623"/>
    <w:rsid w:val="000B1639"/>
    <w:rsid w:val="000B2170"/>
    <w:rsid w:val="000B25F9"/>
    <w:rsid w:val="000B34B9"/>
    <w:rsid w:val="000B3911"/>
    <w:rsid w:val="000B39EE"/>
    <w:rsid w:val="000B3D60"/>
    <w:rsid w:val="000B4462"/>
    <w:rsid w:val="000B44D5"/>
    <w:rsid w:val="000B521D"/>
    <w:rsid w:val="000B59D7"/>
    <w:rsid w:val="000B760F"/>
    <w:rsid w:val="000B76FD"/>
    <w:rsid w:val="000C1419"/>
    <w:rsid w:val="000C1912"/>
    <w:rsid w:val="000C2FF5"/>
    <w:rsid w:val="000C44A5"/>
    <w:rsid w:val="000C466D"/>
    <w:rsid w:val="000C4854"/>
    <w:rsid w:val="000C5B34"/>
    <w:rsid w:val="000C5B51"/>
    <w:rsid w:val="000C5CBC"/>
    <w:rsid w:val="000C5E0E"/>
    <w:rsid w:val="000C5E32"/>
    <w:rsid w:val="000C66A4"/>
    <w:rsid w:val="000C66E6"/>
    <w:rsid w:val="000C7E11"/>
    <w:rsid w:val="000D0172"/>
    <w:rsid w:val="000D080F"/>
    <w:rsid w:val="000D0BDB"/>
    <w:rsid w:val="000D0C96"/>
    <w:rsid w:val="000D0D7A"/>
    <w:rsid w:val="000D1240"/>
    <w:rsid w:val="000D18CE"/>
    <w:rsid w:val="000D20D8"/>
    <w:rsid w:val="000D2590"/>
    <w:rsid w:val="000D2789"/>
    <w:rsid w:val="000D28C1"/>
    <w:rsid w:val="000D2EB2"/>
    <w:rsid w:val="000D2F6C"/>
    <w:rsid w:val="000D3865"/>
    <w:rsid w:val="000D39F1"/>
    <w:rsid w:val="000D4558"/>
    <w:rsid w:val="000D4737"/>
    <w:rsid w:val="000D5045"/>
    <w:rsid w:val="000D64A0"/>
    <w:rsid w:val="000D6A2D"/>
    <w:rsid w:val="000D6E24"/>
    <w:rsid w:val="000E04DA"/>
    <w:rsid w:val="000E0C2A"/>
    <w:rsid w:val="000E0D5F"/>
    <w:rsid w:val="000E1200"/>
    <w:rsid w:val="000E19BC"/>
    <w:rsid w:val="000E1D60"/>
    <w:rsid w:val="000E23ED"/>
    <w:rsid w:val="000E2A7C"/>
    <w:rsid w:val="000E3457"/>
    <w:rsid w:val="000E3A8B"/>
    <w:rsid w:val="000E437A"/>
    <w:rsid w:val="000E452E"/>
    <w:rsid w:val="000E468D"/>
    <w:rsid w:val="000E48A8"/>
    <w:rsid w:val="000E53CC"/>
    <w:rsid w:val="000E5669"/>
    <w:rsid w:val="000E6EB3"/>
    <w:rsid w:val="000E7108"/>
    <w:rsid w:val="000E7285"/>
    <w:rsid w:val="000E7288"/>
    <w:rsid w:val="000E72AC"/>
    <w:rsid w:val="000E7599"/>
    <w:rsid w:val="000F233D"/>
    <w:rsid w:val="000F263C"/>
    <w:rsid w:val="000F26E4"/>
    <w:rsid w:val="000F285C"/>
    <w:rsid w:val="000F3563"/>
    <w:rsid w:val="000F41B4"/>
    <w:rsid w:val="000F4518"/>
    <w:rsid w:val="000F49BC"/>
    <w:rsid w:val="000F5012"/>
    <w:rsid w:val="000F51F0"/>
    <w:rsid w:val="000F533D"/>
    <w:rsid w:val="000F5D8D"/>
    <w:rsid w:val="000F63B6"/>
    <w:rsid w:val="000F6663"/>
    <w:rsid w:val="000F6F20"/>
    <w:rsid w:val="000F7E77"/>
    <w:rsid w:val="001004D3"/>
    <w:rsid w:val="001005F2"/>
    <w:rsid w:val="00100FD2"/>
    <w:rsid w:val="00101411"/>
    <w:rsid w:val="001018E5"/>
    <w:rsid w:val="00101FD2"/>
    <w:rsid w:val="001027BF"/>
    <w:rsid w:val="0010288C"/>
    <w:rsid w:val="00102932"/>
    <w:rsid w:val="00103404"/>
    <w:rsid w:val="0010373E"/>
    <w:rsid w:val="001037C7"/>
    <w:rsid w:val="001039DC"/>
    <w:rsid w:val="00103CEB"/>
    <w:rsid w:val="0010407D"/>
    <w:rsid w:val="00105A55"/>
    <w:rsid w:val="00105C7D"/>
    <w:rsid w:val="00106541"/>
    <w:rsid w:val="001067AC"/>
    <w:rsid w:val="00106F99"/>
    <w:rsid w:val="001075EE"/>
    <w:rsid w:val="00107670"/>
    <w:rsid w:val="00107AF1"/>
    <w:rsid w:val="00110503"/>
    <w:rsid w:val="00111181"/>
    <w:rsid w:val="00111650"/>
    <w:rsid w:val="00111D57"/>
    <w:rsid w:val="00112DC6"/>
    <w:rsid w:val="00113393"/>
    <w:rsid w:val="00113BD1"/>
    <w:rsid w:val="001144BA"/>
    <w:rsid w:val="001148F5"/>
    <w:rsid w:val="0011509E"/>
    <w:rsid w:val="00116692"/>
    <w:rsid w:val="0011673E"/>
    <w:rsid w:val="00116B3C"/>
    <w:rsid w:val="00116FA2"/>
    <w:rsid w:val="00117D00"/>
    <w:rsid w:val="00117ED7"/>
    <w:rsid w:val="00120BE8"/>
    <w:rsid w:val="00120D77"/>
    <w:rsid w:val="00120E32"/>
    <w:rsid w:val="0012106B"/>
    <w:rsid w:val="00121394"/>
    <w:rsid w:val="00121AB4"/>
    <w:rsid w:val="0012272C"/>
    <w:rsid w:val="00122809"/>
    <w:rsid w:val="00122985"/>
    <w:rsid w:val="00122E9B"/>
    <w:rsid w:val="001231E0"/>
    <w:rsid w:val="001232B1"/>
    <w:rsid w:val="00123693"/>
    <w:rsid w:val="00123C9A"/>
    <w:rsid w:val="00123D2D"/>
    <w:rsid w:val="001240E5"/>
    <w:rsid w:val="00124A36"/>
    <w:rsid w:val="00124F3A"/>
    <w:rsid w:val="00125103"/>
    <w:rsid w:val="001268F9"/>
    <w:rsid w:val="00126C6C"/>
    <w:rsid w:val="00126D15"/>
    <w:rsid w:val="00127051"/>
    <w:rsid w:val="00127131"/>
    <w:rsid w:val="00127654"/>
    <w:rsid w:val="00130932"/>
    <w:rsid w:val="00131B27"/>
    <w:rsid w:val="00131FC2"/>
    <w:rsid w:val="00132178"/>
    <w:rsid w:val="00132933"/>
    <w:rsid w:val="00132E88"/>
    <w:rsid w:val="00133138"/>
    <w:rsid w:val="00133650"/>
    <w:rsid w:val="001336DB"/>
    <w:rsid w:val="00133B48"/>
    <w:rsid w:val="00133C61"/>
    <w:rsid w:val="00133EA0"/>
    <w:rsid w:val="0013406E"/>
    <w:rsid w:val="001341EA"/>
    <w:rsid w:val="0013469C"/>
    <w:rsid w:val="00134ACD"/>
    <w:rsid w:val="00134C72"/>
    <w:rsid w:val="00134DBD"/>
    <w:rsid w:val="001363D2"/>
    <w:rsid w:val="0013752A"/>
    <w:rsid w:val="001379D2"/>
    <w:rsid w:val="00140032"/>
    <w:rsid w:val="001412E1"/>
    <w:rsid w:val="001419BE"/>
    <w:rsid w:val="00141D03"/>
    <w:rsid w:val="00142015"/>
    <w:rsid w:val="001427DB"/>
    <w:rsid w:val="00142999"/>
    <w:rsid w:val="00142F6B"/>
    <w:rsid w:val="0014339E"/>
    <w:rsid w:val="00144010"/>
    <w:rsid w:val="00144ABD"/>
    <w:rsid w:val="001450E3"/>
    <w:rsid w:val="00146178"/>
    <w:rsid w:val="00146A0D"/>
    <w:rsid w:val="00146AAE"/>
    <w:rsid w:val="00146D39"/>
    <w:rsid w:val="00146E24"/>
    <w:rsid w:val="00147322"/>
    <w:rsid w:val="00147FE6"/>
    <w:rsid w:val="001509FB"/>
    <w:rsid w:val="001512E8"/>
    <w:rsid w:val="00151DCE"/>
    <w:rsid w:val="001522D3"/>
    <w:rsid w:val="0015348D"/>
    <w:rsid w:val="00153DD3"/>
    <w:rsid w:val="00153EC2"/>
    <w:rsid w:val="00154752"/>
    <w:rsid w:val="00154A33"/>
    <w:rsid w:val="00154E60"/>
    <w:rsid w:val="001556B0"/>
    <w:rsid w:val="0015663D"/>
    <w:rsid w:val="00156B21"/>
    <w:rsid w:val="00156D25"/>
    <w:rsid w:val="00156EF4"/>
    <w:rsid w:val="001602AB"/>
    <w:rsid w:val="00160386"/>
    <w:rsid w:val="0016397E"/>
    <w:rsid w:val="00163EBF"/>
    <w:rsid w:val="00164018"/>
    <w:rsid w:val="00164B77"/>
    <w:rsid w:val="00164C53"/>
    <w:rsid w:val="001651E2"/>
    <w:rsid w:val="00165249"/>
    <w:rsid w:val="00165FFF"/>
    <w:rsid w:val="0016631F"/>
    <w:rsid w:val="0016643B"/>
    <w:rsid w:val="00166D9C"/>
    <w:rsid w:val="00167142"/>
    <w:rsid w:val="00167526"/>
    <w:rsid w:val="00167B90"/>
    <w:rsid w:val="001702A2"/>
    <w:rsid w:val="00170BC1"/>
    <w:rsid w:val="00170FA5"/>
    <w:rsid w:val="00171568"/>
    <w:rsid w:val="0017181A"/>
    <w:rsid w:val="00171D9A"/>
    <w:rsid w:val="00171F4B"/>
    <w:rsid w:val="00172F2F"/>
    <w:rsid w:val="00173565"/>
    <w:rsid w:val="0017372B"/>
    <w:rsid w:val="00173970"/>
    <w:rsid w:val="00173C0B"/>
    <w:rsid w:val="00174213"/>
    <w:rsid w:val="001744C8"/>
    <w:rsid w:val="00174633"/>
    <w:rsid w:val="00175137"/>
    <w:rsid w:val="001751DA"/>
    <w:rsid w:val="0017573E"/>
    <w:rsid w:val="00175FB9"/>
    <w:rsid w:val="00176BB5"/>
    <w:rsid w:val="001773EC"/>
    <w:rsid w:val="0017785C"/>
    <w:rsid w:val="00177F46"/>
    <w:rsid w:val="00180B12"/>
    <w:rsid w:val="00180C8B"/>
    <w:rsid w:val="00180FAE"/>
    <w:rsid w:val="00181E31"/>
    <w:rsid w:val="00182408"/>
    <w:rsid w:val="00183650"/>
    <w:rsid w:val="001839DA"/>
    <w:rsid w:val="00183D9F"/>
    <w:rsid w:val="00186A80"/>
    <w:rsid w:val="00186EEC"/>
    <w:rsid w:val="001871A4"/>
    <w:rsid w:val="0018778C"/>
    <w:rsid w:val="001901D1"/>
    <w:rsid w:val="00190671"/>
    <w:rsid w:val="0019116B"/>
    <w:rsid w:val="001914DE"/>
    <w:rsid w:val="0019236E"/>
    <w:rsid w:val="0019390B"/>
    <w:rsid w:val="00193FB9"/>
    <w:rsid w:val="00194643"/>
    <w:rsid w:val="00194BE7"/>
    <w:rsid w:val="00195402"/>
    <w:rsid w:val="00195B36"/>
    <w:rsid w:val="0019669F"/>
    <w:rsid w:val="001966CD"/>
    <w:rsid w:val="001968AD"/>
    <w:rsid w:val="00196F99"/>
    <w:rsid w:val="0019705B"/>
    <w:rsid w:val="0019774F"/>
    <w:rsid w:val="001A02EC"/>
    <w:rsid w:val="001A08A8"/>
    <w:rsid w:val="001A0D2D"/>
    <w:rsid w:val="001A0DE2"/>
    <w:rsid w:val="001A1DDC"/>
    <w:rsid w:val="001A41DA"/>
    <w:rsid w:val="001A527E"/>
    <w:rsid w:val="001A55F2"/>
    <w:rsid w:val="001A597C"/>
    <w:rsid w:val="001A5E90"/>
    <w:rsid w:val="001A6332"/>
    <w:rsid w:val="001A65EB"/>
    <w:rsid w:val="001A6660"/>
    <w:rsid w:val="001A6680"/>
    <w:rsid w:val="001A6B9B"/>
    <w:rsid w:val="001A6E56"/>
    <w:rsid w:val="001A7029"/>
    <w:rsid w:val="001A78D4"/>
    <w:rsid w:val="001A7CE4"/>
    <w:rsid w:val="001B0D1B"/>
    <w:rsid w:val="001B13B8"/>
    <w:rsid w:val="001B14FA"/>
    <w:rsid w:val="001B21F1"/>
    <w:rsid w:val="001B23C9"/>
    <w:rsid w:val="001B2463"/>
    <w:rsid w:val="001B28BD"/>
    <w:rsid w:val="001B29F9"/>
    <w:rsid w:val="001B2FAD"/>
    <w:rsid w:val="001B34FA"/>
    <w:rsid w:val="001B42A3"/>
    <w:rsid w:val="001B5446"/>
    <w:rsid w:val="001B6584"/>
    <w:rsid w:val="001B6AE6"/>
    <w:rsid w:val="001B6C2E"/>
    <w:rsid w:val="001B6E8D"/>
    <w:rsid w:val="001B77CA"/>
    <w:rsid w:val="001B7A65"/>
    <w:rsid w:val="001C1BA9"/>
    <w:rsid w:val="001C1CA4"/>
    <w:rsid w:val="001C1EA5"/>
    <w:rsid w:val="001C2AA9"/>
    <w:rsid w:val="001C32AD"/>
    <w:rsid w:val="001C6041"/>
    <w:rsid w:val="001C66E2"/>
    <w:rsid w:val="001C6C40"/>
    <w:rsid w:val="001C6FA4"/>
    <w:rsid w:val="001C6FBD"/>
    <w:rsid w:val="001C7278"/>
    <w:rsid w:val="001C7B62"/>
    <w:rsid w:val="001C7FF2"/>
    <w:rsid w:val="001D10C7"/>
    <w:rsid w:val="001D272C"/>
    <w:rsid w:val="001D275D"/>
    <w:rsid w:val="001D2FD5"/>
    <w:rsid w:val="001D304A"/>
    <w:rsid w:val="001D36D7"/>
    <w:rsid w:val="001D40D5"/>
    <w:rsid w:val="001D42C0"/>
    <w:rsid w:val="001D487E"/>
    <w:rsid w:val="001D4CA2"/>
    <w:rsid w:val="001D4F0D"/>
    <w:rsid w:val="001D5A6A"/>
    <w:rsid w:val="001D5A85"/>
    <w:rsid w:val="001D67D4"/>
    <w:rsid w:val="001D69CE"/>
    <w:rsid w:val="001D6B64"/>
    <w:rsid w:val="001D75DA"/>
    <w:rsid w:val="001D7C4C"/>
    <w:rsid w:val="001D7F77"/>
    <w:rsid w:val="001E0613"/>
    <w:rsid w:val="001E0ECE"/>
    <w:rsid w:val="001E1083"/>
    <w:rsid w:val="001E1388"/>
    <w:rsid w:val="001E2A4A"/>
    <w:rsid w:val="001E3403"/>
    <w:rsid w:val="001E3FA8"/>
    <w:rsid w:val="001E4193"/>
    <w:rsid w:val="001E43BC"/>
    <w:rsid w:val="001E4502"/>
    <w:rsid w:val="001E464B"/>
    <w:rsid w:val="001E4B3E"/>
    <w:rsid w:val="001E6191"/>
    <w:rsid w:val="001E7F6D"/>
    <w:rsid w:val="001F07C2"/>
    <w:rsid w:val="001F0892"/>
    <w:rsid w:val="001F09C5"/>
    <w:rsid w:val="001F0A3D"/>
    <w:rsid w:val="001F2073"/>
    <w:rsid w:val="001F22AF"/>
    <w:rsid w:val="001F23EA"/>
    <w:rsid w:val="001F2966"/>
    <w:rsid w:val="001F33F9"/>
    <w:rsid w:val="001F4011"/>
    <w:rsid w:val="001F412F"/>
    <w:rsid w:val="001F519C"/>
    <w:rsid w:val="001F6890"/>
    <w:rsid w:val="001F6B32"/>
    <w:rsid w:val="001F7188"/>
    <w:rsid w:val="001F78AA"/>
    <w:rsid w:val="001F7923"/>
    <w:rsid w:val="001F7A64"/>
    <w:rsid w:val="00200506"/>
    <w:rsid w:val="00200647"/>
    <w:rsid w:val="00200806"/>
    <w:rsid w:val="002008F6"/>
    <w:rsid w:val="002011DC"/>
    <w:rsid w:val="002012BD"/>
    <w:rsid w:val="00201616"/>
    <w:rsid w:val="002017C5"/>
    <w:rsid w:val="00201F1C"/>
    <w:rsid w:val="00202110"/>
    <w:rsid w:val="00202779"/>
    <w:rsid w:val="00203ECC"/>
    <w:rsid w:val="002042FC"/>
    <w:rsid w:val="0020437E"/>
    <w:rsid w:val="00204743"/>
    <w:rsid w:val="002047DD"/>
    <w:rsid w:val="00204902"/>
    <w:rsid w:val="00204C86"/>
    <w:rsid w:val="00204FF7"/>
    <w:rsid w:val="002056DD"/>
    <w:rsid w:val="0020673B"/>
    <w:rsid w:val="00206F4F"/>
    <w:rsid w:val="002073F7"/>
    <w:rsid w:val="0020766E"/>
    <w:rsid w:val="0020795D"/>
    <w:rsid w:val="00207C31"/>
    <w:rsid w:val="002100D3"/>
    <w:rsid w:val="00210607"/>
    <w:rsid w:val="0021096E"/>
    <w:rsid w:val="00211549"/>
    <w:rsid w:val="002127CE"/>
    <w:rsid w:val="0021343C"/>
    <w:rsid w:val="00214827"/>
    <w:rsid w:val="00215A50"/>
    <w:rsid w:val="002162BC"/>
    <w:rsid w:val="00217B37"/>
    <w:rsid w:val="0022002C"/>
    <w:rsid w:val="002217B2"/>
    <w:rsid w:val="00222ABD"/>
    <w:rsid w:val="00222CD8"/>
    <w:rsid w:val="00222F33"/>
    <w:rsid w:val="0022337E"/>
    <w:rsid w:val="00223DC2"/>
    <w:rsid w:val="00223DF9"/>
    <w:rsid w:val="00224EFB"/>
    <w:rsid w:val="00224FE9"/>
    <w:rsid w:val="00225396"/>
    <w:rsid w:val="0022546D"/>
    <w:rsid w:val="00225897"/>
    <w:rsid w:val="002262DD"/>
    <w:rsid w:val="00226D5F"/>
    <w:rsid w:val="002271BD"/>
    <w:rsid w:val="00227DB7"/>
    <w:rsid w:val="0023020B"/>
    <w:rsid w:val="0023061E"/>
    <w:rsid w:val="002306D8"/>
    <w:rsid w:val="0023089A"/>
    <w:rsid w:val="00230A9E"/>
    <w:rsid w:val="00230BFD"/>
    <w:rsid w:val="00231353"/>
    <w:rsid w:val="002313BB"/>
    <w:rsid w:val="00231712"/>
    <w:rsid w:val="0023177F"/>
    <w:rsid w:val="002317CC"/>
    <w:rsid w:val="002320C1"/>
    <w:rsid w:val="00232829"/>
    <w:rsid w:val="002339DA"/>
    <w:rsid w:val="00233C65"/>
    <w:rsid w:val="002341E7"/>
    <w:rsid w:val="002343D0"/>
    <w:rsid w:val="002343E6"/>
    <w:rsid w:val="00234633"/>
    <w:rsid w:val="00234640"/>
    <w:rsid w:val="0023474B"/>
    <w:rsid w:val="00234A40"/>
    <w:rsid w:val="00234BD8"/>
    <w:rsid w:val="00234DD1"/>
    <w:rsid w:val="00234F49"/>
    <w:rsid w:val="00234FEE"/>
    <w:rsid w:val="002351B3"/>
    <w:rsid w:val="00235343"/>
    <w:rsid w:val="00235A80"/>
    <w:rsid w:val="00236536"/>
    <w:rsid w:val="00236AED"/>
    <w:rsid w:val="00236C83"/>
    <w:rsid w:val="002373B3"/>
    <w:rsid w:val="00237404"/>
    <w:rsid w:val="0023773E"/>
    <w:rsid w:val="00240BC0"/>
    <w:rsid w:val="00240C4B"/>
    <w:rsid w:val="002413C1"/>
    <w:rsid w:val="00241424"/>
    <w:rsid w:val="00241431"/>
    <w:rsid w:val="00241792"/>
    <w:rsid w:val="002424C0"/>
    <w:rsid w:val="002425D5"/>
    <w:rsid w:val="0024284D"/>
    <w:rsid w:val="002428D3"/>
    <w:rsid w:val="00242E8C"/>
    <w:rsid w:val="0024365A"/>
    <w:rsid w:val="002437A1"/>
    <w:rsid w:val="00244C77"/>
    <w:rsid w:val="00245B88"/>
    <w:rsid w:val="00245FC5"/>
    <w:rsid w:val="00246DD5"/>
    <w:rsid w:val="00247213"/>
    <w:rsid w:val="00247545"/>
    <w:rsid w:val="00250120"/>
    <w:rsid w:val="0025070E"/>
    <w:rsid w:val="00250D31"/>
    <w:rsid w:val="00251142"/>
    <w:rsid w:val="00251649"/>
    <w:rsid w:val="00251AC7"/>
    <w:rsid w:val="00251BAE"/>
    <w:rsid w:val="00251C61"/>
    <w:rsid w:val="00252956"/>
    <w:rsid w:val="00252E10"/>
    <w:rsid w:val="00253A59"/>
    <w:rsid w:val="00253B0E"/>
    <w:rsid w:val="002549C5"/>
    <w:rsid w:val="00255A3A"/>
    <w:rsid w:val="00255E5C"/>
    <w:rsid w:val="00256094"/>
    <w:rsid w:val="002563EF"/>
    <w:rsid w:val="00256E83"/>
    <w:rsid w:val="00256F61"/>
    <w:rsid w:val="00257177"/>
    <w:rsid w:val="0025798A"/>
    <w:rsid w:val="00261C08"/>
    <w:rsid w:val="00261E0F"/>
    <w:rsid w:val="00262B5D"/>
    <w:rsid w:val="002645E2"/>
    <w:rsid w:val="002645F3"/>
    <w:rsid w:val="0026480E"/>
    <w:rsid w:val="0026489B"/>
    <w:rsid w:val="00264A73"/>
    <w:rsid w:val="00264D8A"/>
    <w:rsid w:val="002655AF"/>
    <w:rsid w:val="0026566E"/>
    <w:rsid w:val="0026568B"/>
    <w:rsid w:val="00266569"/>
    <w:rsid w:val="002666E3"/>
    <w:rsid w:val="00267996"/>
    <w:rsid w:val="00267E35"/>
    <w:rsid w:val="002706DA"/>
    <w:rsid w:val="002713AE"/>
    <w:rsid w:val="00271D28"/>
    <w:rsid w:val="00272A31"/>
    <w:rsid w:val="00272A47"/>
    <w:rsid w:val="00272B7B"/>
    <w:rsid w:val="00272E50"/>
    <w:rsid w:val="00273487"/>
    <w:rsid w:val="00273B39"/>
    <w:rsid w:val="00273C63"/>
    <w:rsid w:val="00273ED2"/>
    <w:rsid w:val="002741EB"/>
    <w:rsid w:val="00274595"/>
    <w:rsid w:val="00274E80"/>
    <w:rsid w:val="00276297"/>
    <w:rsid w:val="002762BC"/>
    <w:rsid w:val="00276749"/>
    <w:rsid w:val="002769AD"/>
    <w:rsid w:val="00276A01"/>
    <w:rsid w:val="0027713B"/>
    <w:rsid w:val="00277E3B"/>
    <w:rsid w:val="0028075E"/>
    <w:rsid w:val="00280CEE"/>
    <w:rsid w:val="00281370"/>
    <w:rsid w:val="002816A8"/>
    <w:rsid w:val="002822F6"/>
    <w:rsid w:val="00282512"/>
    <w:rsid w:val="0028314D"/>
    <w:rsid w:val="00283391"/>
    <w:rsid w:val="00284A89"/>
    <w:rsid w:val="00284EE2"/>
    <w:rsid w:val="00285335"/>
    <w:rsid w:val="0028543B"/>
    <w:rsid w:val="00285E95"/>
    <w:rsid w:val="00290090"/>
    <w:rsid w:val="00291F5E"/>
    <w:rsid w:val="002926E0"/>
    <w:rsid w:val="00292AF2"/>
    <w:rsid w:val="00292EB9"/>
    <w:rsid w:val="002943E7"/>
    <w:rsid w:val="00294551"/>
    <w:rsid w:val="002945EB"/>
    <w:rsid w:val="00295081"/>
    <w:rsid w:val="00295A71"/>
    <w:rsid w:val="00296578"/>
    <w:rsid w:val="002A04A9"/>
    <w:rsid w:val="002A04C1"/>
    <w:rsid w:val="002A1D40"/>
    <w:rsid w:val="002A2435"/>
    <w:rsid w:val="002A27F1"/>
    <w:rsid w:val="002A29CC"/>
    <w:rsid w:val="002A2B32"/>
    <w:rsid w:val="002A2D64"/>
    <w:rsid w:val="002A32CE"/>
    <w:rsid w:val="002A33DD"/>
    <w:rsid w:val="002A3B7E"/>
    <w:rsid w:val="002A3BC5"/>
    <w:rsid w:val="002A42B0"/>
    <w:rsid w:val="002A5AAB"/>
    <w:rsid w:val="002A63A2"/>
    <w:rsid w:val="002A645E"/>
    <w:rsid w:val="002A767C"/>
    <w:rsid w:val="002A7C5A"/>
    <w:rsid w:val="002B1115"/>
    <w:rsid w:val="002B13D3"/>
    <w:rsid w:val="002B15E7"/>
    <w:rsid w:val="002B2292"/>
    <w:rsid w:val="002B2F07"/>
    <w:rsid w:val="002B332A"/>
    <w:rsid w:val="002B3D45"/>
    <w:rsid w:val="002B442A"/>
    <w:rsid w:val="002B446B"/>
    <w:rsid w:val="002B4EB4"/>
    <w:rsid w:val="002B4EC2"/>
    <w:rsid w:val="002B4FD1"/>
    <w:rsid w:val="002B5CBE"/>
    <w:rsid w:val="002B6628"/>
    <w:rsid w:val="002B6704"/>
    <w:rsid w:val="002B6F77"/>
    <w:rsid w:val="002B7A3B"/>
    <w:rsid w:val="002B7B00"/>
    <w:rsid w:val="002C0F67"/>
    <w:rsid w:val="002C1856"/>
    <w:rsid w:val="002C1AB2"/>
    <w:rsid w:val="002C1C07"/>
    <w:rsid w:val="002C1FF3"/>
    <w:rsid w:val="002C2BA0"/>
    <w:rsid w:val="002C2C0F"/>
    <w:rsid w:val="002C3390"/>
    <w:rsid w:val="002C36F8"/>
    <w:rsid w:val="002C378E"/>
    <w:rsid w:val="002C3BDB"/>
    <w:rsid w:val="002C46FC"/>
    <w:rsid w:val="002C47BF"/>
    <w:rsid w:val="002C565E"/>
    <w:rsid w:val="002C5814"/>
    <w:rsid w:val="002C5E58"/>
    <w:rsid w:val="002C5F7A"/>
    <w:rsid w:val="002C6460"/>
    <w:rsid w:val="002C6962"/>
    <w:rsid w:val="002C6AD4"/>
    <w:rsid w:val="002C6C5D"/>
    <w:rsid w:val="002C74DF"/>
    <w:rsid w:val="002D0A8F"/>
    <w:rsid w:val="002D1A59"/>
    <w:rsid w:val="002D1AF9"/>
    <w:rsid w:val="002D1C0F"/>
    <w:rsid w:val="002D3BED"/>
    <w:rsid w:val="002D3BFF"/>
    <w:rsid w:val="002D4954"/>
    <w:rsid w:val="002D4DD4"/>
    <w:rsid w:val="002D5E60"/>
    <w:rsid w:val="002D6293"/>
    <w:rsid w:val="002D64E9"/>
    <w:rsid w:val="002D6AEE"/>
    <w:rsid w:val="002D7C50"/>
    <w:rsid w:val="002D7D25"/>
    <w:rsid w:val="002D7F1E"/>
    <w:rsid w:val="002E0270"/>
    <w:rsid w:val="002E259C"/>
    <w:rsid w:val="002E28BF"/>
    <w:rsid w:val="002E28F8"/>
    <w:rsid w:val="002E2DDA"/>
    <w:rsid w:val="002E3D49"/>
    <w:rsid w:val="002E4123"/>
    <w:rsid w:val="002E52F9"/>
    <w:rsid w:val="002E5640"/>
    <w:rsid w:val="002E5EFA"/>
    <w:rsid w:val="002E6040"/>
    <w:rsid w:val="002E6B5E"/>
    <w:rsid w:val="002E77DE"/>
    <w:rsid w:val="002E7CAE"/>
    <w:rsid w:val="002E7F60"/>
    <w:rsid w:val="002F00A2"/>
    <w:rsid w:val="002F0715"/>
    <w:rsid w:val="002F18BC"/>
    <w:rsid w:val="002F1EBB"/>
    <w:rsid w:val="002F2151"/>
    <w:rsid w:val="002F327D"/>
    <w:rsid w:val="002F34BC"/>
    <w:rsid w:val="002F3E5D"/>
    <w:rsid w:val="002F51D8"/>
    <w:rsid w:val="002F6F81"/>
    <w:rsid w:val="002F745C"/>
    <w:rsid w:val="002F764D"/>
    <w:rsid w:val="002F7706"/>
    <w:rsid w:val="002F7E32"/>
    <w:rsid w:val="003002EB"/>
    <w:rsid w:val="00300728"/>
    <w:rsid w:val="00300AF4"/>
    <w:rsid w:val="00300BAA"/>
    <w:rsid w:val="0030120D"/>
    <w:rsid w:val="003018E7"/>
    <w:rsid w:val="00301EBE"/>
    <w:rsid w:val="003023D0"/>
    <w:rsid w:val="00302B96"/>
    <w:rsid w:val="00302CDF"/>
    <w:rsid w:val="00302D70"/>
    <w:rsid w:val="00302FDE"/>
    <w:rsid w:val="003033A7"/>
    <w:rsid w:val="00304975"/>
    <w:rsid w:val="0030542E"/>
    <w:rsid w:val="0030543D"/>
    <w:rsid w:val="00305A1B"/>
    <w:rsid w:val="00305BB4"/>
    <w:rsid w:val="003064BE"/>
    <w:rsid w:val="00306570"/>
    <w:rsid w:val="00306CD9"/>
    <w:rsid w:val="00307143"/>
    <w:rsid w:val="00307195"/>
    <w:rsid w:val="00307735"/>
    <w:rsid w:val="00307BB0"/>
    <w:rsid w:val="003101DF"/>
    <w:rsid w:val="00311198"/>
    <w:rsid w:val="00311619"/>
    <w:rsid w:val="00311C0D"/>
    <w:rsid w:val="00311E96"/>
    <w:rsid w:val="00312CE8"/>
    <w:rsid w:val="00313495"/>
    <w:rsid w:val="00313BD2"/>
    <w:rsid w:val="0031414E"/>
    <w:rsid w:val="003142A9"/>
    <w:rsid w:val="003145B9"/>
    <w:rsid w:val="003148D4"/>
    <w:rsid w:val="00314C8C"/>
    <w:rsid w:val="00314F4B"/>
    <w:rsid w:val="003152DA"/>
    <w:rsid w:val="0031603B"/>
    <w:rsid w:val="003167BF"/>
    <w:rsid w:val="00317049"/>
    <w:rsid w:val="0031747D"/>
    <w:rsid w:val="00317653"/>
    <w:rsid w:val="00317E08"/>
    <w:rsid w:val="00317EEB"/>
    <w:rsid w:val="003201CD"/>
    <w:rsid w:val="00320371"/>
    <w:rsid w:val="00320CFE"/>
    <w:rsid w:val="003220BF"/>
    <w:rsid w:val="003231E5"/>
    <w:rsid w:val="00323A44"/>
    <w:rsid w:val="00323C45"/>
    <w:rsid w:val="00324544"/>
    <w:rsid w:val="00324731"/>
    <w:rsid w:val="00325169"/>
    <w:rsid w:val="003252B1"/>
    <w:rsid w:val="00325E6A"/>
    <w:rsid w:val="00326273"/>
    <w:rsid w:val="003267D1"/>
    <w:rsid w:val="00326CFE"/>
    <w:rsid w:val="00326FB0"/>
    <w:rsid w:val="003277F0"/>
    <w:rsid w:val="00330382"/>
    <w:rsid w:val="0033089F"/>
    <w:rsid w:val="00330B56"/>
    <w:rsid w:val="00330E61"/>
    <w:rsid w:val="00330F47"/>
    <w:rsid w:val="00331D84"/>
    <w:rsid w:val="0033284A"/>
    <w:rsid w:val="003339B1"/>
    <w:rsid w:val="00334811"/>
    <w:rsid w:val="00334CB2"/>
    <w:rsid w:val="00334E5D"/>
    <w:rsid w:val="00335B0A"/>
    <w:rsid w:val="00335C97"/>
    <w:rsid w:val="00340583"/>
    <w:rsid w:val="003408B7"/>
    <w:rsid w:val="00340A75"/>
    <w:rsid w:val="00341104"/>
    <w:rsid w:val="003411BC"/>
    <w:rsid w:val="00342801"/>
    <w:rsid w:val="00342F82"/>
    <w:rsid w:val="00343DE0"/>
    <w:rsid w:val="0034602E"/>
    <w:rsid w:val="003465C5"/>
    <w:rsid w:val="00346618"/>
    <w:rsid w:val="00346897"/>
    <w:rsid w:val="003473AA"/>
    <w:rsid w:val="00347A6C"/>
    <w:rsid w:val="00350F07"/>
    <w:rsid w:val="003512E1"/>
    <w:rsid w:val="0035217E"/>
    <w:rsid w:val="003538E3"/>
    <w:rsid w:val="0035407E"/>
    <w:rsid w:val="003541B2"/>
    <w:rsid w:val="0035595B"/>
    <w:rsid w:val="00355BBD"/>
    <w:rsid w:val="003568B4"/>
    <w:rsid w:val="00356B81"/>
    <w:rsid w:val="00356F2E"/>
    <w:rsid w:val="00357580"/>
    <w:rsid w:val="00360286"/>
    <w:rsid w:val="00361430"/>
    <w:rsid w:val="00361B32"/>
    <w:rsid w:val="00361DA0"/>
    <w:rsid w:val="003622C9"/>
    <w:rsid w:val="00362C97"/>
    <w:rsid w:val="00362CE6"/>
    <w:rsid w:val="00362E45"/>
    <w:rsid w:val="00362E90"/>
    <w:rsid w:val="00363616"/>
    <w:rsid w:val="003636CB"/>
    <w:rsid w:val="00364A14"/>
    <w:rsid w:val="00364A43"/>
    <w:rsid w:val="00365BD4"/>
    <w:rsid w:val="0036616F"/>
    <w:rsid w:val="003667BE"/>
    <w:rsid w:val="00370EC7"/>
    <w:rsid w:val="00371150"/>
    <w:rsid w:val="00371321"/>
    <w:rsid w:val="00371326"/>
    <w:rsid w:val="0037139C"/>
    <w:rsid w:val="00372575"/>
    <w:rsid w:val="00372CC4"/>
    <w:rsid w:val="00373A24"/>
    <w:rsid w:val="00373FF8"/>
    <w:rsid w:val="0037454A"/>
    <w:rsid w:val="00374F64"/>
    <w:rsid w:val="00375B28"/>
    <w:rsid w:val="00375BD0"/>
    <w:rsid w:val="00375D1F"/>
    <w:rsid w:val="00376042"/>
    <w:rsid w:val="003762B2"/>
    <w:rsid w:val="00376C9A"/>
    <w:rsid w:val="00377D67"/>
    <w:rsid w:val="00377D9E"/>
    <w:rsid w:val="00380274"/>
    <w:rsid w:val="003806C2"/>
    <w:rsid w:val="0038070B"/>
    <w:rsid w:val="00380BA3"/>
    <w:rsid w:val="00381859"/>
    <w:rsid w:val="0038191D"/>
    <w:rsid w:val="00381F9F"/>
    <w:rsid w:val="00382664"/>
    <w:rsid w:val="003848BE"/>
    <w:rsid w:val="00384E04"/>
    <w:rsid w:val="00385A62"/>
    <w:rsid w:val="0038665C"/>
    <w:rsid w:val="003868B6"/>
    <w:rsid w:val="00386C8A"/>
    <w:rsid w:val="00386ED0"/>
    <w:rsid w:val="0038726D"/>
    <w:rsid w:val="00387B59"/>
    <w:rsid w:val="00390360"/>
    <w:rsid w:val="0039048C"/>
    <w:rsid w:val="00390696"/>
    <w:rsid w:val="00390BE0"/>
    <w:rsid w:val="003912A7"/>
    <w:rsid w:val="0039179A"/>
    <w:rsid w:val="0039211C"/>
    <w:rsid w:val="00392C2F"/>
    <w:rsid w:val="0039361D"/>
    <w:rsid w:val="00393AB4"/>
    <w:rsid w:val="00393AE5"/>
    <w:rsid w:val="00393B91"/>
    <w:rsid w:val="00393CC1"/>
    <w:rsid w:val="00393E00"/>
    <w:rsid w:val="00394354"/>
    <w:rsid w:val="00394985"/>
    <w:rsid w:val="00397010"/>
    <w:rsid w:val="00397F4A"/>
    <w:rsid w:val="003A041F"/>
    <w:rsid w:val="003A0429"/>
    <w:rsid w:val="003A06CC"/>
    <w:rsid w:val="003A0B49"/>
    <w:rsid w:val="003A0BAA"/>
    <w:rsid w:val="003A0D0D"/>
    <w:rsid w:val="003A1266"/>
    <w:rsid w:val="003A17ED"/>
    <w:rsid w:val="003A21E9"/>
    <w:rsid w:val="003A2424"/>
    <w:rsid w:val="003A25AA"/>
    <w:rsid w:val="003A337F"/>
    <w:rsid w:val="003A3966"/>
    <w:rsid w:val="003A47DA"/>
    <w:rsid w:val="003A4FC5"/>
    <w:rsid w:val="003A5243"/>
    <w:rsid w:val="003A5BCF"/>
    <w:rsid w:val="003A69D5"/>
    <w:rsid w:val="003A6B00"/>
    <w:rsid w:val="003A6C43"/>
    <w:rsid w:val="003A78D4"/>
    <w:rsid w:val="003A7A02"/>
    <w:rsid w:val="003A7B75"/>
    <w:rsid w:val="003A7CA7"/>
    <w:rsid w:val="003B000E"/>
    <w:rsid w:val="003B03EF"/>
    <w:rsid w:val="003B04EC"/>
    <w:rsid w:val="003B077F"/>
    <w:rsid w:val="003B0DF3"/>
    <w:rsid w:val="003B107A"/>
    <w:rsid w:val="003B1098"/>
    <w:rsid w:val="003B13DC"/>
    <w:rsid w:val="003B23FD"/>
    <w:rsid w:val="003B246C"/>
    <w:rsid w:val="003B29A1"/>
    <w:rsid w:val="003B381E"/>
    <w:rsid w:val="003B3EEE"/>
    <w:rsid w:val="003B4615"/>
    <w:rsid w:val="003B4C7A"/>
    <w:rsid w:val="003B5145"/>
    <w:rsid w:val="003B52AE"/>
    <w:rsid w:val="003B65F4"/>
    <w:rsid w:val="003B69AA"/>
    <w:rsid w:val="003B6F78"/>
    <w:rsid w:val="003C04D2"/>
    <w:rsid w:val="003C050A"/>
    <w:rsid w:val="003C055A"/>
    <w:rsid w:val="003C0AE5"/>
    <w:rsid w:val="003C0E5E"/>
    <w:rsid w:val="003C1638"/>
    <w:rsid w:val="003C19BF"/>
    <w:rsid w:val="003C1C06"/>
    <w:rsid w:val="003C2818"/>
    <w:rsid w:val="003C2A3A"/>
    <w:rsid w:val="003C2BD7"/>
    <w:rsid w:val="003C3ABC"/>
    <w:rsid w:val="003C462C"/>
    <w:rsid w:val="003C4A16"/>
    <w:rsid w:val="003C4D25"/>
    <w:rsid w:val="003C5963"/>
    <w:rsid w:val="003C5CF7"/>
    <w:rsid w:val="003C5D0A"/>
    <w:rsid w:val="003C5EA9"/>
    <w:rsid w:val="003C5FEE"/>
    <w:rsid w:val="003C63F5"/>
    <w:rsid w:val="003C69E6"/>
    <w:rsid w:val="003C6F3C"/>
    <w:rsid w:val="003C7FBF"/>
    <w:rsid w:val="003D08F4"/>
    <w:rsid w:val="003D14B2"/>
    <w:rsid w:val="003D1B90"/>
    <w:rsid w:val="003D1E32"/>
    <w:rsid w:val="003D2CD4"/>
    <w:rsid w:val="003D331E"/>
    <w:rsid w:val="003D3CD6"/>
    <w:rsid w:val="003D3FE0"/>
    <w:rsid w:val="003D4A1E"/>
    <w:rsid w:val="003D53E3"/>
    <w:rsid w:val="003D561A"/>
    <w:rsid w:val="003D5EA1"/>
    <w:rsid w:val="003D664B"/>
    <w:rsid w:val="003D6EEC"/>
    <w:rsid w:val="003D747B"/>
    <w:rsid w:val="003D7E37"/>
    <w:rsid w:val="003E07B8"/>
    <w:rsid w:val="003E0876"/>
    <w:rsid w:val="003E1DD3"/>
    <w:rsid w:val="003E2804"/>
    <w:rsid w:val="003E2A06"/>
    <w:rsid w:val="003E2AEE"/>
    <w:rsid w:val="003E36A3"/>
    <w:rsid w:val="003E3B98"/>
    <w:rsid w:val="003E3F26"/>
    <w:rsid w:val="003E448C"/>
    <w:rsid w:val="003E4900"/>
    <w:rsid w:val="003E5254"/>
    <w:rsid w:val="003E587C"/>
    <w:rsid w:val="003E5C58"/>
    <w:rsid w:val="003E5F7D"/>
    <w:rsid w:val="003E6180"/>
    <w:rsid w:val="003E63D9"/>
    <w:rsid w:val="003E67A3"/>
    <w:rsid w:val="003E6BF5"/>
    <w:rsid w:val="003E6CD2"/>
    <w:rsid w:val="003E75F5"/>
    <w:rsid w:val="003E7FC1"/>
    <w:rsid w:val="003F0475"/>
    <w:rsid w:val="003F0829"/>
    <w:rsid w:val="003F0AF2"/>
    <w:rsid w:val="003F0DDF"/>
    <w:rsid w:val="003F26FB"/>
    <w:rsid w:val="003F31C1"/>
    <w:rsid w:val="003F4259"/>
    <w:rsid w:val="003F486F"/>
    <w:rsid w:val="003F5DE8"/>
    <w:rsid w:val="003F5F82"/>
    <w:rsid w:val="003F6A2F"/>
    <w:rsid w:val="003F6E4C"/>
    <w:rsid w:val="003F72C6"/>
    <w:rsid w:val="003F7E43"/>
    <w:rsid w:val="003F7F7E"/>
    <w:rsid w:val="00400193"/>
    <w:rsid w:val="00400AA6"/>
    <w:rsid w:val="00401357"/>
    <w:rsid w:val="00401587"/>
    <w:rsid w:val="00401F53"/>
    <w:rsid w:val="004027AF"/>
    <w:rsid w:val="00402914"/>
    <w:rsid w:val="0040342A"/>
    <w:rsid w:val="00403CCE"/>
    <w:rsid w:val="004043A6"/>
    <w:rsid w:val="00404496"/>
    <w:rsid w:val="00405186"/>
    <w:rsid w:val="0040642F"/>
    <w:rsid w:val="00406ED4"/>
    <w:rsid w:val="00407095"/>
    <w:rsid w:val="0040709B"/>
    <w:rsid w:val="004071E7"/>
    <w:rsid w:val="00407892"/>
    <w:rsid w:val="00410003"/>
    <w:rsid w:val="0041077B"/>
    <w:rsid w:val="00411000"/>
    <w:rsid w:val="004117F0"/>
    <w:rsid w:val="00412B7E"/>
    <w:rsid w:val="004135DF"/>
    <w:rsid w:val="004144BC"/>
    <w:rsid w:val="004148FA"/>
    <w:rsid w:val="00415402"/>
    <w:rsid w:val="00415784"/>
    <w:rsid w:val="0041582D"/>
    <w:rsid w:val="00415FB7"/>
    <w:rsid w:val="004170F6"/>
    <w:rsid w:val="0041777A"/>
    <w:rsid w:val="00420083"/>
    <w:rsid w:val="00420FA6"/>
    <w:rsid w:val="004218B7"/>
    <w:rsid w:val="00421A13"/>
    <w:rsid w:val="004227E9"/>
    <w:rsid w:val="00422D7C"/>
    <w:rsid w:val="00423211"/>
    <w:rsid w:val="0042329E"/>
    <w:rsid w:val="004237C5"/>
    <w:rsid w:val="00423A0F"/>
    <w:rsid w:val="00423D28"/>
    <w:rsid w:val="00423F6E"/>
    <w:rsid w:val="004241EA"/>
    <w:rsid w:val="00424631"/>
    <w:rsid w:val="0042492E"/>
    <w:rsid w:val="00424D4A"/>
    <w:rsid w:val="00424F68"/>
    <w:rsid w:val="00425AE3"/>
    <w:rsid w:val="00426C0A"/>
    <w:rsid w:val="004270ED"/>
    <w:rsid w:val="00427196"/>
    <w:rsid w:val="004272A3"/>
    <w:rsid w:val="00427B24"/>
    <w:rsid w:val="00427BDE"/>
    <w:rsid w:val="00427E64"/>
    <w:rsid w:val="00430F19"/>
    <w:rsid w:val="004318F1"/>
    <w:rsid w:val="00431E3C"/>
    <w:rsid w:val="00431F00"/>
    <w:rsid w:val="0043306A"/>
    <w:rsid w:val="00433862"/>
    <w:rsid w:val="004339AA"/>
    <w:rsid w:val="00433CD4"/>
    <w:rsid w:val="00433DD7"/>
    <w:rsid w:val="00434A4A"/>
    <w:rsid w:val="00435671"/>
    <w:rsid w:val="00436F94"/>
    <w:rsid w:val="00437097"/>
    <w:rsid w:val="00437385"/>
    <w:rsid w:val="00440A0C"/>
    <w:rsid w:val="00440D2E"/>
    <w:rsid w:val="00440EF7"/>
    <w:rsid w:val="00440F9A"/>
    <w:rsid w:val="00441476"/>
    <w:rsid w:val="004414EA"/>
    <w:rsid w:val="00441941"/>
    <w:rsid w:val="00441973"/>
    <w:rsid w:val="0044241C"/>
    <w:rsid w:val="004425D1"/>
    <w:rsid w:val="00442A9F"/>
    <w:rsid w:val="0044313D"/>
    <w:rsid w:val="0044316F"/>
    <w:rsid w:val="004431B5"/>
    <w:rsid w:val="00443A20"/>
    <w:rsid w:val="00443A3A"/>
    <w:rsid w:val="00443D6C"/>
    <w:rsid w:val="00445A31"/>
    <w:rsid w:val="00445AA6"/>
    <w:rsid w:val="00445DCE"/>
    <w:rsid w:val="004472F6"/>
    <w:rsid w:val="004474F3"/>
    <w:rsid w:val="00447779"/>
    <w:rsid w:val="00447A02"/>
    <w:rsid w:val="00447E62"/>
    <w:rsid w:val="0045034D"/>
    <w:rsid w:val="004504B6"/>
    <w:rsid w:val="00450595"/>
    <w:rsid w:val="004511F8"/>
    <w:rsid w:val="004512AC"/>
    <w:rsid w:val="004515DB"/>
    <w:rsid w:val="00451874"/>
    <w:rsid w:val="00451F6A"/>
    <w:rsid w:val="00452199"/>
    <w:rsid w:val="004523AE"/>
    <w:rsid w:val="0045307F"/>
    <w:rsid w:val="00453197"/>
    <w:rsid w:val="004542FA"/>
    <w:rsid w:val="004545E8"/>
    <w:rsid w:val="004548D7"/>
    <w:rsid w:val="00454A17"/>
    <w:rsid w:val="00454CE7"/>
    <w:rsid w:val="004551BF"/>
    <w:rsid w:val="00455940"/>
    <w:rsid w:val="00456371"/>
    <w:rsid w:val="00456D9F"/>
    <w:rsid w:val="00457025"/>
    <w:rsid w:val="0045744F"/>
    <w:rsid w:val="0045783C"/>
    <w:rsid w:val="0045789C"/>
    <w:rsid w:val="00457CB0"/>
    <w:rsid w:val="00457E98"/>
    <w:rsid w:val="00460240"/>
    <w:rsid w:val="00460C69"/>
    <w:rsid w:val="00461AD0"/>
    <w:rsid w:val="00461CA9"/>
    <w:rsid w:val="00461D62"/>
    <w:rsid w:val="00461E6F"/>
    <w:rsid w:val="00462661"/>
    <w:rsid w:val="00462D30"/>
    <w:rsid w:val="00462E51"/>
    <w:rsid w:val="0046301C"/>
    <w:rsid w:val="004631B9"/>
    <w:rsid w:val="00463685"/>
    <w:rsid w:val="0046426A"/>
    <w:rsid w:val="0046678C"/>
    <w:rsid w:val="00466CAC"/>
    <w:rsid w:val="00466FA6"/>
    <w:rsid w:val="00467E9F"/>
    <w:rsid w:val="00470034"/>
    <w:rsid w:val="00470B7A"/>
    <w:rsid w:val="00470D56"/>
    <w:rsid w:val="0047103D"/>
    <w:rsid w:val="00471289"/>
    <w:rsid w:val="00471CDA"/>
    <w:rsid w:val="00471CDF"/>
    <w:rsid w:val="00472981"/>
    <w:rsid w:val="00472DCC"/>
    <w:rsid w:val="00472FE6"/>
    <w:rsid w:val="00472FF9"/>
    <w:rsid w:val="00473E70"/>
    <w:rsid w:val="0047466B"/>
    <w:rsid w:val="00475708"/>
    <w:rsid w:val="004771ED"/>
    <w:rsid w:val="0047758A"/>
    <w:rsid w:val="00477798"/>
    <w:rsid w:val="00477B9B"/>
    <w:rsid w:val="00480688"/>
    <w:rsid w:val="00480A7E"/>
    <w:rsid w:val="00480ACC"/>
    <w:rsid w:val="00480CF8"/>
    <w:rsid w:val="00480D8F"/>
    <w:rsid w:val="00480EC0"/>
    <w:rsid w:val="00481595"/>
    <w:rsid w:val="00481CBA"/>
    <w:rsid w:val="004820FA"/>
    <w:rsid w:val="00482316"/>
    <w:rsid w:val="00482ED6"/>
    <w:rsid w:val="0048308C"/>
    <w:rsid w:val="00483274"/>
    <w:rsid w:val="004838C9"/>
    <w:rsid w:val="00483959"/>
    <w:rsid w:val="00484A56"/>
    <w:rsid w:val="00484DE4"/>
    <w:rsid w:val="0048508D"/>
    <w:rsid w:val="00485309"/>
    <w:rsid w:val="004855C6"/>
    <w:rsid w:val="00485E6B"/>
    <w:rsid w:val="00486360"/>
    <w:rsid w:val="00486734"/>
    <w:rsid w:val="00487479"/>
    <w:rsid w:val="0049049C"/>
    <w:rsid w:val="004906C6"/>
    <w:rsid w:val="004909C1"/>
    <w:rsid w:val="00492337"/>
    <w:rsid w:val="00493558"/>
    <w:rsid w:val="004935AF"/>
    <w:rsid w:val="00493DC2"/>
    <w:rsid w:val="00494505"/>
    <w:rsid w:val="0049498C"/>
    <w:rsid w:val="00494AF0"/>
    <w:rsid w:val="00494C2D"/>
    <w:rsid w:val="00494C49"/>
    <w:rsid w:val="00495205"/>
    <w:rsid w:val="00496309"/>
    <w:rsid w:val="00497AD7"/>
    <w:rsid w:val="00497B41"/>
    <w:rsid w:val="004A26C7"/>
    <w:rsid w:val="004A29D9"/>
    <w:rsid w:val="004A3575"/>
    <w:rsid w:val="004A35FC"/>
    <w:rsid w:val="004A3ED6"/>
    <w:rsid w:val="004A3FD1"/>
    <w:rsid w:val="004A5016"/>
    <w:rsid w:val="004A5043"/>
    <w:rsid w:val="004A5AE0"/>
    <w:rsid w:val="004A5E2C"/>
    <w:rsid w:val="004A6A04"/>
    <w:rsid w:val="004A6B16"/>
    <w:rsid w:val="004A7295"/>
    <w:rsid w:val="004B0421"/>
    <w:rsid w:val="004B0569"/>
    <w:rsid w:val="004B0887"/>
    <w:rsid w:val="004B200C"/>
    <w:rsid w:val="004B28AE"/>
    <w:rsid w:val="004B2C66"/>
    <w:rsid w:val="004B308E"/>
    <w:rsid w:val="004B3460"/>
    <w:rsid w:val="004B471D"/>
    <w:rsid w:val="004B5E3F"/>
    <w:rsid w:val="004B688E"/>
    <w:rsid w:val="004B6EF1"/>
    <w:rsid w:val="004B70C6"/>
    <w:rsid w:val="004B7248"/>
    <w:rsid w:val="004B72DA"/>
    <w:rsid w:val="004B7AC4"/>
    <w:rsid w:val="004B7FB2"/>
    <w:rsid w:val="004C06F9"/>
    <w:rsid w:val="004C079B"/>
    <w:rsid w:val="004C07C7"/>
    <w:rsid w:val="004C0B58"/>
    <w:rsid w:val="004C0B59"/>
    <w:rsid w:val="004C1191"/>
    <w:rsid w:val="004C1664"/>
    <w:rsid w:val="004C1F10"/>
    <w:rsid w:val="004C20E3"/>
    <w:rsid w:val="004C2140"/>
    <w:rsid w:val="004C244D"/>
    <w:rsid w:val="004C27FA"/>
    <w:rsid w:val="004C311F"/>
    <w:rsid w:val="004C3FB8"/>
    <w:rsid w:val="004C406E"/>
    <w:rsid w:val="004C415C"/>
    <w:rsid w:val="004C5C63"/>
    <w:rsid w:val="004C6077"/>
    <w:rsid w:val="004C6517"/>
    <w:rsid w:val="004C67D9"/>
    <w:rsid w:val="004C6EE2"/>
    <w:rsid w:val="004C7436"/>
    <w:rsid w:val="004C7769"/>
    <w:rsid w:val="004C7B2B"/>
    <w:rsid w:val="004D059D"/>
    <w:rsid w:val="004D0D8C"/>
    <w:rsid w:val="004D1478"/>
    <w:rsid w:val="004D153B"/>
    <w:rsid w:val="004D16C1"/>
    <w:rsid w:val="004D16E7"/>
    <w:rsid w:val="004D1E24"/>
    <w:rsid w:val="004D224B"/>
    <w:rsid w:val="004D277D"/>
    <w:rsid w:val="004D3611"/>
    <w:rsid w:val="004D4C49"/>
    <w:rsid w:val="004D4D06"/>
    <w:rsid w:val="004D4D11"/>
    <w:rsid w:val="004D5009"/>
    <w:rsid w:val="004D5C14"/>
    <w:rsid w:val="004D6401"/>
    <w:rsid w:val="004D68CD"/>
    <w:rsid w:val="004D70DF"/>
    <w:rsid w:val="004D7211"/>
    <w:rsid w:val="004D731B"/>
    <w:rsid w:val="004D7C19"/>
    <w:rsid w:val="004D7C42"/>
    <w:rsid w:val="004D7FFD"/>
    <w:rsid w:val="004E0789"/>
    <w:rsid w:val="004E1209"/>
    <w:rsid w:val="004E1525"/>
    <w:rsid w:val="004E193E"/>
    <w:rsid w:val="004E1DC1"/>
    <w:rsid w:val="004E1EAE"/>
    <w:rsid w:val="004E1F35"/>
    <w:rsid w:val="004E2788"/>
    <w:rsid w:val="004E2988"/>
    <w:rsid w:val="004E2DEA"/>
    <w:rsid w:val="004E3CA3"/>
    <w:rsid w:val="004E442F"/>
    <w:rsid w:val="004E4965"/>
    <w:rsid w:val="004E509D"/>
    <w:rsid w:val="004E52FB"/>
    <w:rsid w:val="004E54CD"/>
    <w:rsid w:val="004E6091"/>
    <w:rsid w:val="004E6711"/>
    <w:rsid w:val="004E70AC"/>
    <w:rsid w:val="004E71E8"/>
    <w:rsid w:val="004E794D"/>
    <w:rsid w:val="004E7A96"/>
    <w:rsid w:val="004F237A"/>
    <w:rsid w:val="004F29B3"/>
    <w:rsid w:val="004F2E24"/>
    <w:rsid w:val="004F320C"/>
    <w:rsid w:val="004F3473"/>
    <w:rsid w:val="004F3719"/>
    <w:rsid w:val="004F3D06"/>
    <w:rsid w:val="004F3DF1"/>
    <w:rsid w:val="004F4B37"/>
    <w:rsid w:val="004F4CAE"/>
    <w:rsid w:val="004F5135"/>
    <w:rsid w:val="004F549C"/>
    <w:rsid w:val="004F55E1"/>
    <w:rsid w:val="004F5B04"/>
    <w:rsid w:val="004F61EA"/>
    <w:rsid w:val="004F6C71"/>
    <w:rsid w:val="004F6D54"/>
    <w:rsid w:val="0050088C"/>
    <w:rsid w:val="00500E44"/>
    <w:rsid w:val="0050169E"/>
    <w:rsid w:val="0050214C"/>
    <w:rsid w:val="00502852"/>
    <w:rsid w:val="00503149"/>
    <w:rsid w:val="00503366"/>
    <w:rsid w:val="00503626"/>
    <w:rsid w:val="00504372"/>
    <w:rsid w:val="00505647"/>
    <w:rsid w:val="005056A0"/>
    <w:rsid w:val="00506620"/>
    <w:rsid w:val="00507218"/>
    <w:rsid w:val="00510145"/>
    <w:rsid w:val="00510328"/>
    <w:rsid w:val="0051156A"/>
    <w:rsid w:val="00511D76"/>
    <w:rsid w:val="005120E8"/>
    <w:rsid w:val="0051224A"/>
    <w:rsid w:val="00512A53"/>
    <w:rsid w:val="00512E66"/>
    <w:rsid w:val="005138BC"/>
    <w:rsid w:val="00513920"/>
    <w:rsid w:val="00514668"/>
    <w:rsid w:val="0051627C"/>
    <w:rsid w:val="00517BD3"/>
    <w:rsid w:val="00517BDE"/>
    <w:rsid w:val="0052011E"/>
    <w:rsid w:val="005201DF"/>
    <w:rsid w:val="00520881"/>
    <w:rsid w:val="00521245"/>
    <w:rsid w:val="00521643"/>
    <w:rsid w:val="00521F8B"/>
    <w:rsid w:val="00522C54"/>
    <w:rsid w:val="00522D62"/>
    <w:rsid w:val="00522E98"/>
    <w:rsid w:val="00522F38"/>
    <w:rsid w:val="00522F74"/>
    <w:rsid w:val="0052347A"/>
    <w:rsid w:val="00524A56"/>
    <w:rsid w:val="00525230"/>
    <w:rsid w:val="005257F5"/>
    <w:rsid w:val="00525AB4"/>
    <w:rsid w:val="005268BF"/>
    <w:rsid w:val="00526EDF"/>
    <w:rsid w:val="005272B5"/>
    <w:rsid w:val="00527BA8"/>
    <w:rsid w:val="00527C81"/>
    <w:rsid w:val="00527CD4"/>
    <w:rsid w:val="0053075C"/>
    <w:rsid w:val="005330A9"/>
    <w:rsid w:val="0053356B"/>
    <w:rsid w:val="005338E4"/>
    <w:rsid w:val="00533C41"/>
    <w:rsid w:val="00534B79"/>
    <w:rsid w:val="00534E25"/>
    <w:rsid w:val="005353D1"/>
    <w:rsid w:val="005354D6"/>
    <w:rsid w:val="00535D7B"/>
    <w:rsid w:val="00535D8F"/>
    <w:rsid w:val="00535EE8"/>
    <w:rsid w:val="005365EB"/>
    <w:rsid w:val="00536885"/>
    <w:rsid w:val="00537109"/>
    <w:rsid w:val="0053729B"/>
    <w:rsid w:val="00537EB2"/>
    <w:rsid w:val="005402F7"/>
    <w:rsid w:val="005406BB"/>
    <w:rsid w:val="00540CBD"/>
    <w:rsid w:val="0054132C"/>
    <w:rsid w:val="00541CE8"/>
    <w:rsid w:val="0054239A"/>
    <w:rsid w:val="0054255E"/>
    <w:rsid w:val="00542607"/>
    <w:rsid w:val="00542A8F"/>
    <w:rsid w:val="005432C0"/>
    <w:rsid w:val="005433E4"/>
    <w:rsid w:val="00543AA6"/>
    <w:rsid w:val="0054421D"/>
    <w:rsid w:val="00544590"/>
    <w:rsid w:val="0054508E"/>
    <w:rsid w:val="00546239"/>
    <w:rsid w:val="00546791"/>
    <w:rsid w:val="0054727B"/>
    <w:rsid w:val="00547FB1"/>
    <w:rsid w:val="005505B3"/>
    <w:rsid w:val="00550701"/>
    <w:rsid w:val="00550934"/>
    <w:rsid w:val="00550C2D"/>
    <w:rsid w:val="005513AB"/>
    <w:rsid w:val="005517E8"/>
    <w:rsid w:val="00551F20"/>
    <w:rsid w:val="0055222B"/>
    <w:rsid w:val="005522D3"/>
    <w:rsid w:val="00552596"/>
    <w:rsid w:val="005528C6"/>
    <w:rsid w:val="005529F5"/>
    <w:rsid w:val="00553D23"/>
    <w:rsid w:val="00553DB4"/>
    <w:rsid w:val="00553EBF"/>
    <w:rsid w:val="00554075"/>
    <w:rsid w:val="005543A1"/>
    <w:rsid w:val="005545C9"/>
    <w:rsid w:val="00554CF4"/>
    <w:rsid w:val="0055556D"/>
    <w:rsid w:val="00555BB7"/>
    <w:rsid w:val="00556E15"/>
    <w:rsid w:val="0055754E"/>
    <w:rsid w:val="00557F47"/>
    <w:rsid w:val="0056081D"/>
    <w:rsid w:val="00560BD3"/>
    <w:rsid w:val="00561532"/>
    <w:rsid w:val="0056155C"/>
    <w:rsid w:val="00561701"/>
    <w:rsid w:val="005620C0"/>
    <w:rsid w:val="00562910"/>
    <w:rsid w:val="00563CD9"/>
    <w:rsid w:val="00563E10"/>
    <w:rsid w:val="00564246"/>
    <w:rsid w:val="00564416"/>
    <w:rsid w:val="0056555C"/>
    <w:rsid w:val="00565809"/>
    <w:rsid w:val="00565A5B"/>
    <w:rsid w:val="00566004"/>
    <w:rsid w:val="00566084"/>
    <w:rsid w:val="005663C8"/>
    <w:rsid w:val="00566AA3"/>
    <w:rsid w:val="00566CE0"/>
    <w:rsid w:val="005702B6"/>
    <w:rsid w:val="005709C7"/>
    <w:rsid w:val="00570F22"/>
    <w:rsid w:val="00571462"/>
    <w:rsid w:val="005717BD"/>
    <w:rsid w:val="005717DA"/>
    <w:rsid w:val="00571E8D"/>
    <w:rsid w:val="00571EF0"/>
    <w:rsid w:val="0057252F"/>
    <w:rsid w:val="00573794"/>
    <w:rsid w:val="00573B5E"/>
    <w:rsid w:val="00573BBA"/>
    <w:rsid w:val="00574119"/>
    <w:rsid w:val="00574C5E"/>
    <w:rsid w:val="00574F1D"/>
    <w:rsid w:val="00574FAB"/>
    <w:rsid w:val="005755CF"/>
    <w:rsid w:val="005759C7"/>
    <w:rsid w:val="00575D09"/>
    <w:rsid w:val="00576019"/>
    <w:rsid w:val="0057605B"/>
    <w:rsid w:val="005763F3"/>
    <w:rsid w:val="005768F9"/>
    <w:rsid w:val="0057691E"/>
    <w:rsid w:val="00576EB7"/>
    <w:rsid w:val="00577B22"/>
    <w:rsid w:val="00577E2B"/>
    <w:rsid w:val="00580130"/>
    <w:rsid w:val="00580300"/>
    <w:rsid w:val="0058032B"/>
    <w:rsid w:val="0058037E"/>
    <w:rsid w:val="00580448"/>
    <w:rsid w:val="0058073D"/>
    <w:rsid w:val="00580D18"/>
    <w:rsid w:val="00581252"/>
    <w:rsid w:val="005817C8"/>
    <w:rsid w:val="00581EA6"/>
    <w:rsid w:val="005820BD"/>
    <w:rsid w:val="00582255"/>
    <w:rsid w:val="005824D3"/>
    <w:rsid w:val="00582839"/>
    <w:rsid w:val="005832CE"/>
    <w:rsid w:val="00583542"/>
    <w:rsid w:val="005842F9"/>
    <w:rsid w:val="00584A5F"/>
    <w:rsid w:val="0058572B"/>
    <w:rsid w:val="00586221"/>
    <w:rsid w:val="005862EE"/>
    <w:rsid w:val="0058716D"/>
    <w:rsid w:val="0058717B"/>
    <w:rsid w:val="00587817"/>
    <w:rsid w:val="005878FF"/>
    <w:rsid w:val="005904D8"/>
    <w:rsid w:val="00590C75"/>
    <w:rsid w:val="005915C7"/>
    <w:rsid w:val="0059192E"/>
    <w:rsid w:val="00591B87"/>
    <w:rsid w:val="00591CB7"/>
    <w:rsid w:val="005922BD"/>
    <w:rsid w:val="005929E0"/>
    <w:rsid w:val="00592E54"/>
    <w:rsid w:val="00593137"/>
    <w:rsid w:val="00594718"/>
    <w:rsid w:val="00595043"/>
    <w:rsid w:val="005955A8"/>
    <w:rsid w:val="00595E00"/>
    <w:rsid w:val="0059603A"/>
    <w:rsid w:val="0059654B"/>
    <w:rsid w:val="005978C4"/>
    <w:rsid w:val="00597AC9"/>
    <w:rsid w:val="005A09BC"/>
    <w:rsid w:val="005A16AB"/>
    <w:rsid w:val="005A1BE6"/>
    <w:rsid w:val="005A1CEA"/>
    <w:rsid w:val="005A2137"/>
    <w:rsid w:val="005A29A1"/>
    <w:rsid w:val="005A2E02"/>
    <w:rsid w:val="005A3CD5"/>
    <w:rsid w:val="005A4968"/>
    <w:rsid w:val="005A5272"/>
    <w:rsid w:val="005A5D95"/>
    <w:rsid w:val="005A67EF"/>
    <w:rsid w:val="005A6D6B"/>
    <w:rsid w:val="005A71FB"/>
    <w:rsid w:val="005A7514"/>
    <w:rsid w:val="005B003B"/>
    <w:rsid w:val="005B0B4B"/>
    <w:rsid w:val="005B0C1A"/>
    <w:rsid w:val="005B135F"/>
    <w:rsid w:val="005B1FE6"/>
    <w:rsid w:val="005B24B9"/>
    <w:rsid w:val="005B2B17"/>
    <w:rsid w:val="005B34B9"/>
    <w:rsid w:val="005B392A"/>
    <w:rsid w:val="005B3B0E"/>
    <w:rsid w:val="005B48BE"/>
    <w:rsid w:val="005B4A40"/>
    <w:rsid w:val="005B51F5"/>
    <w:rsid w:val="005B5384"/>
    <w:rsid w:val="005B580E"/>
    <w:rsid w:val="005B5C30"/>
    <w:rsid w:val="005B6BF7"/>
    <w:rsid w:val="005B6EA8"/>
    <w:rsid w:val="005B6F3B"/>
    <w:rsid w:val="005B6F53"/>
    <w:rsid w:val="005B7B85"/>
    <w:rsid w:val="005B7C9A"/>
    <w:rsid w:val="005C013E"/>
    <w:rsid w:val="005C020F"/>
    <w:rsid w:val="005C05E5"/>
    <w:rsid w:val="005C1AF4"/>
    <w:rsid w:val="005C1CE3"/>
    <w:rsid w:val="005C2651"/>
    <w:rsid w:val="005C29B7"/>
    <w:rsid w:val="005C2A03"/>
    <w:rsid w:val="005C37DC"/>
    <w:rsid w:val="005C3B37"/>
    <w:rsid w:val="005C44B8"/>
    <w:rsid w:val="005C4BD4"/>
    <w:rsid w:val="005C4D9F"/>
    <w:rsid w:val="005C4FE2"/>
    <w:rsid w:val="005C5EA7"/>
    <w:rsid w:val="005C7D29"/>
    <w:rsid w:val="005D18A0"/>
    <w:rsid w:val="005D2833"/>
    <w:rsid w:val="005D2C12"/>
    <w:rsid w:val="005D2F5E"/>
    <w:rsid w:val="005D30C5"/>
    <w:rsid w:val="005D41E0"/>
    <w:rsid w:val="005D4771"/>
    <w:rsid w:val="005D51C4"/>
    <w:rsid w:val="005D615F"/>
    <w:rsid w:val="005D7079"/>
    <w:rsid w:val="005D724F"/>
    <w:rsid w:val="005D7437"/>
    <w:rsid w:val="005D7B55"/>
    <w:rsid w:val="005D7B94"/>
    <w:rsid w:val="005D7DAD"/>
    <w:rsid w:val="005E01B7"/>
    <w:rsid w:val="005E049D"/>
    <w:rsid w:val="005E0D13"/>
    <w:rsid w:val="005E0F43"/>
    <w:rsid w:val="005E1549"/>
    <w:rsid w:val="005E1FB3"/>
    <w:rsid w:val="005E212B"/>
    <w:rsid w:val="005E24C3"/>
    <w:rsid w:val="005E281E"/>
    <w:rsid w:val="005E2BA7"/>
    <w:rsid w:val="005E2C04"/>
    <w:rsid w:val="005E2E80"/>
    <w:rsid w:val="005E2EC3"/>
    <w:rsid w:val="005E348A"/>
    <w:rsid w:val="005E3534"/>
    <w:rsid w:val="005E3BB8"/>
    <w:rsid w:val="005E4EED"/>
    <w:rsid w:val="005E51EF"/>
    <w:rsid w:val="005E5BC5"/>
    <w:rsid w:val="005E5DD7"/>
    <w:rsid w:val="005E6B86"/>
    <w:rsid w:val="005E73D1"/>
    <w:rsid w:val="005E7514"/>
    <w:rsid w:val="005F0185"/>
    <w:rsid w:val="005F2030"/>
    <w:rsid w:val="005F20E8"/>
    <w:rsid w:val="005F22B0"/>
    <w:rsid w:val="005F256C"/>
    <w:rsid w:val="005F32AC"/>
    <w:rsid w:val="005F32F1"/>
    <w:rsid w:val="005F4062"/>
    <w:rsid w:val="005F434A"/>
    <w:rsid w:val="005F448B"/>
    <w:rsid w:val="005F4D3A"/>
    <w:rsid w:val="005F4E0B"/>
    <w:rsid w:val="005F61CA"/>
    <w:rsid w:val="005F62D0"/>
    <w:rsid w:val="005F68DC"/>
    <w:rsid w:val="005F69E4"/>
    <w:rsid w:val="005F6A7A"/>
    <w:rsid w:val="005F7003"/>
    <w:rsid w:val="005F79D6"/>
    <w:rsid w:val="006007E3"/>
    <w:rsid w:val="00600A61"/>
    <w:rsid w:val="00601990"/>
    <w:rsid w:val="00602742"/>
    <w:rsid w:val="00603AC5"/>
    <w:rsid w:val="00604A9C"/>
    <w:rsid w:val="00604B62"/>
    <w:rsid w:val="00605D43"/>
    <w:rsid w:val="00605E45"/>
    <w:rsid w:val="00607D7A"/>
    <w:rsid w:val="0061079C"/>
    <w:rsid w:val="006112E3"/>
    <w:rsid w:val="006112F4"/>
    <w:rsid w:val="006113DB"/>
    <w:rsid w:val="00611564"/>
    <w:rsid w:val="00611609"/>
    <w:rsid w:val="0061162D"/>
    <w:rsid w:val="00611E27"/>
    <w:rsid w:val="00611EBE"/>
    <w:rsid w:val="00612305"/>
    <w:rsid w:val="00612C15"/>
    <w:rsid w:val="00612C69"/>
    <w:rsid w:val="00612C92"/>
    <w:rsid w:val="0061343F"/>
    <w:rsid w:val="00613E9C"/>
    <w:rsid w:val="00614302"/>
    <w:rsid w:val="00614A10"/>
    <w:rsid w:val="0061561F"/>
    <w:rsid w:val="00615B16"/>
    <w:rsid w:val="006162D3"/>
    <w:rsid w:val="0061648A"/>
    <w:rsid w:val="006167F1"/>
    <w:rsid w:val="00616DF5"/>
    <w:rsid w:val="0061707F"/>
    <w:rsid w:val="00617A39"/>
    <w:rsid w:val="00617E27"/>
    <w:rsid w:val="00620038"/>
    <w:rsid w:val="006206E9"/>
    <w:rsid w:val="00621572"/>
    <w:rsid w:val="0062170C"/>
    <w:rsid w:val="0062284F"/>
    <w:rsid w:val="00623C54"/>
    <w:rsid w:val="00623ECF"/>
    <w:rsid w:val="00623FC3"/>
    <w:rsid w:val="00625009"/>
    <w:rsid w:val="006252CF"/>
    <w:rsid w:val="006253DF"/>
    <w:rsid w:val="00625930"/>
    <w:rsid w:val="0062599E"/>
    <w:rsid w:val="006262F5"/>
    <w:rsid w:val="00626E20"/>
    <w:rsid w:val="0062770C"/>
    <w:rsid w:val="006300DE"/>
    <w:rsid w:val="00630102"/>
    <w:rsid w:val="006303A9"/>
    <w:rsid w:val="0063040A"/>
    <w:rsid w:val="00630740"/>
    <w:rsid w:val="0063134B"/>
    <w:rsid w:val="00632249"/>
    <w:rsid w:val="00632960"/>
    <w:rsid w:val="0063324F"/>
    <w:rsid w:val="00633A7D"/>
    <w:rsid w:val="00634088"/>
    <w:rsid w:val="00635638"/>
    <w:rsid w:val="00635C0F"/>
    <w:rsid w:val="00635CB9"/>
    <w:rsid w:val="00636926"/>
    <w:rsid w:val="00636D21"/>
    <w:rsid w:val="00636E78"/>
    <w:rsid w:val="006372F0"/>
    <w:rsid w:val="00637747"/>
    <w:rsid w:val="00637C67"/>
    <w:rsid w:val="00637C6A"/>
    <w:rsid w:val="00640271"/>
    <w:rsid w:val="00640C82"/>
    <w:rsid w:val="00641987"/>
    <w:rsid w:val="006422C2"/>
    <w:rsid w:val="006423D6"/>
    <w:rsid w:val="00642C95"/>
    <w:rsid w:val="00642E95"/>
    <w:rsid w:val="006439F6"/>
    <w:rsid w:val="00643CB2"/>
    <w:rsid w:val="00644A41"/>
    <w:rsid w:val="00644EEB"/>
    <w:rsid w:val="00645184"/>
    <w:rsid w:val="00645188"/>
    <w:rsid w:val="006459AA"/>
    <w:rsid w:val="00645DD7"/>
    <w:rsid w:val="0064685A"/>
    <w:rsid w:val="00646968"/>
    <w:rsid w:val="00646D33"/>
    <w:rsid w:val="006476A9"/>
    <w:rsid w:val="00647CCE"/>
    <w:rsid w:val="00650B9F"/>
    <w:rsid w:val="006510FB"/>
    <w:rsid w:val="0065161B"/>
    <w:rsid w:val="006518C0"/>
    <w:rsid w:val="00652269"/>
    <w:rsid w:val="00653E65"/>
    <w:rsid w:val="00653E71"/>
    <w:rsid w:val="00653F8F"/>
    <w:rsid w:val="0065434A"/>
    <w:rsid w:val="00654917"/>
    <w:rsid w:val="00654A05"/>
    <w:rsid w:val="00654B5F"/>
    <w:rsid w:val="00654C8E"/>
    <w:rsid w:val="00654D7D"/>
    <w:rsid w:val="00655171"/>
    <w:rsid w:val="006562BE"/>
    <w:rsid w:val="00656365"/>
    <w:rsid w:val="006566A2"/>
    <w:rsid w:val="00657EDF"/>
    <w:rsid w:val="006606B5"/>
    <w:rsid w:val="0066171D"/>
    <w:rsid w:val="00662B4C"/>
    <w:rsid w:val="0066308C"/>
    <w:rsid w:val="006633F6"/>
    <w:rsid w:val="00663666"/>
    <w:rsid w:val="00663AAD"/>
    <w:rsid w:val="00663B5D"/>
    <w:rsid w:val="00664706"/>
    <w:rsid w:val="0066500E"/>
    <w:rsid w:val="00665ACE"/>
    <w:rsid w:val="006665F2"/>
    <w:rsid w:val="00666C96"/>
    <w:rsid w:val="00670389"/>
    <w:rsid w:val="00670AD5"/>
    <w:rsid w:val="0067160D"/>
    <w:rsid w:val="00671701"/>
    <w:rsid w:val="00671DA3"/>
    <w:rsid w:val="006728FB"/>
    <w:rsid w:val="0067360B"/>
    <w:rsid w:val="0067367E"/>
    <w:rsid w:val="00673934"/>
    <w:rsid w:val="00673A19"/>
    <w:rsid w:val="00673D8A"/>
    <w:rsid w:val="0067514D"/>
    <w:rsid w:val="00675BBB"/>
    <w:rsid w:val="006762FD"/>
    <w:rsid w:val="00676D89"/>
    <w:rsid w:val="00676DD8"/>
    <w:rsid w:val="00676EC7"/>
    <w:rsid w:val="0067727A"/>
    <w:rsid w:val="00677318"/>
    <w:rsid w:val="00677552"/>
    <w:rsid w:val="006775F6"/>
    <w:rsid w:val="0068018F"/>
    <w:rsid w:val="0068038E"/>
    <w:rsid w:val="00680694"/>
    <w:rsid w:val="00680EE7"/>
    <w:rsid w:val="00681568"/>
    <w:rsid w:val="00681C6F"/>
    <w:rsid w:val="00681E90"/>
    <w:rsid w:val="00682380"/>
    <w:rsid w:val="00682420"/>
    <w:rsid w:val="0068242E"/>
    <w:rsid w:val="0068255A"/>
    <w:rsid w:val="00682A81"/>
    <w:rsid w:val="00682B9C"/>
    <w:rsid w:val="0068325B"/>
    <w:rsid w:val="00683498"/>
    <w:rsid w:val="00683DC7"/>
    <w:rsid w:val="00683F60"/>
    <w:rsid w:val="00683FE3"/>
    <w:rsid w:val="006851DC"/>
    <w:rsid w:val="006854D4"/>
    <w:rsid w:val="00685D4A"/>
    <w:rsid w:val="00686200"/>
    <w:rsid w:val="00686894"/>
    <w:rsid w:val="006873D5"/>
    <w:rsid w:val="00687849"/>
    <w:rsid w:val="00687EE1"/>
    <w:rsid w:val="00687F1D"/>
    <w:rsid w:val="00690DE3"/>
    <w:rsid w:val="00690EBA"/>
    <w:rsid w:val="006919DD"/>
    <w:rsid w:val="006925A2"/>
    <w:rsid w:val="00692F03"/>
    <w:rsid w:val="00693891"/>
    <w:rsid w:val="00693C82"/>
    <w:rsid w:val="0069412E"/>
    <w:rsid w:val="00694577"/>
    <w:rsid w:val="006949CF"/>
    <w:rsid w:val="006956EB"/>
    <w:rsid w:val="00695BBB"/>
    <w:rsid w:val="00695C07"/>
    <w:rsid w:val="00695D5E"/>
    <w:rsid w:val="00696931"/>
    <w:rsid w:val="006969A6"/>
    <w:rsid w:val="00696A7A"/>
    <w:rsid w:val="00696AE4"/>
    <w:rsid w:val="00696C26"/>
    <w:rsid w:val="00696C5D"/>
    <w:rsid w:val="00697A95"/>
    <w:rsid w:val="00697C4A"/>
    <w:rsid w:val="00697DCE"/>
    <w:rsid w:val="006A0AD7"/>
    <w:rsid w:val="006A224A"/>
    <w:rsid w:val="006A2256"/>
    <w:rsid w:val="006A3DAA"/>
    <w:rsid w:val="006A3E8F"/>
    <w:rsid w:val="006A4B55"/>
    <w:rsid w:val="006A4B8D"/>
    <w:rsid w:val="006A4C40"/>
    <w:rsid w:val="006A5F6D"/>
    <w:rsid w:val="006A64FD"/>
    <w:rsid w:val="006A720F"/>
    <w:rsid w:val="006A73E8"/>
    <w:rsid w:val="006A765A"/>
    <w:rsid w:val="006A7820"/>
    <w:rsid w:val="006B0353"/>
    <w:rsid w:val="006B0DE2"/>
    <w:rsid w:val="006B1234"/>
    <w:rsid w:val="006B15FE"/>
    <w:rsid w:val="006B1EB0"/>
    <w:rsid w:val="006B2B1E"/>
    <w:rsid w:val="006B2B9D"/>
    <w:rsid w:val="006B3140"/>
    <w:rsid w:val="006B31E0"/>
    <w:rsid w:val="006B337D"/>
    <w:rsid w:val="006B374B"/>
    <w:rsid w:val="006B3D45"/>
    <w:rsid w:val="006B465D"/>
    <w:rsid w:val="006B4EC8"/>
    <w:rsid w:val="006B58A1"/>
    <w:rsid w:val="006B5C13"/>
    <w:rsid w:val="006B60D3"/>
    <w:rsid w:val="006B68F6"/>
    <w:rsid w:val="006B73B6"/>
    <w:rsid w:val="006B746A"/>
    <w:rsid w:val="006B7672"/>
    <w:rsid w:val="006B79A0"/>
    <w:rsid w:val="006B7C06"/>
    <w:rsid w:val="006C09D7"/>
    <w:rsid w:val="006C1DA9"/>
    <w:rsid w:val="006C2F3D"/>
    <w:rsid w:val="006C3B1B"/>
    <w:rsid w:val="006C3C15"/>
    <w:rsid w:val="006C3FD8"/>
    <w:rsid w:val="006C4699"/>
    <w:rsid w:val="006C57BF"/>
    <w:rsid w:val="006C5816"/>
    <w:rsid w:val="006C5A2F"/>
    <w:rsid w:val="006C6668"/>
    <w:rsid w:val="006C6D86"/>
    <w:rsid w:val="006C74DF"/>
    <w:rsid w:val="006C75C7"/>
    <w:rsid w:val="006C78E3"/>
    <w:rsid w:val="006D00B9"/>
    <w:rsid w:val="006D0687"/>
    <w:rsid w:val="006D08F2"/>
    <w:rsid w:val="006D12DD"/>
    <w:rsid w:val="006D16B1"/>
    <w:rsid w:val="006D1A1B"/>
    <w:rsid w:val="006D25FC"/>
    <w:rsid w:val="006D456E"/>
    <w:rsid w:val="006D469F"/>
    <w:rsid w:val="006D4992"/>
    <w:rsid w:val="006D49EC"/>
    <w:rsid w:val="006D5639"/>
    <w:rsid w:val="006D5EE6"/>
    <w:rsid w:val="006D62C7"/>
    <w:rsid w:val="006D653E"/>
    <w:rsid w:val="006D7696"/>
    <w:rsid w:val="006E08D7"/>
    <w:rsid w:val="006E1695"/>
    <w:rsid w:val="006E1B94"/>
    <w:rsid w:val="006E24C6"/>
    <w:rsid w:val="006E2768"/>
    <w:rsid w:val="006E364F"/>
    <w:rsid w:val="006E439B"/>
    <w:rsid w:val="006E4A32"/>
    <w:rsid w:val="006E4F78"/>
    <w:rsid w:val="006E51DD"/>
    <w:rsid w:val="006E53C8"/>
    <w:rsid w:val="006E5962"/>
    <w:rsid w:val="006E6150"/>
    <w:rsid w:val="006E6BE4"/>
    <w:rsid w:val="006E706F"/>
    <w:rsid w:val="006E7561"/>
    <w:rsid w:val="006E75DF"/>
    <w:rsid w:val="006E7C7F"/>
    <w:rsid w:val="006E7FB5"/>
    <w:rsid w:val="006F0044"/>
    <w:rsid w:val="006F1328"/>
    <w:rsid w:val="006F2411"/>
    <w:rsid w:val="006F24AD"/>
    <w:rsid w:val="006F2D5A"/>
    <w:rsid w:val="006F2E84"/>
    <w:rsid w:val="006F348A"/>
    <w:rsid w:val="006F3974"/>
    <w:rsid w:val="006F5433"/>
    <w:rsid w:val="006F6E2A"/>
    <w:rsid w:val="006F7A2D"/>
    <w:rsid w:val="006F7F35"/>
    <w:rsid w:val="0070041E"/>
    <w:rsid w:val="00700C49"/>
    <w:rsid w:val="0070234F"/>
    <w:rsid w:val="00702691"/>
    <w:rsid w:val="007026F1"/>
    <w:rsid w:val="00702C29"/>
    <w:rsid w:val="0070350E"/>
    <w:rsid w:val="00703572"/>
    <w:rsid w:val="00703EE0"/>
    <w:rsid w:val="007049B0"/>
    <w:rsid w:val="007057B8"/>
    <w:rsid w:val="00705C95"/>
    <w:rsid w:val="00706366"/>
    <w:rsid w:val="00706E23"/>
    <w:rsid w:val="007071CF"/>
    <w:rsid w:val="00707617"/>
    <w:rsid w:val="00707CF1"/>
    <w:rsid w:val="00707E98"/>
    <w:rsid w:val="0071010F"/>
    <w:rsid w:val="007101A8"/>
    <w:rsid w:val="007108D8"/>
    <w:rsid w:val="00711080"/>
    <w:rsid w:val="00711844"/>
    <w:rsid w:val="007120B6"/>
    <w:rsid w:val="0071226E"/>
    <w:rsid w:val="007124AB"/>
    <w:rsid w:val="00713159"/>
    <w:rsid w:val="007132B8"/>
    <w:rsid w:val="0071359B"/>
    <w:rsid w:val="007135D9"/>
    <w:rsid w:val="007142D0"/>
    <w:rsid w:val="00714415"/>
    <w:rsid w:val="00714619"/>
    <w:rsid w:val="007146D6"/>
    <w:rsid w:val="00714E58"/>
    <w:rsid w:val="00715B78"/>
    <w:rsid w:val="0071645D"/>
    <w:rsid w:val="00716629"/>
    <w:rsid w:val="00716BD1"/>
    <w:rsid w:val="00717695"/>
    <w:rsid w:val="007177DA"/>
    <w:rsid w:val="00720E7A"/>
    <w:rsid w:val="00720ED4"/>
    <w:rsid w:val="0072160F"/>
    <w:rsid w:val="0072187E"/>
    <w:rsid w:val="00722E84"/>
    <w:rsid w:val="007240A8"/>
    <w:rsid w:val="007243A9"/>
    <w:rsid w:val="007243C1"/>
    <w:rsid w:val="00724AC7"/>
    <w:rsid w:val="00725077"/>
    <w:rsid w:val="007252FE"/>
    <w:rsid w:val="00725473"/>
    <w:rsid w:val="00725ED4"/>
    <w:rsid w:val="00725F47"/>
    <w:rsid w:val="0072614E"/>
    <w:rsid w:val="007261EF"/>
    <w:rsid w:val="0072622D"/>
    <w:rsid w:val="0072692F"/>
    <w:rsid w:val="00726AB4"/>
    <w:rsid w:val="007272FC"/>
    <w:rsid w:val="00727868"/>
    <w:rsid w:val="00730CD2"/>
    <w:rsid w:val="00731050"/>
    <w:rsid w:val="00731536"/>
    <w:rsid w:val="00731AE3"/>
    <w:rsid w:val="00732088"/>
    <w:rsid w:val="00733269"/>
    <w:rsid w:val="00733407"/>
    <w:rsid w:val="00733D0C"/>
    <w:rsid w:val="00733FDB"/>
    <w:rsid w:val="0073499C"/>
    <w:rsid w:val="00734A4F"/>
    <w:rsid w:val="00735F71"/>
    <w:rsid w:val="00736AFA"/>
    <w:rsid w:val="00737255"/>
    <w:rsid w:val="0073769C"/>
    <w:rsid w:val="00740CB4"/>
    <w:rsid w:val="00741288"/>
    <w:rsid w:val="00741422"/>
    <w:rsid w:val="00741DBF"/>
    <w:rsid w:val="00741EEA"/>
    <w:rsid w:val="007430A2"/>
    <w:rsid w:val="00743193"/>
    <w:rsid w:val="00743D9D"/>
    <w:rsid w:val="0074476F"/>
    <w:rsid w:val="00744905"/>
    <w:rsid w:val="00744F6A"/>
    <w:rsid w:val="00745345"/>
    <w:rsid w:val="00746B70"/>
    <w:rsid w:val="00746BAC"/>
    <w:rsid w:val="007476DF"/>
    <w:rsid w:val="007507AC"/>
    <w:rsid w:val="007509F6"/>
    <w:rsid w:val="00751915"/>
    <w:rsid w:val="00751CB0"/>
    <w:rsid w:val="00752A5A"/>
    <w:rsid w:val="00753A6C"/>
    <w:rsid w:val="00754248"/>
    <w:rsid w:val="00754420"/>
    <w:rsid w:val="0075469F"/>
    <w:rsid w:val="007547C8"/>
    <w:rsid w:val="007553D6"/>
    <w:rsid w:val="00755A6E"/>
    <w:rsid w:val="00755C33"/>
    <w:rsid w:val="00755CAD"/>
    <w:rsid w:val="0075670E"/>
    <w:rsid w:val="00756F2D"/>
    <w:rsid w:val="00757DDC"/>
    <w:rsid w:val="00757EA3"/>
    <w:rsid w:val="0076025B"/>
    <w:rsid w:val="00760B8C"/>
    <w:rsid w:val="00760CC3"/>
    <w:rsid w:val="007616EF"/>
    <w:rsid w:val="00761831"/>
    <w:rsid w:val="00761E51"/>
    <w:rsid w:val="00762223"/>
    <w:rsid w:val="00762429"/>
    <w:rsid w:val="0076268E"/>
    <w:rsid w:val="00762B87"/>
    <w:rsid w:val="00764336"/>
    <w:rsid w:val="00764FC3"/>
    <w:rsid w:val="0076569F"/>
    <w:rsid w:val="00765AFE"/>
    <w:rsid w:val="00765CE2"/>
    <w:rsid w:val="0076670F"/>
    <w:rsid w:val="00766AD4"/>
    <w:rsid w:val="00767331"/>
    <w:rsid w:val="0077015C"/>
    <w:rsid w:val="0077064D"/>
    <w:rsid w:val="00770A3F"/>
    <w:rsid w:val="00770ABA"/>
    <w:rsid w:val="00771A50"/>
    <w:rsid w:val="00771AC0"/>
    <w:rsid w:val="00771E16"/>
    <w:rsid w:val="0077201B"/>
    <w:rsid w:val="00772461"/>
    <w:rsid w:val="00772795"/>
    <w:rsid w:val="00772C3F"/>
    <w:rsid w:val="00773B65"/>
    <w:rsid w:val="00773F40"/>
    <w:rsid w:val="007742BF"/>
    <w:rsid w:val="007754CC"/>
    <w:rsid w:val="00775745"/>
    <w:rsid w:val="00775AD2"/>
    <w:rsid w:val="00775B96"/>
    <w:rsid w:val="00775D1D"/>
    <w:rsid w:val="00776002"/>
    <w:rsid w:val="007764E2"/>
    <w:rsid w:val="0077658B"/>
    <w:rsid w:val="00777BB9"/>
    <w:rsid w:val="00780249"/>
    <w:rsid w:val="00780626"/>
    <w:rsid w:val="0078109C"/>
    <w:rsid w:val="0078132F"/>
    <w:rsid w:val="00781F28"/>
    <w:rsid w:val="00782AC4"/>
    <w:rsid w:val="00782CBB"/>
    <w:rsid w:val="00782FC9"/>
    <w:rsid w:val="007830D9"/>
    <w:rsid w:val="007842BB"/>
    <w:rsid w:val="00784FC9"/>
    <w:rsid w:val="0078599F"/>
    <w:rsid w:val="007861C0"/>
    <w:rsid w:val="007865BD"/>
    <w:rsid w:val="007865F9"/>
    <w:rsid w:val="00786E20"/>
    <w:rsid w:val="00790AB6"/>
    <w:rsid w:val="0079133B"/>
    <w:rsid w:val="00791440"/>
    <w:rsid w:val="00792296"/>
    <w:rsid w:val="007927B7"/>
    <w:rsid w:val="00792B0F"/>
    <w:rsid w:val="00792DCD"/>
    <w:rsid w:val="007932B7"/>
    <w:rsid w:val="007938C5"/>
    <w:rsid w:val="00793C6F"/>
    <w:rsid w:val="00793CC9"/>
    <w:rsid w:val="007940E1"/>
    <w:rsid w:val="00794599"/>
    <w:rsid w:val="0079459B"/>
    <w:rsid w:val="00794970"/>
    <w:rsid w:val="007955F5"/>
    <w:rsid w:val="0079572A"/>
    <w:rsid w:val="007958F9"/>
    <w:rsid w:val="00795C91"/>
    <w:rsid w:val="00795D99"/>
    <w:rsid w:val="0079622C"/>
    <w:rsid w:val="00796886"/>
    <w:rsid w:val="007968DD"/>
    <w:rsid w:val="00796DA3"/>
    <w:rsid w:val="00797592"/>
    <w:rsid w:val="007975CE"/>
    <w:rsid w:val="00797AAE"/>
    <w:rsid w:val="007A0002"/>
    <w:rsid w:val="007A0300"/>
    <w:rsid w:val="007A0A1A"/>
    <w:rsid w:val="007A1558"/>
    <w:rsid w:val="007A164E"/>
    <w:rsid w:val="007A1B73"/>
    <w:rsid w:val="007A1DE6"/>
    <w:rsid w:val="007A21B1"/>
    <w:rsid w:val="007A2347"/>
    <w:rsid w:val="007A2899"/>
    <w:rsid w:val="007A29FF"/>
    <w:rsid w:val="007A306B"/>
    <w:rsid w:val="007A31B7"/>
    <w:rsid w:val="007A3C90"/>
    <w:rsid w:val="007A41C1"/>
    <w:rsid w:val="007A4210"/>
    <w:rsid w:val="007A477A"/>
    <w:rsid w:val="007A47A9"/>
    <w:rsid w:val="007A49B2"/>
    <w:rsid w:val="007A4A17"/>
    <w:rsid w:val="007A53C0"/>
    <w:rsid w:val="007A56FF"/>
    <w:rsid w:val="007A5911"/>
    <w:rsid w:val="007A5D31"/>
    <w:rsid w:val="007A60BF"/>
    <w:rsid w:val="007A642C"/>
    <w:rsid w:val="007A7A48"/>
    <w:rsid w:val="007B127A"/>
    <w:rsid w:val="007B13B5"/>
    <w:rsid w:val="007B1C88"/>
    <w:rsid w:val="007B2F79"/>
    <w:rsid w:val="007B4462"/>
    <w:rsid w:val="007B4579"/>
    <w:rsid w:val="007B4612"/>
    <w:rsid w:val="007B4CC4"/>
    <w:rsid w:val="007B4FB4"/>
    <w:rsid w:val="007B5250"/>
    <w:rsid w:val="007B525B"/>
    <w:rsid w:val="007B5E68"/>
    <w:rsid w:val="007B6416"/>
    <w:rsid w:val="007B6E19"/>
    <w:rsid w:val="007B6F00"/>
    <w:rsid w:val="007B720C"/>
    <w:rsid w:val="007B7DB5"/>
    <w:rsid w:val="007B7E3C"/>
    <w:rsid w:val="007B7FA6"/>
    <w:rsid w:val="007C0359"/>
    <w:rsid w:val="007C1C88"/>
    <w:rsid w:val="007C2FB0"/>
    <w:rsid w:val="007C347A"/>
    <w:rsid w:val="007C3AA6"/>
    <w:rsid w:val="007C442F"/>
    <w:rsid w:val="007C4514"/>
    <w:rsid w:val="007C51FF"/>
    <w:rsid w:val="007C5413"/>
    <w:rsid w:val="007C6154"/>
    <w:rsid w:val="007C635E"/>
    <w:rsid w:val="007C6570"/>
    <w:rsid w:val="007C65EF"/>
    <w:rsid w:val="007C6789"/>
    <w:rsid w:val="007C6B8F"/>
    <w:rsid w:val="007C6FB4"/>
    <w:rsid w:val="007C70CF"/>
    <w:rsid w:val="007C7149"/>
    <w:rsid w:val="007C73ED"/>
    <w:rsid w:val="007C767A"/>
    <w:rsid w:val="007C7685"/>
    <w:rsid w:val="007C76DF"/>
    <w:rsid w:val="007D0464"/>
    <w:rsid w:val="007D0C76"/>
    <w:rsid w:val="007D1162"/>
    <w:rsid w:val="007D13B2"/>
    <w:rsid w:val="007D185D"/>
    <w:rsid w:val="007D1D71"/>
    <w:rsid w:val="007D24B6"/>
    <w:rsid w:val="007D3FD0"/>
    <w:rsid w:val="007D424F"/>
    <w:rsid w:val="007D441E"/>
    <w:rsid w:val="007D4602"/>
    <w:rsid w:val="007D488A"/>
    <w:rsid w:val="007D4D33"/>
    <w:rsid w:val="007D598F"/>
    <w:rsid w:val="007D5B5F"/>
    <w:rsid w:val="007D60A1"/>
    <w:rsid w:val="007D6669"/>
    <w:rsid w:val="007D66D3"/>
    <w:rsid w:val="007D67EC"/>
    <w:rsid w:val="007D6DB0"/>
    <w:rsid w:val="007D6F06"/>
    <w:rsid w:val="007D6FBF"/>
    <w:rsid w:val="007D7269"/>
    <w:rsid w:val="007D7E12"/>
    <w:rsid w:val="007E0054"/>
    <w:rsid w:val="007E09C6"/>
    <w:rsid w:val="007E0EC4"/>
    <w:rsid w:val="007E1165"/>
    <w:rsid w:val="007E1C11"/>
    <w:rsid w:val="007E1EE0"/>
    <w:rsid w:val="007E2409"/>
    <w:rsid w:val="007E2FEB"/>
    <w:rsid w:val="007E30CC"/>
    <w:rsid w:val="007E32E6"/>
    <w:rsid w:val="007E436A"/>
    <w:rsid w:val="007E4419"/>
    <w:rsid w:val="007E47A6"/>
    <w:rsid w:val="007E51A3"/>
    <w:rsid w:val="007E7021"/>
    <w:rsid w:val="007E7866"/>
    <w:rsid w:val="007F0269"/>
    <w:rsid w:val="007F0606"/>
    <w:rsid w:val="007F0884"/>
    <w:rsid w:val="007F1515"/>
    <w:rsid w:val="007F1BFA"/>
    <w:rsid w:val="007F2EB5"/>
    <w:rsid w:val="007F330F"/>
    <w:rsid w:val="007F38A0"/>
    <w:rsid w:val="007F3BF8"/>
    <w:rsid w:val="007F4BBA"/>
    <w:rsid w:val="007F505C"/>
    <w:rsid w:val="007F5227"/>
    <w:rsid w:val="007F5FE7"/>
    <w:rsid w:val="007F637A"/>
    <w:rsid w:val="007F64C2"/>
    <w:rsid w:val="007F6DFE"/>
    <w:rsid w:val="007F6E84"/>
    <w:rsid w:val="007F71E7"/>
    <w:rsid w:val="007F776F"/>
    <w:rsid w:val="007F7ACF"/>
    <w:rsid w:val="007F7AED"/>
    <w:rsid w:val="00800581"/>
    <w:rsid w:val="0080140D"/>
    <w:rsid w:val="00801EDF"/>
    <w:rsid w:val="00802207"/>
    <w:rsid w:val="0080231C"/>
    <w:rsid w:val="0080262F"/>
    <w:rsid w:val="00803109"/>
    <w:rsid w:val="0080317A"/>
    <w:rsid w:val="00803AE2"/>
    <w:rsid w:val="00803AF6"/>
    <w:rsid w:val="00805046"/>
    <w:rsid w:val="00805074"/>
    <w:rsid w:val="0080584C"/>
    <w:rsid w:val="00805918"/>
    <w:rsid w:val="00805A30"/>
    <w:rsid w:val="00806717"/>
    <w:rsid w:val="00806B65"/>
    <w:rsid w:val="00806E5A"/>
    <w:rsid w:val="0080752D"/>
    <w:rsid w:val="00810A8A"/>
    <w:rsid w:val="0081139C"/>
    <w:rsid w:val="008118B4"/>
    <w:rsid w:val="0081292E"/>
    <w:rsid w:val="00812B77"/>
    <w:rsid w:val="008135CC"/>
    <w:rsid w:val="008139EF"/>
    <w:rsid w:val="00813F60"/>
    <w:rsid w:val="008147D4"/>
    <w:rsid w:val="00814B4C"/>
    <w:rsid w:val="008151E8"/>
    <w:rsid w:val="008155DA"/>
    <w:rsid w:val="008155E9"/>
    <w:rsid w:val="00816228"/>
    <w:rsid w:val="00816D48"/>
    <w:rsid w:val="008202C1"/>
    <w:rsid w:val="00820374"/>
    <w:rsid w:val="00820C18"/>
    <w:rsid w:val="00821165"/>
    <w:rsid w:val="00821779"/>
    <w:rsid w:val="00821C97"/>
    <w:rsid w:val="00821D98"/>
    <w:rsid w:val="00822604"/>
    <w:rsid w:val="00822767"/>
    <w:rsid w:val="00822C2E"/>
    <w:rsid w:val="00822E3E"/>
    <w:rsid w:val="00823AF3"/>
    <w:rsid w:val="0082520D"/>
    <w:rsid w:val="008259B3"/>
    <w:rsid w:val="00825E38"/>
    <w:rsid w:val="008260D8"/>
    <w:rsid w:val="00826A8E"/>
    <w:rsid w:val="00826E0F"/>
    <w:rsid w:val="00827926"/>
    <w:rsid w:val="00827D28"/>
    <w:rsid w:val="00827ED5"/>
    <w:rsid w:val="0083162B"/>
    <w:rsid w:val="008321ED"/>
    <w:rsid w:val="00832A92"/>
    <w:rsid w:val="00832DD7"/>
    <w:rsid w:val="00833515"/>
    <w:rsid w:val="00833551"/>
    <w:rsid w:val="00833B94"/>
    <w:rsid w:val="00833C5F"/>
    <w:rsid w:val="00834952"/>
    <w:rsid w:val="008349C7"/>
    <w:rsid w:val="00835535"/>
    <w:rsid w:val="008361F7"/>
    <w:rsid w:val="008369C8"/>
    <w:rsid w:val="00836C45"/>
    <w:rsid w:val="00840BEE"/>
    <w:rsid w:val="00842897"/>
    <w:rsid w:val="00842F58"/>
    <w:rsid w:val="008437AC"/>
    <w:rsid w:val="008437E2"/>
    <w:rsid w:val="00843886"/>
    <w:rsid w:val="00844756"/>
    <w:rsid w:val="00844B66"/>
    <w:rsid w:val="008450DC"/>
    <w:rsid w:val="00845469"/>
    <w:rsid w:val="008454C4"/>
    <w:rsid w:val="008460BE"/>
    <w:rsid w:val="0084689C"/>
    <w:rsid w:val="0084692F"/>
    <w:rsid w:val="00846D61"/>
    <w:rsid w:val="00847C8C"/>
    <w:rsid w:val="00850086"/>
    <w:rsid w:val="008501FE"/>
    <w:rsid w:val="00850204"/>
    <w:rsid w:val="008518DD"/>
    <w:rsid w:val="008518F7"/>
    <w:rsid w:val="00851D47"/>
    <w:rsid w:val="00852B50"/>
    <w:rsid w:val="00852CF8"/>
    <w:rsid w:val="00853AE2"/>
    <w:rsid w:val="00853C49"/>
    <w:rsid w:val="008549DC"/>
    <w:rsid w:val="00854AA8"/>
    <w:rsid w:val="00854BD7"/>
    <w:rsid w:val="00854CD0"/>
    <w:rsid w:val="00855A6A"/>
    <w:rsid w:val="0085622D"/>
    <w:rsid w:val="00856ABE"/>
    <w:rsid w:val="008571FC"/>
    <w:rsid w:val="0085765E"/>
    <w:rsid w:val="00857670"/>
    <w:rsid w:val="00857847"/>
    <w:rsid w:val="00860278"/>
    <w:rsid w:val="00860280"/>
    <w:rsid w:val="00860BBA"/>
    <w:rsid w:val="00860F30"/>
    <w:rsid w:val="00861702"/>
    <w:rsid w:val="00861D02"/>
    <w:rsid w:val="00861E18"/>
    <w:rsid w:val="00862371"/>
    <w:rsid w:val="0086288E"/>
    <w:rsid w:val="00862AE6"/>
    <w:rsid w:val="00862D61"/>
    <w:rsid w:val="008630CB"/>
    <w:rsid w:val="008639CC"/>
    <w:rsid w:val="00864B0D"/>
    <w:rsid w:val="00864D98"/>
    <w:rsid w:val="00864F04"/>
    <w:rsid w:val="00865010"/>
    <w:rsid w:val="00865461"/>
    <w:rsid w:val="008655C4"/>
    <w:rsid w:val="00866332"/>
    <w:rsid w:val="00866EA6"/>
    <w:rsid w:val="00866F2A"/>
    <w:rsid w:val="00866FCD"/>
    <w:rsid w:val="00867895"/>
    <w:rsid w:val="008678CD"/>
    <w:rsid w:val="00867B1B"/>
    <w:rsid w:val="00867D41"/>
    <w:rsid w:val="00867EFE"/>
    <w:rsid w:val="00870369"/>
    <w:rsid w:val="00870A45"/>
    <w:rsid w:val="00871207"/>
    <w:rsid w:val="00871383"/>
    <w:rsid w:val="00872074"/>
    <w:rsid w:val="00872306"/>
    <w:rsid w:val="00873789"/>
    <w:rsid w:val="00873A85"/>
    <w:rsid w:val="00873E97"/>
    <w:rsid w:val="008765B0"/>
    <w:rsid w:val="008769AF"/>
    <w:rsid w:val="00876EAB"/>
    <w:rsid w:val="008770C6"/>
    <w:rsid w:val="008775EA"/>
    <w:rsid w:val="008801CB"/>
    <w:rsid w:val="00881217"/>
    <w:rsid w:val="008825AF"/>
    <w:rsid w:val="008826BB"/>
    <w:rsid w:val="0088275D"/>
    <w:rsid w:val="00882A20"/>
    <w:rsid w:val="0088358B"/>
    <w:rsid w:val="00884154"/>
    <w:rsid w:val="008843BD"/>
    <w:rsid w:val="0088461D"/>
    <w:rsid w:val="0088494E"/>
    <w:rsid w:val="00884CEB"/>
    <w:rsid w:val="008853BF"/>
    <w:rsid w:val="00886CBC"/>
    <w:rsid w:val="00887BA9"/>
    <w:rsid w:val="00887DC8"/>
    <w:rsid w:val="00891038"/>
    <w:rsid w:val="00891DAB"/>
    <w:rsid w:val="00891F99"/>
    <w:rsid w:val="00892046"/>
    <w:rsid w:val="008927B2"/>
    <w:rsid w:val="008928D3"/>
    <w:rsid w:val="00892FDF"/>
    <w:rsid w:val="00893FA3"/>
    <w:rsid w:val="00894154"/>
    <w:rsid w:val="00895D6E"/>
    <w:rsid w:val="00896055"/>
    <w:rsid w:val="00896E9E"/>
    <w:rsid w:val="00896F7A"/>
    <w:rsid w:val="008973A8"/>
    <w:rsid w:val="00897EEA"/>
    <w:rsid w:val="008A0A53"/>
    <w:rsid w:val="008A0AA9"/>
    <w:rsid w:val="008A171D"/>
    <w:rsid w:val="008A1EEE"/>
    <w:rsid w:val="008A2BC5"/>
    <w:rsid w:val="008A2D33"/>
    <w:rsid w:val="008A30CB"/>
    <w:rsid w:val="008A337E"/>
    <w:rsid w:val="008A3E77"/>
    <w:rsid w:val="008A40E0"/>
    <w:rsid w:val="008A429F"/>
    <w:rsid w:val="008A5D48"/>
    <w:rsid w:val="008A6155"/>
    <w:rsid w:val="008A7707"/>
    <w:rsid w:val="008B027F"/>
    <w:rsid w:val="008B1130"/>
    <w:rsid w:val="008B3174"/>
    <w:rsid w:val="008B3C96"/>
    <w:rsid w:val="008B4660"/>
    <w:rsid w:val="008B513B"/>
    <w:rsid w:val="008B551E"/>
    <w:rsid w:val="008B59C4"/>
    <w:rsid w:val="008B70CA"/>
    <w:rsid w:val="008B7378"/>
    <w:rsid w:val="008B7F22"/>
    <w:rsid w:val="008C0FD2"/>
    <w:rsid w:val="008C156E"/>
    <w:rsid w:val="008C175E"/>
    <w:rsid w:val="008C2791"/>
    <w:rsid w:val="008C2882"/>
    <w:rsid w:val="008C2BD6"/>
    <w:rsid w:val="008C2C24"/>
    <w:rsid w:val="008C3D3D"/>
    <w:rsid w:val="008C446D"/>
    <w:rsid w:val="008C4543"/>
    <w:rsid w:val="008C4913"/>
    <w:rsid w:val="008C4DBD"/>
    <w:rsid w:val="008C4E55"/>
    <w:rsid w:val="008C508D"/>
    <w:rsid w:val="008C5E0B"/>
    <w:rsid w:val="008C6320"/>
    <w:rsid w:val="008C6CAC"/>
    <w:rsid w:val="008C6D76"/>
    <w:rsid w:val="008C6E99"/>
    <w:rsid w:val="008C713B"/>
    <w:rsid w:val="008C798D"/>
    <w:rsid w:val="008D0165"/>
    <w:rsid w:val="008D07E1"/>
    <w:rsid w:val="008D0BAA"/>
    <w:rsid w:val="008D1043"/>
    <w:rsid w:val="008D1CD5"/>
    <w:rsid w:val="008D1D4B"/>
    <w:rsid w:val="008D2406"/>
    <w:rsid w:val="008D331B"/>
    <w:rsid w:val="008D33A4"/>
    <w:rsid w:val="008D3E11"/>
    <w:rsid w:val="008D44DD"/>
    <w:rsid w:val="008D472A"/>
    <w:rsid w:val="008D4C0F"/>
    <w:rsid w:val="008D4C41"/>
    <w:rsid w:val="008D4D9B"/>
    <w:rsid w:val="008D598A"/>
    <w:rsid w:val="008D5DDE"/>
    <w:rsid w:val="008D6668"/>
    <w:rsid w:val="008D6A96"/>
    <w:rsid w:val="008D74FC"/>
    <w:rsid w:val="008D76F5"/>
    <w:rsid w:val="008D7D20"/>
    <w:rsid w:val="008E0496"/>
    <w:rsid w:val="008E053C"/>
    <w:rsid w:val="008E0672"/>
    <w:rsid w:val="008E0851"/>
    <w:rsid w:val="008E0AF4"/>
    <w:rsid w:val="008E0D81"/>
    <w:rsid w:val="008E1061"/>
    <w:rsid w:val="008E1E24"/>
    <w:rsid w:val="008E2C26"/>
    <w:rsid w:val="008E2DD6"/>
    <w:rsid w:val="008E33D9"/>
    <w:rsid w:val="008E3B54"/>
    <w:rsid w:val="008E458F"/>
    <w:rsid w:val="008E5089"/>
    <w:rsid w:val="008E5B1F"/>
    <w:rsid w:val="008E5C8C"/>
    <w:rsid w:val="008E68A9"/>
    <w:rsid w:val="008E6DDE"/>
    <w:rsid w:val="008E6F94"/>
    <w:rsid w:val="008E7AE7"/>
    <w:rsid w:val="008F1991"/>
    <w:rsid w:val="008F20CD"/>
    <w:rsid w:val="008F2D02"/>
    <w:rsid w:val="008F349D"/>
    <w:rsid w:val="008F366C"/>
    <w:rsid w:val="008F3695"/>
    <w:rsid w:val="008F3DDB"/>
    <w:rsid w:val="008F41E7"/>
    <w:rsid w:val="008F56CB"/>
    <w:rsid w:val="008F59A0"/>
    <w:rsid w:val="008F6352"/>
    <w:rsid w:val="008F68D6"/>
    <w:rsid w:val="0090016D"/>
    <w:rsid w:val="00900BF0"/>
    <w:rsid w:val="00901632"/>
    <w:rsid w:val="009016D3"/>
    <w:rsid w:val="00902084"/>
    <w:rsid w:val="00903CE3"/>
    <w:rsid w:val="00903D1F"/>
    <w:rsid w:val="009055BB"/>
    <w:rsid w:val="00905CC9"/>
    <w:rsid w:val="0090651E"/>
    <w:rsid w:val="009067F1"/>
    <w:rsid w:val="009068FB"/>
    <w:rsid w:val="00906F5F"/>
    <w:rsid w:val="00907336"/>
    <w:rsid w:val="009076E5"/>
    <w:rsid w:val="00907A70"/>
    <w:rsid w:val="009100D1"/>
    <w:rsid w:val="009102B1"/>
    <w:rsid w:val="00910AF8"/>
    <w:rsid w:val="00910E19"/>
    <w:rsid w:val="00910E59"/>
    <w:rsid w:val="00911645"/>
    <w:rsid w:val="0091169A"/>
    <w:rsid w:val="00912627"/>
    <w:rsid w:val="009128B5"/>
    <w:rsid w:val="00913900"/>
    <w:rsid w:val="0091410D"/>
    <w:rsid w:val="009142B7"/>
    <w:rsid w:val="00914469"/>
    <w:rsid w:val="00915012"/>
    <w:rsid w:val="00915860"/>
    <w:rsid w:val="009160A8"/>
    <w:rsid w:val="009164FE"/>
    <w:rsid w:val="00916DBD"/>
    <w:rsid w:val="0091761C"/>
    <w:rsid w:val="0091797C"/>
    <w:rsid w:val="009179FF"/>
    <w:rsid w:val="00917DF9"/>
    <w:rsid w:val="009203BD"/>
    <w:rsid w:val="00920C11"/>
    <w:rsid w:val="009219C3"/>
    <w:rsid w:val="00922055"/>
    <w:rsid w:val="00922070"/>
    <w:rsid w:val="009220F3"/>
    <w:rsid w:val="00922AD0"/>
    <w:rsid w:val="00923FDC"/>
    <w:rsid w:val="00924DDA"/>
    <w:rsid w:val="0092554F"/>
    <w:rsid w:val="00925B4B"/>
    <w:rsid w:val="0092626E"/>
    <w:rsid w:val="00926409"/>
    <w:rsid w:val="009264A5"/>
    <w:rsid w:val="0092667B"/>
    <w:rsid w:val="009266A5"/>
    <w:rsid w:val="00930AE6"/>
    <w:rsid w:val="009310B1"/>
    <w:rsid w:val="0093144F"/>
    <w:rsid w:val="009315FE"/>
    <w:rsid w:val="009316AC"/>
    <w:rsid w:val="0093190C"/>
    <w:rsid w:val="00933227"/>
    <w:rsid w:val="009336AC"/>
    <w:rsid w:val="00934DCD"/>
    <w:rsid w:val="0093517A"/>
    <w:rsid w:val="009361DB"/>
    <w:rsid w:val="00936D78"/>
    <w:rsid w:val="0094012E"/>
    <w:rsid w:val="00940BB7"/>
    <w:rsid w:val="00940EF8"/>
    <w:rsid w:val="009413E1"/>
    <w:rsid w:val="009416DA"/>
    <w:rsid w:val="00941928"/>
    <w:rsid w:val="00941EB1"/>
    <w:rsid w:val="00942F07"/>
    <w:rsid w:val="009431CF"/>
    <w:rsid w:val="00943B60"/>
    <w:rsid w:val="00943C64"/>
    <w:rsid w:val="00944E8E"/>
    <w:rsid w:val="00945058"/>
    <w:rsid w:val="009457F0"/>
    <w:rsid w:val="00945FE5"/>
    <w:rsid w:val="00946946"/>
    <w:rsid w:val="00947C64"/>
    <w:rsid w:val="009500DE"/>
    <w:rsid w:val="0095105E"/>
    <w:rsid w:val="00951485"/>
    <w:rsid w:val="009515B3"/>
    <w:rsid w:val="00951791"/>
    <w:rsid w:val="0095180C"/>
    <w:rsid w:val="0095219D"/>
    <w:rsid w:val="00952CDB"/>
    <w:rsid w:val="00953151"/>
    <w:rsid w:val="00953FD8"/>
    <w:rsid w:val="00956495"/>
    <w:rsid w:val="00956587"/>
    <w:rsid w:val="00956DCC"/>
    <w:rsid w:val="00956E93"/>
    <w:rsid w:val="009577FA"/>
    <w:rsid w:val="00957BC5"/>
    <w:rsid w:val="00957D10"/>
    <w:rsid w:val="0096044D"/>
    <w:rsid w:val="0096091C"/>
    <w:rsid w:val="00961021"/>
    <w:rsid w:val="0096137C"/>
    <w:rsid w:val="0096178A"/>
    <w:rsid w:val="009617A6"/>
    <w:rsid w:val="00962B2E"/>
    <w:rsid w:val="00962B70"/>
    <w:rsid w:val="00963EE6"/>
    <w:rsid w:val="00964987"/>
    <w:rsid w:val="009653D0"/>
    <w:rsid w:val="00966411"/>
    <w:rsid w:val="00966534"/>
    <w:rsid w:val="0096663D"/>
    <w:rsid w:val="00966FA0"/>
    <w:rsid w:val="009674DB"/>
    <w:rsid w:val="0096775C"/>
    <w:rsid w:val="00971173"/>
    <w:rsid w:val="009713AA"/>
    <w:rsid w:val="00971841"/>
    <w:rsid w:val="009719BB"/>
    <w:rsid w:val="00972837"/>
    <w:rsid w:val="00972A76"/>
    <w:rsid w:val="00972B08"/>
    <w:rsid w:val="00973873"/>
    <w:rsid w:val="00973AC5"/>
    <w:rsid w:val="00973BC9"/>
    <w:rsid w:val="009741A7"/>
    <w:rsid w:val="0097434A"/>
    <w:rsid w:val="0097453E"/>
    <w:rsid w:val="009754E1"/>
    <w:rsid w:val="00975549"/>
    <w:rsid w:val="009755F0"/>
    <w:rsid w:val="009758B7"/>
    <w:rsid w:val="0097621B"/>
    <w:rsid w:val="009764B7"/>
    <w:rsid w:val="009778F6"/>
    <w:rsid w:val="00977C8B"/>
    <w:rsid w:val="00977F51"/>
    <w:rsid w:val="0098036C"/>
    <w:rsid w:val="00980E9F"/>
    <w:rsid w:val="00980F5F"/>
    <w:rsid w:val="009819AB"/>
    <w:rsid w:val="00981E87"/>
    <w:rsid w:val="00982139"/>
    <w:rsid w:val="0098231B"/>
    <w:rsid w:val="00982387"/>
    <w:rsid w:val="00982EB8"/>
    <w:rsid w:val="00983279"/>
    <w:rsid w:val="00983A6E"/>
    <w:rsid w:val="009844B8"/>
    <w:rsid w:val="0098458E"/>
    <w:rsid w:val="00984894"/>
    <w:rsid w:val="009849CD"/>
    <w:rsid w:val="00985727"/>
    <w:rsid w:val="009857EA"/>
    <w:rsid w:val="00985E82"/>
    <w:rsid w:val="0098791D"/>
    <w:rsid w:val="00987ABF"/>
    <w:rsid w:val="00987B7A"/>
    <w:rsid w:val="00987E74"/>
    <w:rsid w:val="00990DD9"/>
    <w:rsid w:val="00990EF4"/>
    <w:rsid w:val="0099141F"/>
    <w:rsid w:val="009914E9"/>
    <w:rsid w:val="0099176E"/>
    <w:rsid w:val="00991A02"/>
    <w:rsid w:val="00992222"/>
    <w:rsid w:val="0099250A"/>
    <w:rsid w:val="00992686"/>
    <w:rsid w:val="009927D8"/>
    <w:rsid w:val="009930B0"/>
    <w:rsid w:val="00993389"/>
    <w:rsid w:val="0099354D"/>
    <w:rsid w:val="00993558"/>
    <w:rsid w:val="00993EC3"/>
    <w:rsid w:val="0099414E"/>
    <w:rsid w:val="009941E0"/>
    <w:rsid w:val="00994D87"/>
    <w:rsid w:val="009950AF"/>
    <w:rsid w:val="009954B3"/>
    <w:rsid w:val="00995B1F"/>
    <w:rsid w:val="00995B57"/>
    <w:rsid w:val="00995BEC"/>
    <w:rsid w:val="00995D04"/>
    <w:rsid w:val="00995FA4"/>
    <w:rsid w:val="009971E5"/>
    <w:rsid w:val="00997A8E"/>
    <w:rsid w:val="009A05B4"/>
    <w:rsid w:val="009A0BDF"/>
    <w:rsid w:val="009A163A"/>
    <w:rsid w:val="009A1BA6"/>
    <w:rsid w:val="009A1C5A"/>
    <w:rsid w:val="009A1FD6"/>
    <w:rsid w:val="009A2AB2"/>
    <w:rsid w:val="009A3781"/>
    <w:rsid w:val="009A3EE4"/>
    <w:rsid w:val="009A415F"/>
    <w:rsid w:val="009A4174"/>
    <w:rsid w:val="009A45A0"/>
    <w:rsid w:val="009A72DB"/>
    <w:rsid w:val="009B0A5F"/>
    <w:rsid w:val="009B1196"/>
    <w:rsid w:val="009B1253"/>
    <w:rsid w:val="009B1572"/>
    <w:rsid w:val="009B2944"/>
    <w:rsid w:val="009B3AE1"/>
    <w:rsid w:val="009B564B"/>
    <w:rsid w:val="009B5B3E"/>
    <w:rsid w:val="009B5EE6"/>
    <w:rsid w:val="009B614D"/>
    <w:rsid w:val="009B6AFA"/>
    <w:rsid w:val="009B70F6"/>
    <w:rsid w:val="009C041E"/>
    <w:rsid w:val="009C1550"/>
    <w:rsid w:val="009C1E31"/>
    <w:rsid w:val="009C1FDB"/>
    <w:rsid w:val="009C21C4"/>
    <w:rsid w:val="009C2679"/>
    <w:rsid w:val="009C3588"/>
    <w:rsid w:val="009C37AC"/>
    <w:rsid w:val="009C3931"/>
    <w:rsid w:val="009C43AD"/>
    <w:rsid w:val="009C4691"/>
    <w:rsid w:val="009C4A7B"/>
    <w:rsid w:val="009C4ABF"/>
    <w:rsid w:val="009C50E7"/>
    <w:rsid w:val="009C5483"/>
    <w:rsid w:val="009C594E"/>
    <w:rsid w:val="009C5C9A"/>
    <w:rsid w:val="009C608C"/>
    <w:rsid w:val="009C6215"/>
    <w:rsid w:val="009C6CDF"/>
    <w:rsid w:val="009C7321"/>
    <w:rsid w:val="009C772F"/>
    <w:rsid w:val="009C7E24"/>
    <w:rsid w:val="009D05E1"/>
    <w:rsid w:val="009D0F9D"/>
    <w:rsid w:val="009D1AA4"/>
    <w:rsid w:val="009D20E1"/>
    <w:rsid w:val="009D331D"/>
    <w:rsid w:val="009D347A"/>
    <w:rsid w:val="009D3BF2"/>
    <w:rsid w:val="009D3D3F"/>
    <w:rsid w:val="009D4378"/>
    <w:rsid w:val="009D484C"/>
    <w:rsid w:val="009D4FA9"/>
    <w:rsid w:val="009D5002"/>
    <w:rsid w:val="009D500C"/>
    <w:rsid w:val="009D6686"/>
    <w:rsid w:val="009D6CED"/>
    <w:rsid w:val="009D6DB4"/>
    <w:rsid w:val="009D7115"/>
    <w:rsid w:val="009D7369"/>
    <w:rsid w:val="009D757D"/>
    <w:rsid w:val="009D760C"/>
    <w:rsid w:val="009D770E"/>
    <w:rsid w:val="009D77EA"/>
    <w:rsid w:val="009D7B85"/>
    <w:rsid w:val="009E0031"/>
    <w:rsid w:val="009E0252"/>
    <w:rsid w:val="009E0354"/>
    <w:rsid w:val="009E0E9F"/>
    <w:rsid w:val="009E12AE"/>
    <w:rsid w:val="009E1E81"/>
    <w:rsid w:val="009E24F7"/>
    <w:rsid w:val="009E32D4"/>
    <w:rsid w:val="009E3799"/>
    <w:rsid w:val="009E3BEF"/>
    <w:rsid w:val="009E4385"/>
    <w:rsid w:val="009E45CF"/>
    <w:rsid w:val="009E56A0"/>
    <w:rsid w:val="009E722E"/>
    <w:rsid w:val="009E7779"/>
    <w:rsid w:val="009F0979"/>
    <w:rsid w:val="009F1636"/>
    <w:rsid w:val="009F21EE"/>
    <w:rsid w:val="009F2248"/>
    <w:rsid w:val="009F23C9"/>
    <w:rsid w:val="009F2739"/>
    <w:rsid w:val="009F2C34"/>
    <w:rsid w:val="009F3285"/>
    <w:rsid w:val="009F4CC3"/>
    <w:rsid w:val="009F5045"/>
    <w:rsid w:val="009F50E1"/>
    <w:rsid w:val="009F529A"/>
    <w:rsid w:val="009F55A7"/>
    <w:rsid w:val="009F5B50"/>
    <w:rsid w:val="009F5F2D"/>
    <w:rsid w:val="009F6836"/>
    <w:rsid w:val="009F6BCC"/>
    <w:rsid w:val="009F7470"/>
    <w:rsid w:val="009F7498"/>
    <w:rsid w:val="009F75EC"/>
    <w:rsid w:val="009F776A"/>
    <w:rsid w:val="009F7DA2"/>
    <w:rsid w:val="009F7DC4"/>
    <w:rsid w:val="009F7FDC"/>
    <w:rsid w:val="00A00405"/>
    <w:rsid w:val="00A00A5D"/>
    <w:rsid w:val="00A01272"/>
    <w:rsid w:val="00A012C2"/>
    <w:rsid w:val="00A02880"/>
    <w:rsid w:val="00A03997"/>
    <w:rsid w:val="00A03ACD"/>
    <w:rsid w:val="00A03DFD"/>
    <w:rsid w:val="00A05574"/>
    <w:rsid w:val="00A058A1"/>
    <w:rsid w:val="00A05BDE"/>
    <w:rsid w:val="00A05D3C"/>
    <w:rsid w:val="00A07372"/>
    <w:rsid w:val="00A07433"/>
    <w:rsid w:val="00A07654"/>
    <w:rsid w:val="00A076DC"/>
    <w:rsid w:val="00A07840"/>
    <w:rsid w:val="00A101B8"/>
    <w:rsid w:val="00A101D3"/>
    <w:rsid w:val="00A1092F"/>
    <w:rsid w:val="00A10A4A"/>
    <w:rsid w:val="00A10CEF"/>
    <w:rsid w:val="00A10E5D"/>
    <w:rsid w:val="00A112D3"/>
    <w:rsid w:val="00A1167A"/>
    <w:rsid w:val="00A1284D"/>
    <w:rsid w:val="00A12DAF"/>
    <w:rsid w:val="00A1343C"/>
    <w:rsid w:val="00A13455"/>
    <w:rsid w:val="00A1396B"/>
    <w:rsid w:val="00A1487F"/>
    <w:rsid w:val="00A14E08"/>
    <w:rsid w:val="00A150E5"/>
    <w:rsid w:val="00A157F5"/>
    <w:rsid w:val="00A15E29"/>
    <w:rsid w:val="00A15F03"/>
    <w:rsid w:val="00A163EE"/>
    <w:rsid w:val="00A165C6"/>
    <w:rsid w:val="00A1675E"/>
    <w:rsid w:val="00A17304"/>
    <w:rsid w:val="00A17383"/>
    <w:rsid w:val="00A174F2"/>
    <w:rsid w:val="00A175B0"/>
    <w:rsid w:val="00A17858"/>
    <w:rsid w:val="00A17FCA"/>
    <w:rsid w:val="00A20745"/>
    <w:rsid w:val="00A2080C"/>
    <w:rsid w:val="00A20AC9"/>
    <w:rsid w:val="00A20F4E"/>
    <w:rsid w:val="00A217E3"/>
    <w:rsid w:val="00A22745"/>
    <w:rsid w:val="00A22C7A"/>
    <w:rsid w:val="00A22FBA"/>
    <w:rsid w:val="00A230E8"/>
    <w:rsid w:val="00A23FB7"/>
    <w:rsid w:val="00A25107"/>
    <w:rsid w:val="00A2536F"/>
    <w:rsid w:val="00A25C9F"/>
    <w:rsid w:val="00A25CAC"/>
    <w:rsid w:val="00A25FC9"/>
    <w:rsid w:val="00A260A2"/>
    <w:rsid w:val="00A262D6"/>
    <w:rsid w:val="00A264AD"/>
    <w:rsid w:val="00A26A26"/>
    <w:rsid w:val="00A26D86"/>
    <w:rsid w:val="00A26E50"/>
    <w:rsid w:val="00A27025"/>
    <w:rsid w:val="00A27450"/>
    <w:rsid w:val="00A274B1"/>
    <w:rsid w:val="00A27B48"/>
    <w:rsid w:val="00A27EBA"/>
    <w:rsid w:val="00A30080"/>
    <w:rsid w:val="00A3034E"/>
    <w:rsid w:val="00A3090A"/>
    <w:rsid w:val="00A30F6A"/>
    <w:rsid w:val="00A31B91"/>
    <w:rsid w:val="00A31C4A"/>
    <w:rsid w:val="00A33134"/>
    <w:rsid w:val="00A3392E"/>
    <w:rsid w:val="00A33BE7"/>
    <w:rsid w:val="00A33FDD"/>
    <w:rsid w:val="00A34160"/>
    <w:rsid w:val="00A3450D"/>
    <w:rsid w:val="00A3469D"/>
    <w:rsid w:val="00A349A5"/>
    <w:rsid w:val="00A34D05"/>
    <w:rsid w:val="00A34D3D"/>
    <w:rsid w:val="00A357CF"/>
    <w:rsid w:val="00A3644B"/>
    <w:rsid w:val="00A365DA"/>
    <w:rsid w:val="00A367F9"/>
    <w:rsid w:val="00A36BE4"/>
    <w:rsid w:val="00A37639"/>
    <w:rsid w:val="00A37EE9"/>
    <w:rsid w:val="00A40AD1"/>
    <w:rsid w:val="00A4107E"/>
    <w:rsid w:val="00A41148"/>
    <w:rsid w:val="00A411A1"/>
    <w:rsid w:val="00A415DA"/>
    <w:rsid w:val="00A41B57"/>
    <w:rsid w:val="00A41D9C"/>
    <w:rsid w:val="00A41F96"/>
    <w:rsid w:val="00A42AE7"/>
    <w:rsid w:val="00A42F57"/>
    <w:rsid w:val="00A4301B"/>
    <w:rsid w:val="00A4495A"/>
    <w:rsid w:val="00A44BF3"/>
    <w:rsid w:val="00A452F1"/>
    <w:rsid w:val="00A45DC6"/>
    <w:rsid w:val="00A46CE7"/>
    <w:rsid w:val="00A47B7E"/>
    <w:rsid w:val="00A500EF"/>
    <w:rsid w:val="00A504D0"/>
    <w:rsid w:val="00A509A8"/>
    <w:rsid w:val="00A50CC3"/>
    <w:rsid w:val="00A51877"/>
    <w:rsid w:val="00A520DF"/>
    <w:rsid w:val="00A528F3"/>
    <w:rsid w:val="00A52EC2"/>
    <w:rsid w:val="00A52FFD"/>
    <w:rsid w:val="00A543AC"/>
    <w:rsid w:val="00A54B97"/>
    <w:rsid w:val="00A54F03"/>
    <w:rsid w:val="00A557B9"/>
    <w:rsid w:val="00A55F48"/>
    <w:rsid w:val="00A5647D"/>
    <w:rsid w:val="00A56B44"/>
    <w:rsid w:val="00A6001E"/>
    <w:rsid w:val="00A607C1"/>
    <w:rsid w:val="00A6112F"/>
    <w:rsid w:val="00A61895"/>
    <w:rsid w:val="00A62444"/>
    <w:rsid w:val="00A62A6B"/>
    <w:rsid w:val="00A63653"/>
    <w:rsid w:val="00A64349"/>
    <w:rsid w:val="00A6445D"/>
    <w:rsid w:val="00A64663"/>
    <w:rsid w:val="00A653BB"/>
    <w:rsid w:val="00A66FDB"/>
    <w:rsid w:val="00A6769B"/>
    <w:rsid w:val="00A67A94"/>
    <w:rsid w:val="00A70068"/>
    <w:rsid w:val="00A70486"/>
    <w:rsid w:val="00A71CC2"/>
    <w:rsid w:val="00A71F01"/>
    <w:rsid w:val="00A72C7C"/>
    <w:rsid w:val="00A7394A"/>
    <w:rsid w:val="00A73F83"/>
    <w:rsid w:val="00A7544D"/>
    <w:rsid w:val="00A7570C"/>
    <w:rsid w:val="00A75C40"/>
    <w:rsid w:val="00A75CC8"/>
    <w:rsid w:val="00A764A3"/>
    <w:rsid w:val="00A766AF"/>
    <w:rsid w:val="00A769BF"/>
    <w:rsid w:val="00A76D19"/>
    <w:rsid w:val="00A76DBB"/>
    <w:rsid w:val="00A77039"/>
    <w:rsid w:val="00A80DA2"/>
    <w:rsid w:val="00A80EF3"/>
    <w:rsid w:val="00A812C7"/>
    <w:rsid w:val="00A819D0"/>
    <w:rsid w:val="00A81BFF"/>
    <w:rsid w:val="00A826E3"/>
    <w:rsid w:val="00A828AC"/>
    <w:rsid w:val="00A82FCB"/>
    <w:rsid w:val="00A831D1"/>
    <w:rsid w:val="00A8347C"/>
    <w:rsid w:val="00A835F3"/>
    <w:rsid w:val="00A83608"/>
    <w:rsid w:val="00A841B9"/>
    <w:rsid w:val="00A84A7C"/>
    <w:rsid w:val="00A8576F"/>
    <w:rsid w:val="00A85A82"/>
    <w:rsid w:val="00A85F2B"/>
    <w:rsid w:val="00A867CB"/>
    <w:rsid w:val="00A8688A"/>
    <w:rsid w:val="00A873FA"/>
    <w:rsid w:val="00A90331"/>
    <w:rsid w:val="00A905BD"/>
    <w:rsid w:val="00A912A7"/>
    <w:rsid w:val="00A9136A"/>
    <w:rsid w:val="00A91F5E"/>
    <w:rsid w:val="00A92A7E"/>
    <w:rsid w:val="00A92D3F"/>
    <w:rsid w:val="00A92DDB"/>
    <w:rsid w:val="00A92F03"/>
    <w:rsid w:val="00A93208"/>
    <w:rsid w:val="00A93E54"/>
    <w:rsid w:val="00A94D60"/>
    <w:rsid w:val="00A95171"/>
    <w:rsid w:val="00A954FD"/>
    <w:rsid w:val="00A955AF"/>
    <w:rsid w:val="00A96529"/>
    <w:rsid w:val="00A96758"/>
    <w:rsid w:val="00A96ACC"/>
    <w:rsid w:val="00A96FDA"/>
    <w:rsid w:val="00A979CB"/>
    <w:rsid w:val="00A97A48"/>
    <w:rsid w:val="00AA05B4"/>
    <w:rsid w:val="00AA0833"/>
    <w:rsid w:val="00AA0A3B"/>
    <w:rsid w:val="00AA1ACB"/>
    <w:rsid w:val="00AA1D95"/>
    <w:rsid w:val="00AA2EC7"/>
    <w:rsid w:val="00AA326B"/>
    <w:rsid w:val="00AA331F"/>
    <w:rsid w:val="00AA46E2"/>
    <w:rsid w:val="00AA4787"/>
    <w:rsid w:val="00AA4D8F"/>
    <w:rsid w:val="00AA5499"/>
    <w:rsid w:val="00AA5A53"/>
    <w:rsid w:val="00AA5BA4"/>
    <w:rsid w:val="00AA6347"/>
    <w:rsid w:val="00AA7105"/>
    <w:rsid w:val="00AA7B98"/>
    <w:rsid w:val="00AB0579"/>
    <w:rsid w:val="00AB0A9D"/>
    <w:rsid w:val="00AB0B62"/>
    <w:rsid w:val="00AB1738"/>
    <w:rsid w:val="00AB1E7C"/>
    <w:rsid w:val="00AB28DB"/>
    <w:rsid w:val="00AB2A95"/>
    <w:rsid w:val="00AB39EB"/>
    <w:rsid w:val="00AB3A1B"/>
    <w:rsid w:val="00AB3BE8"/>
    <w:rsid w:val="00AB3C7B"/>
    <w:rsid w:val="00AB3FCF"/>
    <w:rsid w:val="00AB40FB"/>
    <w:rsid w:val="00AB543F"/>
    <w:rsid w:val="00AB5A89"/>
    <w:rsid w:val="00AB6889"/>
    <w:rsid w:val="00AB74DF"/>
    <w:rsid w:val="00AC0229"/>
    <w:rsid w:val="00AC0352"/>
    <w:rsid w:val="00AC0541"/>
    <w:rsid w:val="00AC055F"/>
    <w:rsid w:val="00AC0775"/>
    <w:rsid w:val="00AC09E1"/>
    <w:rsid w:val="00AC0E5E"/>
    <w:rsid w:val="00AC1DCD"/>
    <w:rsid w:val="00AC1FCD"/>
    <w:rsid w:val="00AC2E15"/>
    <w:rsid w:val="00AC323A"/>
    <w:rsid w:val="00AC35C8"/>
    <w:rsid w:val="00AC3CEA"/>
    <w:rsid w:val="00AC4055"/>
    <w:rsid w:val="00AC4185"/>
    <w:rsid w:val="00AC4764"/>
    <w:rsid w:val="00AC4ADC"/>
    <w:rsid w:val="00AC509F"/>
    <w:rsid w:val="00AC57EC"/>
    <w:rsid w:val="00AC635B"/>
    <w:rsid w:val="00AC668F"/>
    <w:rsid w:val="00AC6880"/>
    <w:rsid w:val="00AC694A"/>
    <w:rsid w:val="00AC6FD5"/>
    <w:rsid w:val="00AC7663"/>
    <w:rsid w:val="00AC793F"/>
    <w:rsid w:val="00AC7A6E"/>
    <w:rsid w:val="00AD03CF"/>
    <w:rsid w:val="00AD095E"/>
    <w:rsid w:val="00AD0AC1"/>
    <w:rsid w:val="00AD0B95"/>
    <w:rsid w:val="00AD0FCB"/>
    <w:rsid w:val="00AD19D9"/>
    <w:rsid w:val="00AD1ECF"/>
    <w:rsid w:val="00AD20B9"/>
    <w:rsid w:val="00AD213D"/>
    <w:rsid w:val="00AD26BE"/>
    <w:rsid w:val="00AD2CAA"/>
    <w:rsid w:val="00AD2F9B"/>
    <w:rsid w:val="00AD32B1"/>
    <w:rsid w:val="00AD34F3"/>
    <w:rsid w:val="00AD379A"/>
    <w:rsid w:val="00AD3D11"/>
    <w:rsid w:val="00AD4292"/>
    <w:rsid w:val="00AD44FC"/>
    <w:rsid w:val="00AD4C33"/>
    <w:rsid w:val="00AD4CAE"/>
    <w:rsid w:val="00AD5478"/>
    <w:rsid w:val="00AD5F7B"/>
    <w:rsid w:val="00AD6837"/>
    <w:rsid w:val="00AD6AF4"/>
    <w:rsid w:val="00AD718B"/>
    <w:rsid w:val="00AD74CD"/>
    <w:rsid w:val="00AD7BF4"/>
    <w:rsid w:val="00AE066E"/>
    <w:rsid w:val="00AE0984"/>
    <w:rsid w:val="00AE1115"/>
    <w:rsid w:val="00AE28E2"/>
    <w:rsid w:val="00AE2C8F"/>
    <w:rsid w:val="00AE3914"/>
    <w:rsid w:val="00AE39F7"/>
    <w:rsid w:val="00AE3F11"/>
    <w:rsid w:val="00AE4030"/>
    <w:rsid w:val="00AE4477"/>
    <w:rsid w:val="00AE48E2"/>
    <w:rsid w:val="00AE55D8"/>
    <w:rsid w:val="00AE5A0D"/>
    <w:rsid w:val="00AE6086"/>
    <w:rsid w:val="00AE6704"/>
    <w:rsid w:val="00AE72FC"/>
    <w:rsid w:val="00AE7CDF"/>
    <w:rsid w:val="00AF0DE9"/>
    <w:rsid w:val="00AF11C6"/>
    <w:rsid w:val="00AF137F"/>
    <w:rsid w:val="00AF1832"/>
    <w:rsid w:val="00AF1854"/>
    <w:rsid w:val="00AF1DCD"/>
    <w:rsid w:val="00AF1F0A"/>
    <w:rsid w:val="00AF25AC"/>
    <w:rsid w:val="00AF2B52"/>
    <w:rsid w:val="00AF32D4"/>
    <w:rsid w:val="00AF3E39"/>
    <w:rsid w:val="00AF4986"/>
    <w:rsid w:val="00AF4AF9"/>
    <w:rsid w:val="00AF5107"/>
    <w:rsid w:val="00AF542E"/>
    <w:rsid w:val="00AF6B3B"/>
    <w:rsid w:val="00AF759D"/>
    <w:rsid w:val="00AF7B4F"/>
    <w:rsid w:val="00AF7E8A"/>
    <w:rsid w:val="00AF7FE7"/>
    <w:rsid w:val="00B00A3B"/>
    <w:rsid w:val="00B00C4D"/>
    <w:rsid w:val="00B01079"/>
    <w:rsid w:val="00B01223"/>
    <w:rsid w:val="00B01328"/>
    <w:rsid w:val="00B0172A"/>
    <w:rsid w:val="00B01811"/>
    <w:rsid w:val="00B019B4"/>
    <w:rsid w:val="00B01CC8"/>
    <w:rsid w:val="00B023CB"/>
    <w:rsid w:val="00B02F18"/>
    <w:rsid w:val="00B036F9"/>
    <w:rsid w:val="00B0370C"/>
    <w:rsid w:val="00B03FDF"/>
    <w:rsid w:val="00B04A46"/>
    <w:rsid w:val="00B04B43"/>
    <w:rsid w:val="00B05141"/>
    <w:rsid w:val="00B0684D"/>
    <w:rsid w:val="00B07951"/>
    <w:rsid w:val="00B07AFB"/>
    <w:rsid w:val="00B1138C"/>
    <w:rsid w:val="00B11A71"/>
    <w:rsid w:val="00B12A4B"/>
    <w:rsid w:val="00B12CDB"/>
    <w:rsid w:val="00B12F79"/>
    <w:rsid w:val="00B1355F"/>
    <w:rsid w:val="00B135FD"/>
    <w:rsid w:val="00B138EB"/>
    <w:rsid w:val="00B13EA2"/>
    <w:rsid w:val="00B13F55"/>
    <w:rsid w:val="00B1400E"/>
    <w:rsid w:val="00B14706"/>
    <w:rsid w:val="00B149FD"/>
    <w:rsid w:val="00B14C5B"/>
    <w:rsid w:val="00B1571F"/>
    <w:rsid w:val="00B15851"/>
    <w:rsid w:val="00B158FD"/>
    <w:rsid w:val="00B15BDE"/>
    <w:rsid w:val="00B15FCC"/>
    <w:rsid w:val="00B1687C"/>
    <w:rsid w:val="00B16AE9"/>
    <w:rsid w:val="00B16F8E"/>
    <w:rsid w:val="00B170DF"/>
    <w:rsid w:val="00B17487"/>
    <w:rsid w:val="00B1768E"/>
    <w:rsid w:val="00B178C0"/>
    <w:rsid w:val="00B17D1B"/>
    <w:rsid w:val="00B17DD8"/>
    <w:rsid w:val="00B17FA0"/>
    <w:rsid w:val="00B2089A"/>
    <w:rsid w:val="00B20AB3"/>
    <w:rsid w:val="00B215CB"/>
    <w:rsid w:val="00B21D75"/>
    <w:rsid w:val="00B22091"/>
    <w:rsid w:val="00B223A8"/>
    <w:rsid w:val="00B2277E"/>
    <w:rsid w:val="00B232A2"/>
    <w:rsid w:val="00B23745"/>
    <w:rsid w:val="00B23C59"/>
    <w:rsid w:val="00B23EF0"/>
    <w:rsid w:val="00B2447B"/>
    <w:rsid w:val="00B2493F"/>
    <w:rsid w:val="00B254E7"/>
    <w:rsid w:val="00B25A67"/>
    <w:rsid w:val="00B260ED"/>
    <w:rsid w:val="00B26471"/>
    <w:rsid w:val="00B26AFE"/>
    <w:rsid w:val="00B26DD8"/>
    <w:rsid w:val="00B274B2"/>
    <w:rsid w:val="00B27614"/>
    <w:rsid w:val="00B27684"/>
    <w:rsid w:val="00B30CF5"/>
    <w:rsid w:val="00B31405"/>
    <w:rsid w:val="00B3140D"/>
    <w:rsid w:val="00B320D1"/>
    <w:rsid w:val="00B32709"/>
    <w:rsid w:val="00B34AEE"/>
    <w:rsid w:val="00B35268"/>
    <w:rsid w:val="00B368B8"/>
    <w:rsid w:val="00B36AD9"/>
    <w:rsid w:val="00B400B2"/>
    <w:rsid w:val="00B40328"/>
    <w:rsid w:val="00B40498"/>
    <w:rsid w:val="00B40933"/>
    <w:rsid w:val="00B40B23"/>
    <w:rsid w:val="00B40BE5"/>
    <w:rsid w:val="00B40CBB"/>
    <w:rsid w:val="00B414F4"/>
    <w:rsid w:val="00B42030"/>
    <w:rsid w:val="00B420DB"/>
    <w:rsid w:val="00B4229F"/>
    <w:rsid w:val="00B42322"/>
    <w:rsid w:val="00B426B5"/>
    <w:rsid w:val="00B428D2"/>
    <w:rsid w:val="00B44E82"/>
    <w:rsid w:val="00B45350"/>
    <w:rsid w:val="00B457B6"/>
    <w:rsid w:val="00B46190"/>
    <w:rsid w:val="00B462FD"/>
    <w:rsid w:val="00B47749"/>
    <w:rsid w:val="00B504B1"/>
    <w:rsid w:val="00B505DA"/>
    <w:rsid w:val="00B5137D"/>
    <w:rsid w:val="00B528D2"/>
    <w:rsid w:val="00B52A55"/>
    <w:rsid w:val="00B52D33"/>
    <w:rsid w:val="00B531C1"/>
    <w:rsid w:val="00B536D3"/>
    <w:rsid w:val="00B54588"/>
    <w:rsid w:val="00B55979"/>
    <w:rsid w:val="00B5640E"/>
    <w:rsid w:val="00B56B64"/>
    <w:rsid w:val="00B570AD"/>
    <w:rsid w:val="00B5727D"/>
    <w:rsid w:val="00B57956"/>
    <w:rsid w:val="00B60266"/>
    <w:rsid w:val="00B6113D"/>
    <w:rsid w:val="00B61C77"/>
    <w:rsid w:val="00B61D69"/>
    <w:rsid w:val="00B61ED8"/>
    <w:rsid w:val="00B61EF8"/>
    <w:rsid w:val="00B62969"/>
    <w:rsid w:val="00B631A4"/>
    <w:rsid w:val="00B6356C"/>
    <w:rsid w:val="00B6413E"/>
    <w:rsid w:val="00B65526"/>
    <w:rsid w:val="00B65654"/>
    <w:rsid w:val="00B65D66"/>
    <w:rsid w:val="00B668B4"/>
    <w:rsid w:val="00B67075"/>
    <w:rsid w:val="00B67533"/>
    <w:rsid w:val="00B679E2"/>
    <w:rsid w:val="00B67A74"/>
    <w:rsid w:val="00B67D97"/>
    <w:rsid w:val="00B705A5"/>
    <w:rsid w:val="00B70D8D"/>
    <w:rsid w:val="00B71757"/>
    <w:rsid w:val="00B71B39"/>
    <w:rsid w:val="00B71C22"/>
    <w:rsid w:val="00B72987"/>
    <w:rsid w:val="00B72B5A"/>
    <w:rsid w:val="00B73412"/>
    <w:rsid w:val="00B73947"/>
    <w:rsid w:val="00B741DB"/>
    <w:rsid w:val="00B74775"/>
    <w:rsid w:val="00B74A55"/>
    <w:rsid w:val="00B753C4"/>
    <w:rsid w:val="00B75CBA"/>
    <w:rsid w:val="00B761F9"/>
    <w:rsid w:val="00B76261"/>
    <w:rsid w:val="00B76790"/>
    <w:rsid w:val="00B77782"/>
    <w:rsid w:val="00B779D6"/>
    <w:rsid w:val="00B77DB8"/>
    <w:rsid w:val="00B803D0"/>
    <w:rsid w:val="00B8076C"/>
    <w:rsid w:val="00B8100B"/>
    <w:rsid w:val="00B810E6"/>
    <w:rsid w:val="00B811FB"/>
    <w:rsid w:val="00B8131A"/>
    <w:rsid w:val="00B81786"/>
    <w:rsid w:val="00B82194"/>
    <w:rsid w:val="00B82C8B"/>
    <w:rsid w:val="00B82F64"/>
    <w:rsid w:val="00B83A6D"/>
    <w:rsid w:val="00B83B2D"/>
    <w:rsid w:val="00B847E3"/>
    <w:rsid w:val="00B849B3"/>
    <w:rsid w:val="00B84D2D"/>
    <w:rsid w:val="00B85C2E"/>
    <w:rsid w:val="00B86DED"/>
    <w:rsid w:val="00B871AD"/>
    <w:rsid w:val="00B877A6"/>
    <w:rsid w:val="00B8789D"/>
    <w:rsid w:val="00B87ECA"/>
    <w:rsid w:val="00B904F9"/>
    <w:rsid w:val="00B9137B"/>
    <w:rsid w:val="00B921B9"/>
    <w:rsid w:val="00B931B5"/>
    <w:rsid w:val="00B935C7"/>
    <w:rsid w:val="00B94157"/>
    <w:rsid w:val="00B94563"/>
    <w:rsid w:val="00B94D24"/>
    <w:rsid w:val="00B95F2A"/>
    <w:rsid w:val="00B9756E"/>
    <w:rsid w:val="00BA00C3"/>
    <w:rsid w:val="00BA0AC0"/>
    <w:rsid w:val="00BA0F83"/>
    <w:rsid w:val="00BA0F87"/>
    <w:rsid w:val="00BA1FE9"/>
    <w:rsid w:val="00BA21DD"/>
    <w:rsid w:val="00BA2258"/>
    <w:rsid w:val="00BA268C"/>
    <w:rsid w:val="00BA29CA"/>
    <w:rsid w:val="00BA2AF5"/>
    <w:rsid w:val="00BA2E0B"/>
    <w:rsid w:val="00BA322F"/>
    <w:rsid w:val="00BA4067"/>
    <w:rsid w:val="00BA409E"/>
    <w:rsid w:val="00BA436D"/>
    <w:rsid w:val="00BA4E71"/>
    <w:rsid w:val="00BA5255"/>
    <w:rsid w:val="00BA580F"/>
    <w:rsid w:val="00BA5C88"/>
    <w:rsid w:val="00BA60D8"/>
    <w:rsid w:val="00BA66DD"/>
    <w:rsid w:val="00BA6BDA"/>
    <w:rsid w:val="00BA7302"/>
    <w:rsid w:val="00BA7A5A"/>
    <w:rsid w:val="00BA7B17"/>
    <w:rsid w:val="00BA7CA3"/>
    <w:rsid w:val="00BA7CB2"/>
    <w:rsid w:val="00BB144E"/>
    <w:rsid w:val="00BB1BF7"/>
    <w:rsid w:val="00BB1DC0"/>
    <w:rsid w:val="00BB2133"/>
    <w:rsid w:val="00BB2644"/>
    <w:rsid w:val="00BB278A"/>
    <w:rsid w:val="00BB280D"/>
    <w:rsid w:val="00BB314F"/>
    <w:rsid w:val="00BB3749"/>
    <w:rsid w:val="00BB377C"/>
    <w:rsid w:val="00BB3CDF"/>
    <w:rsid w:val="00BB4ABB"/>
    <w:rsid w:val="00BB4BA4"/>
    <w:rsid w:val="00BB505F"/>
    <w:rsid w:val="00BB6063"/>
    <w:rsid w:val="00BB6471"/>
    <w:rsid w:val="00BB6694"/>
    <w:rsid w:val="00BB6B1A"/>
    <w:rsid w:val="00BB71E0"/>
    <w:rsid w:val="00BB7C8B"/>
    <w:rsid w:val="00BC04A1"/>
    <w:rsid w:val="00BC1637"/>
    <w:rsid w:val="00BC18D6"/>
    <w:rsid w:val="00BC2032"/>
    <w:rsid w:val="00BC3111"/>
    <w:rsid w:val="00BC33CB"/>
    <w:rsid w:val="00BC363A"/>
    <w:rsid w:val="00BC4040"/>
    <w:rsid w:val="00BC4676"/>
    <w:rsid w:val="00BC47AD"/>
    <w:rsid w:val="00BC54F2"/>
    <w:rsid w:val="00BC5C5B"/>
    <w:rsid w:val="00BC6E64"/>
    <w:rsid w:val="00BC730C"/>
    <w:rsid w:val="00BC731B"/>
    <w:rsid w:val="00BC7CA6"/>
    <w:rsid w:val="00BD0179"/>
    <w:rsid w:val="00BD0D25"/>
    <w:rsid w:val="00BD10B3"/>
    <w:rsid w:val="00BD13CA"/>
    <w:rsid w:val="00BD173D"/>
    <w:rsid w:val="00BD232D"/>
    <w:rsid w:val="00BD28F2"/>
    <w:rsid w:val="00BD2F61"/>
    <w:rsid w:val="00BD34D8"/>
    <w:rsid w:val="00BD585B"/>
    <w:rsid w:val="00BD59E1"/>
    <w:rsid w:val="00BD6A78"/>
    <w:rsid w:val="00BD7451"/>
    <w:rsid w:val="00BE00CB"/>
    <w:rsid w:val="00BE0529"/>
    <w:rsid w:val="00BE0F38"/>
    <w:rsid w:val="00BE1B7C"/>
    <w:rsid w:val="00BE1FCF"/>
    <w:rsid w:val="00BE2051"/>
    <w:rsid w:val="00BE2DA5"/>
    <w:rsid w:val="00BE3D09"/>
    <w:rsid w:val="00BE40B2"/>
    <w:rsid w:val="00BE47FF"/>
    <w:rsid w:val="00BE51DD"/>
    <w:rsid w:val="00BE6049"/>
    <w:rsid w:val="00BE6840"/>
    <w:rsid w:val="00BE6D34"/>
    <w:rsid w:val="00BE6E9E"/>
    <w:rsid w:val="00BF0077"/>
    <w:rsid w:val="00BF0214"/>
    <w:rsid w:val="00BF0995"/>
    <w:rsid w:val="00BF1213"/>
    <w:rsid w:val="00BF12B1"/>
    <w:rsid w:val="00BF18FB"/>
    <w:rsid w:val="00BF19E3"/>
    <w:rsid w:val="00BF2CA8"/>
    <w:rsid w:val="00BF2DB9"/>
    <w:rsid w:val="00BF2F82"/>
    <w:rsid w:val="00BF3765"/>
    <w:rsid w:val="00BF3951"/>
    <w:rsid w:val="00BF3A08"/>
    <w:rsid w:val="00BF4201"/>
    <w:rsid w:val="00BF5A89"/>
    <w:rsid w:val="00BF5DF9"/>
    <w:rsid w:val="00BF6CD2"/>
    <w:rsid w:val="00BF775F"/>
    <w:rsid w:val="00BF7EDD"/>
    <w:rsid w:val="00C01787"/>
    <w:rsid w:val="00C01808"/>
    <w:rsid w:val="00C01DE6"/>
    <w:rsid w:val="00C01F5A"/>
    <w:rsid w:val="00C02928"/>
    <w:rsid w:val="00C02AB8"/>
    <w:rsid w:val="00C02CB8"/>
    <w:rsid w:val="00C04A55"/>
    <w:rsid w:val="00C04C59"/>
    <w:rsid w:val="00C067D0"/>
    <w:rsid w:val="00C067D1"/>
    <w:rsid w:val="00C07045"/>
    <w:rsid w:val="00C07EE4"/>
    <w:rsid w:val="00C1035B"/>
    <w:rsid w:val="00C10588"/>
    <w:rsid w:val="00C108B6"/>
    <w:rsid w:val="00C10B0B"/>
    <w:rsid w:val="00C113BF"/>
    <w:rsid w:val="00C11DA0"/>
    <w:rsid w:val="00C1287E"/>
    <w:rsid w:val="00C128CF"/>
    <w:rsid w:val="00C1298D"/>
    <w:rsid w:val="00C12A82"/>
    <w:rsid w:val="00C12ACC"/>
    <w:rsid w:val="00C151AE"/>
    <w:rsid w:val="00C15693"/>
    <w:rsid w:val="00C15C2A"/>
    <w:rsid w:val="00C16192"/>
    <w:rsid w:val="00C17048"/>
    <w:rsid w:val="00C17CAA"/>
    <w:rsid w:val="00C20403"/>
    <w:rsid w:val="00C2069D"/>
    <w:rsid w:val="00C206D5"/>
    <w:rsid w:val="00C20AB1"/>
    <w:rsid w:val="00C21072"/>
    <w:rsid w:val="00C2149B"/>
    <w:rsid w:val="00C21668"/>
    <w:rsid w:val="00C2179C"/>
    <w:rsid w:val="00C219B8"/>
    <w:rsid w:val="00C2396D"/>
    <w:rsid w:val="00C23F37"/>
    <w:rsid w:val="00C245C1"/>
    <w:rsid w:val="00C2480E"/>
    <w:rsid w:val="00C279D0"/>
    <w:rsid w:val="00C27C5A"/>
    <w:rsid w:val="00C27C67"/>
    <w:rsid w:val="00C30D3E"/>
    <w:rsid w:val="00C312AF"/>
    <w:rsid w:val="00C31CF0"/>
    <w:rsid w:val="00C31E96"/>
    <w:rsid w:val="00C32995"/>
    <w:rsid w:val="00C33036"/>
    <w:rsid w:val="00C3333F"/>
    <w:rsid w:val="00C335DF"/>
    <w:rsid w:val="00C33788"/>
    <w:rsid w:val="00C34B5F"/>
    <w:rsid w:val="00C34C69"/>
    <w:rsid w:val="00C351C7"/>
    <w:rsid w:val="00C35F27"/>
    <w:rsid w:val="00C36823"/>
    <w:rsid w:val="00C36B01"/>
    <w:rsid w:val="00C36D29"/>
    <w:rsid w:val="00C3751E"/>
    <w:rsid w:val="00C37D04"/>
    <w:rsid w:val="00C4036B"/>
    <w:rsid w:val="00C40458"/>
    <w:rsid w:val="00C40795"/>
    <w:rsid w:val="00C407C9"/>
    <w:rsid w:val="00C40E37"/>
    <w:rsid w:val="00C410B8"/>
    <w:rsid w:val="00C417B8"/>
    <w:rsid w:val="00C420AC"/>
    <w:rsid w:val="00C42629"/>
    <w:rsid w:val="00C42E9E"/>
    <w:rsid w:val="00C433C8"/>
    <w:rsid w:val="00C43481"/>
    <w:rsid w:val="00C44276"/>
    <w:rsid w:val="00C4457E"/>
    <w:rsid w:val="00C44759"/>
    <w:rsid w:val="00C448C9"/>
    <w:rsid w:val="00C448CC"/>
    <w:rsid w:val="00C4512C"/>
    <w:rsid w:val="00C45F3D"/>
    <w:rsid w:val="00C4660F"/>
    <w:rsid w:val="00C47183"/>
    <w:rsid w:val="00C5043F"/>
    <w:rsid w:val="00C50A95"/>
    <w:rsid w:val="00C50C29"/>
    <w:rsid w:val="00C511C4"/>
    <w:rsid w:val="00C518FC"/>
    <w:rsid w:val="00C51DB5"/>
    <w:rsid w:val="00C5212E"/>
    <w:rsid w:val="00C52134"/>
    <w:rsid w:val="00C522A2"/>
    <w:rsid w:val="00C527C5"/>
    <w:rsid w:val="00C5306B"/>
    <w:rsid w:val="00C53222"/>
    <w:rsid w:val="00C53887"/>
    <w:rsid w:val="00C539AD"/>
    <w:rsid w:val="00C53DFD"/>
    <w:rsid w:val="00C54F19"/>
    <w:rsid w:val="00C5525E"/>
    <w:rsid w:val="00C55FB6"/>
    <w:rsid w:val="00C5654A"/>
    <w:rsid w:val="00C567C9"/>
    <w:rsid w:val="00C5739F"/>
    <w:rsid w:val="00C574D6"/>
    <w:rsid w:val="00C57BDD"/>
    <w:rsid w:val="00C60B5B"/>
    <w:rsid w:val="00C61A2F"/>
    <w:rsid w:val="00C62277"/>
    <w:rsid w:val="00C627EE"/>
    <w:rsid w:val="00C62D6A"/>
    <w:rsid w:val="00C63B2B"/>
    <w:rsid w:val="00C63E2C"/>
    <w:rsid w:val="00C64D9F"/>
    <w:rsid w:val="00C65ED3"/>
    <w:rsid w:val="00C666E7"/>
    <w:rsid w:val="00C66780"/>
    <w:rsid w:val="00C66F57"/>
    <w:rsid w:val="00C67837"/>
    <w:rsid w:val="00C6786E"/>
    <w:rsid w:val="00C67E0A"/>
    <w:rsid w:val="00C70223"/>
    <w:rsid w:val="00C7097E"/>
    <w:rsid w:val="00C70B6E"/>
    <w:rsid w:val="00C70BE6"/>
    <w:rsid w:val="00C71402"/>
    <w:rsid w:val="00C71639"/>
    <w:rsid w:val="00C71960"/>
    <w:rsid w:val="00C72241"/>
    <w:rsid w:val="00C74368"/>
    <w:rsid w:val="00C7443B"/>
    <w:rsid w:val="00C74B30"/>
    <w:rsid w:val="00C74CD7"/>
    <w:rsid w:val="00C759E5"/>
    <w:rsid w:val="00C775E2"/>
    <w:rsid w:val="00C80382"/>
    <w:rsid w:val="00C80AC6"/>
    <w:rsid w:val="00C825BA"/>
    <w:rsid w:val="00C8277D"/>
    <w:rsid w:val="00C82938"/>
    <w:rsid w:val="00C83572"/>
    <w:rsid w:val="00C8388A"/>
    <w:rsid w:val="00C83C78"/>
    <w:rsid w:val="00C83F59"/>
    <w:rsid w:val="00C85009"/>
    <w:rsid w:val="00C853CB"/>
    <w:rsid w:val="00C85878"/>
    <w:rsid w:val="00C85A8B"/>
    <w:rsid w:val="00C85C31"/>
    <w:rsid w:val="00C8616C"/>
    <w:rsid w:val="00C86D83"/>
    <w:rsid w:val="00C86DD5"/>
    <w:rsid w:val="00C871BD"/>
    <w:rsid w:val="00C87D68"/>
    <w:rsid w:val="00C87D9E"/>
    <w:rsid w:val="00C87E76"/>
    <w:rsid w:val="00C87F02"/>
    <w:rsid w:val="00C90080"/>
    <w:rsid w:val="00C90647"/>
    <w:rsid w:val="00C90BF8"/>
    <w:rsid w:val="00C9161F"/>
    <w:rsid w:val="00C91D64"/>
    <w:rsid w:val="00C923C8"/>
    <w:rsid w:val="00C925E3"/>
    <w:rsid w:val="00C9268E"/>
    <w:rsid w:val="00C929FC"/>
    <w:rsid w:val="00C92FC8"/>
    <w:rsid w:val="00C939E9"/>
    <w:rsid w:val="00C93DE3"/>
    <w:rsid w:val="00C95A88"/>
    <w:rsid w:val="00C95F64"/>
    <w:rsid w:val="00C96245"/>
    <w:rsid w:val="00C96DAE"/>
    <w:rsid w:val="00C96EB6"/>
    <w:rsid w:val="00C97511"/>
    <w:rsid w:val="00C97D67"/>
    <w:rsid w:val="00C97E6B"/>
    <w:rsid w:val="00CA0659"/>
    <w:rsid w:val="00CA167F"/>
    <w:rsid w:val="00CA19D3"/>
    <w:rsid w:val="00CA1D0C"/>
    <w:rsid w:val="00CA2344"/>
    <w:rsid w:val="00CA23EC"/>
    <w:rsid w:val="00CA282C"/>
    <w:rsid w:val="00CA3F3F"/>
    <w:rsid w:val="00CA409D"/>
    <w:rsid w:val="00CA519C"/>
    <w:rsid w:val="00CA5287"/>
    <w:rsid w:val="00CA53E0"/>
    <w:rsid w:val="00CA5971"/>
    <w:rsid w:val="00CA61B8"/>
    <w:rsid w:val="00CA77E9"/>
    <w:rsid w:val="00CA797E"/>
    <w:rsid w:val="00CA7E01"/>
    <w:rsid w:val="00CB06DC"/>
    <w:rsid w:val="00CB093B"/>
    <w:rsid w:val="00CB0F23"/>
    <w:rsid w:val="00CB2221"/>
    <w:rsid w:val="00CB22BE"/>
    <w:rsid w:val="00CB2573"/>
    <w:rsid w:val="00CB2BBE"/>
    <w:rsid w:val="00CB2C71"/>
    <w:rsid w:val="00CB30DC"/>
    <w:rsid w:val="00CB4147"/>
    <w:rsid w:val="00CB4387"/>
    <w:rsid w:val="00CB4C6A"/>
    <w:rsid w:val="00CB4EA7"/>
    <w:rsid w:val="00CB5933"/>
    <w:rsid w:val="00CB5A5B"/>
    <w:rsid w:val="00CB7600"/>
    <w:rsid w:val="00CB7D91"/>
    <w:rsid w:val="00CC0817"/>
    <w:rsid w:val="00CC08BA"/>
    <w:rsid w:val="00CC0B60"/>
    <w:rsid w:val="00CC12EB"/>
    <w:rsid w:val="00CC14A7"/>
    <w:rsid w:val="00CC14A8"/>
    <w:rsid w:val="00CC1668"/>
    <w:rsid w:val="00CC23E7"/>
    <w:rsid w:val="00CC25B4"/>
    <w:rsid w:val="00CC3701"/>
    <w:rsid w:val="00CC4570"/>
    <w:rsid w:val="00CC6CF0"/>
    <w:rsid w:val="00CC6DF0"/>
    <w:rsid w:val="00CC736C"/>
    <w:rsid w:val="00CC741E"/>
    <w:rsid w:val="00CC7D6A"/>
    <w:rsid w:val="00CC7E52"/>
    <w:rsid w:val="00CD011A"/>
    <w:rsid w:val="00CD06D3"/>
    <w:rsid w:val="00CD0C4B"/>
    <w:rsid w:val="00CD0E2C"/>
    <w:rsid w:val="00CD0F8C"/>
    <w:rsid w:val="00CD0FEB"/>
    <w:rsid w:val="00CD1EF6"/>
    <w:rsid w:val="00CD1F65"/>
    <w:rsid w:val="00CD2FB3"/>
    <w:rsid w:val="00CD3096"/>
    <w:rsid w:val="00CD3220"/>
    <w:rsid w:val="00CD3BCA"/>
    <w:rsid w:val="00CD3D22"/>
    <w:rsid w:val="00CD58C8"/>
    <w:rsid w:val="00CD606A"/>
    <w:rsid w:val="00CD66F0"/>
    <w:rsid w:val="00CD6E11"/>
    <w:rsid w:val="00CD71B2"/>
    <w:rsid w:val="00CD775C"/>
    <w:rsid w:val="00CD7D04"/>
    <w:rsid w:val="00CD7D37"/>
    <w:rsid w:val="00CE0194"/>
    <w:rsid w:val="00CE0DE1"/>
    <w:rsid w:val="00CE13F7"/>
    <w:rsid w:val="00CE150C"/>
    <w:rsid w:val="00CE1E32"/>
    <w:rsid w:val="00CE2874"/>
    <w:rsid w:val="00CE3145"/>
    <w:rsid w:val="00CE359C"/>
    <w:rsid w:val="00CE4017"/>
    <w:rsid w:val="00CE43C9"/>
    <w:rsid w:val="00CE4A14"/>
    <w:rsid w:val="00CE5563"/>
    <w:rsid w:val="00CE59F2"/>
    <w:rsid w:val="00CE5BB6"/>
    <w:rsid w:val="00CE5F58"/>
    <w:rsid w:val="00CE6077"/>
    <w:rsid w:val="00CE61A5"/>
    <w:rsid w:val="00CE634A"/>
    <w:rsid w:val="00CE73EC"/>
    <w:rsid w:val="00CE762A"/>
    <w:rsid w:val="00CE7E8E"/>
    <w:rsid w:val="00CF0F6A"/>
    <w:rsid w:val="00CF1463"/>
    <w:rsid w:val="00CF4143"/>
    <w:rsid w:val="00CF494D"/>
    <w:rsid w:val="00CF4BBA"/>
    <w:rsid w:val="00CF5477"/>
    <w:rsid w:val="00CF5507"/>
    <w:rsid w:val="00CF550D"/>
    <w:rsid w:val="00CF5638"/>
    <w:rsid w:val="00CF5ABD"/>
    <w:rsid w:val="00CF5C7A"/>
    <w:rsid w:val="00CF5DB5"/>
    <w:rsid w:val="00CF72EF"/>
    <w:rsid w:val="00D01701"/>
    <w:rsid w:val="00D02744"/>
    <w:rsid w:val="00D02EAD"/>
    <w:rsid w:val="00D04051"/>
    <w:rsid w:val="00D04075"/>
    <w:rsid w:val="00D04388"/>
    <w:rsid w:val="00D04DB7"/>
    <w:rsid w:val="00D05952"/>
    <w:rsid w:val="00D06516"/>
    <w:rsid w:val="00D0653F"/>
    <w:rsid w:val="00D06BEB"/>
    <w:rsid w:val="00D06E69"/>
    <w:rsid w:val="00D0756D"/>
    <w:rsid w:val="00D079AC"/>
    <w:rsid w:val="00D07AC3"/>
    <w:rsid w:val="00D07E88"/>
    <w:rsid w:val="00D10303"/>
    <w:rsid w:val="00D11768"/>
    <w:rsid w:val="00D11953"/>
    <w:rsid w:val="00D12208"/>
    <w:rsid w:val="00D123EC"/>
    <w:rsid w:val="00D1245C"/>
    <w:rsid w:val="00D12493"/>
    <w:rsid w:val="00D131D6"/>
    <w:rsid w:val="00D135EA"/>
    <w:rsid w:val="00D140CD"/>
    <w:rsid w:val="00D140D1"/>
    <w:rsid w:val="00D141C0"/>
    <w:rsid w:val="00D14AAF"/>
    <w:rsid w:val="00D14B26"/>
    <w:rsid w:val="00D15DA6"/>
    <w:rsid w:val="00D16060"/>
    <w:rsid w:val="00D162B1"/>
    <w:rsid w:val="00D166D7"/>
    <w:rsid w:val="00D174CA"/>
    <w:rsid w:val="00D17574"/>
    <w:rsid w:val="00D175AC"/>
    <w:rsid w:val="00D17781"/>
    <w:rsid w:val="00D17EC6"/>
    <w:rsid w:val="00D205F1"/>
    <w:rsid w:val="00D20C45"/>
    <w:rsid w:val="00D20E54"/>
    <w:rsid w:val="00D21486"/>
    <w:rsid w:val="00D2219E"/>
    <w:rsid w:val="00D22671"/>
    <w:rsid w:val="00D2299D"/>
    <w:rsid w:val="00D22DF6"/>
    <w:rsid w:val="00D22E41"/>
    <w:rsid w:val="00D23FBF"/>
    <w:rsid w:val="00D24266"/>
    <w:rsid w:val="00D249C5"/>
    <w:rsid w:val="00D25BFE"/>
    <w:rsid w:val="00D264B2"/>
    <w:rsid w:val="00D26552"/>
    <w:rsid w:val="00D2674A"/>
    <w:rsid w:val="00D269DC"/>
    <w:rsid w:val="00D27676"/>
    <w:rsid w:val="00D3071A"/>
    <w:rsid w:val="00D3074D"/>
    <w:rsid w:val="00D30DB9"/>
    <w:rsid w:val="00D312A7"/>
    <w:rsid w:val="00D31AE5"/>
    <w:rsid w:val="00D3214C"/>
    <w:rsid w:val="00D323D2"/>
    <w:rsid w:val="00D32A9C"/>
    <w:rsid w:val="00D32F7E"/>
    <w:rsid w:val="00D33F96"/>
    <w:rsid w:val="00D343D9"/>
    <w:rsid w:val="00D34747"/>
    <w:rsid w:val="00D351A9"/>
    <w:rsid w:val="00D35519"/>
    <w:rsid w:val="00D3565E"/>
    <w:rsid w:val="00D35D46"/>
    <w:rsid w:val="00D3621E"/>
    <w:rsid w:val="00D36250"/>
    <w:rsid w:val="00D36822"/>
    <w:rsid w:val="00D36DB7"/>
    <w:rsid w:val="00D3711F"/>
    <w:rsid w:val="00D402EB"/>
    <w:rsid w:val="00D40518"/>
    <w:rsid w:val="00D408A3"/>
    <w:rsid w:val="00D40FCC"/>
    <w:rsid w:val="00D4158C"/>
    <w:rsid w:val="00D417E2"/>
    <w:rsid w:val="00D41E33"/>
    <w:rsid w:val="00D43211"/>
    <w:rsid w:val="00D4359C"/>
    <w:rsid w:val="00D435ED"/>
    <w:rsid w:val="00D43D90"/>
    <w:rsid w:val="00D43E4C"/>
    <w:rsid w:val="00D4411D"/>
    <w:rsid w:val="00D442A4"/>
    <w:rsid w:val="00D45C08"/>
    <w:rsid w:val="00D4638B"/>
    <w:rsid w:val="00D474D6"/>
    <w:rsid w:val="00D477E7"/>
    <w:rsid w:val="00D478A2"/>
    <w:rsid w:val="00D479F0"/>
    <w:rsid w:val="00D47A37"/>
    <w:rsid w:val="00D47A79"/>
    <w:rsid w:val="00D47C90"/>
    <w:rsid w:val="00D51107"/>
    <w:rsid w:val="00D5131F"/>
    <w:rsid w:val="00D527D6"/>
    <w:rsid w:val="00D52973"/>
    <w:rsid w:val="00D52A09"/>
    <w:rsid w:val="00D52E2D"/>
    <w:rsid w:val="00D53747"/>
    <w:rsid w:val="00D53972"/>
    <w:rsid w:val="00D541AD"/>
    <w:rsid w:val="00D54284"/>
    <w:rsid w:val="00D54C63"/>
    <w:rsid w:val="00D5538B"/>
    <w:rsid w:val="00D5602F"/>
    <w:rsid w:val="00D568CC"/>
    <w:rsid w:val="00D56C5C"/>
    <w:rsid w:val="00D56D30"/>
    <w:rsid w:val="00D56F26"/>
    <w:rsid w:val="00D571D5"/>
    <w:rsid w:val="00D57970"/>
    <w:rsid w:val="00D602C8"/>
    <w:rsid w:val="00D60802"/>
    <w:rsid w:val="00D60D44"/>
    <w:rsid w:val="00D6101B"/>
    <w:rsid w:val="00D619A1"/>
    <w:rsid w:val="00D619F1"/>
    <w:rsid w:val="00D61BC0"/>
    <w:rsid w:val="00D63855"/>
    <w:rsid w:val="00D63F06"/>
    <w:rsid w:val="00D6404E"/>
    <w:rsid w:val="00D6413E"/>
    <w:rsid w:val="00D64E1F"/>
    <w:rsid w:val="00D65A34"/>
    <w:rsid w:val="00D65BD2"/>
    <w:rsid w:val="00D667D6"/>
    <w:rsid w:val="00D67843"/>
    <w:rsid w:val="00D67D9B"/>
    <w:rsid w:val="00D71A30"/>
    <w:rsid w:val="00D71AA1"/>
    <w:rsid w:val="00D71AF3"/>
    <w:rsid w:val="00D72069"/>
    <w:rsid w:val="00D72566"/>
    <w:rsid w:val="00D725FD"/>
    <w:rsid w:val="00D72C18"/>
    <w:rsid w:val="00D72D76"/>
    <w:rsid w:val="00D72F05"/>
    <w:rsid w:val="00D7413F"/>
    <w:rsid w:val="00D74580"/>
    <w:rsid w:val="00D74BA3"/>
    <w:rsid w:val="00D7547C"/>
    <w:rsid w:val="00D7762B"/>
    <w:rsid w:val="00D80AA7"/>
    <w:rsid w:val="00D80C94"/>
    <w:rsid w:val="00D82235"/>
    <w:rsid w:val="00D83112"/>
    <w:rsid w:val="00D83859"/>
    <w:rsid w:val="00D83A54"/>
    <w:rsid w:val="00D83D23"/>
    <w:rsid w:val="00D8430B"/>
    <w:rsid w:val="00D843F1"/>
    <w:rsid w:val="00D85213"/>
    <w:rsid w:val="00D853E4"/>
    <w:rsid w:val="00D85D7F"/>
    <w:rsid w:val="00D85FCA"/>
    <w:rsid w:val="00D867FC"/>
    <w:rsid w:val="00D86B28"/>
    <w:rsid w:val="00D86DC0"/>
    <w:rsid w:val="00D873BD"/>
    <w:rsid w:val="00D87F0F"/>
    <w:rsid w:val="00D91EF3"/>
    <w:rsid w:val="00D92102"/>
    <w:rsid w:val="00D92D28"/>
    <w:rsid w:val="00D9315B"/>
    <w:rsid w:val="00D931D1"/>
    <w:rsid w:val="00D93993"/>
    <w:rsid w:val="00D93B63"/>
    <w:rsid w:val="00D9436D"/>
    <w:rsid w:val="00D947DD"/>
    <w:rsid w:val="00D94F54"/>
    <w:rsid w:val="00D94F98"/>
    <w:rsid w:val="00D9576D"/>
    <w:rsid w:val="00D95EA5"/>
    <w:rsid w:val="00D96180"/>
    <w:rsid w:val="00D96751"/>
    <w:rsid w:val="00D968E2"/>
    <w:rsid w:val="00D968F4"/>
    <w:rsid w:val="00D973B6"/>
    <w:rsid w:val="00D97598"/>
    <w:rsid w:val="00D97671"/>
    <w:rsid w:val="00D97B71"/>
    <w:rsid w:val="00DA05F8"/>
    <w:rsid w:val="00DA0973"/>
    <w:rsid w:val="00DA144E"/>
    <w:rsid w:val="00DA2164"/>
    <w:rsid w:val="00DA2E44"/>
    <w:rsid w:val="00DA30F2"/>
    <w:rsid w:val="00DA3255"/>
    <w:rsid w:val="00DA3F7B"/>
    <w:rsid w:val="00DA48D1"/>
    <w:rsid w:val="00DA5238"/>
    <w:rsid w:val="00DA5EE7"/>
    <w:rsid w:val="00DA5F5A"/>
    <w:rsid w:val="00DA63AF"/>
    <w:rsid w:val="00DB1801"/>
    <w:rsid w:val="00DB1855"/>
    <w:rsid w:val="00DB1C37"/>
    <w:rsid w:val="00DB25AB"/>
    <w:rsid w:val="00DB264A"/>
    <w:rsid w:val="00DB2A18"/>
    <w:rsid w:val="00DB317D"/>
    <w:rsid w:val="00DB3819"/>
    <w:rsid w:val="00DB3C82"/>
    <w:rsid w:val="00DB43F5"/>
    <w:rsid w:val="00DB4827"/>
    <w:rsid w:val="00DB4830"/>
    <w:rsid w:val="00DB4B6D"/>
    <w:rsid w:val="00DB506A"/>
    <w:rsid w:val="00DB5126"/>
    <w:rsid w:val="00DB65FC"/>
    <w:rsid w:val="00DB6D20"/>
    <w:rsid w:val="00DB6E9A"/>
    <w:rsid w:val="00DB6EC7"/>
    <w:rsid w:val="00DB7CF8"/>
    <w:rsid w:val="00DC1041"/>
    <w:rsid w:val="00DC1390"/>
    <w:rsid w:val="00DC1A17"/>
    <w:rsid w:val="00DC1BE8"/>
    <w:rsid w:val="00DC1D73"/>
    <w:rsid w:val="00DC2198"/>
    <w:rsid w:val="00DC2217"/>
    <w:rsid w:val="00DC2533"/>
    <w:rsid w:val="00DC2AD4"/>
    <w:rsid w:val="00DC32FD"/>
    <w:rsid w:val="00DC371A"/>
    <w:rsid w:val="00DC3877"/>
    <w:rsid w:val="00DC3B64"/>
    <w:rsid w:val="00DC3B74"/>
    <w:rsid w:val="00DC43B9"/>
    <w:rsid w:val="00DC4B90"/>
    <w:rsid w:val="00DC591C"/>
    <w:rsid w:val="00DC5A57"/>
    <w:rsid w:val="00DC5DBD"/>
    <w:rsid w:val="00DC683D"/>
    <w:rsid w:val="00DC6BA8"/>
    <w:rsid w:val="00DC6F11"/>
    <w:rsid w:val="00DC776E"/>
    <w:rsid w:val="00DC7CA2"/>
    <w:rsid w:val="00DC7EF7"/>
    <w:rsid w:val="00DD0025"/>
    <w:rsid w:val="00DD0C9A"/>
    <w:rsid w:val="00DD0E42"/>
    <w:rsid w:val="00DD1ADE"/>
    <w:rsid w:val="00DD23C7"/>
    <w:rsid w:val="00DD2609"/>
    <w:rsid w:val="00DD2717"/>
    <w:rsid w:val="00DD2B66"/>
    <w:rsid w:val="00DD3234"/>
    <w:rsid w:val="00DD3861"/>
    <w:rsid w:val="00DD3913"/>
    <w:rsid w:val="00DD5578"/>
    <w:rsid w:val="00DD6828"/>
    <w:rsid w:val="00DD71D8"/>
    <w:rsid w:val="00DD733F"/>
    <w:rsid w:val="00DD744C"/>
    <w:rsid w:val="00DD7922"/>
    <w:rsid w:val="00DE073B"/>
    <w:rsid w:val="00DE0AA9"/>
    <w:rsid w:val="00DE0ACA"/>
    <w:rsid w:val="00DE1E79"/>
    <w:rsid w:val="00DE2E0E"/>
    <w:rsid w:val="00DE32E3"/>
    <w:rsid w:val="00DE3AEF"/>
    <w:rsid w:val="00DE3FC5"/>
    <w:rsid w:val="00DE4091"/>
    <w:rsid w:val="00DE447F"/>
    <w:rsid w:val="00DE4637"/>
    <w:rsid w:val="00DE4952"/>
    <w:rsid w:val="00DE53B6"/>
    <w:rsid w:val="00DE79D9"/>
    <w:rsid w:val="00DF08E8"/>
    <w:rsid w:val="00DF0C37"/>
    <w:rsid w:val="00DF0DB0"/>
    <w:rsid w:val="00DF14CC"/>
    <w:rsid w:val="00DF29E9"/>
    <w:rsid w:val="00DF386F"/>
    <w:rsid w:val="00DF39FC"/>
    <w:rsid w:val="00DF4517"/>
    <w:rsid w:val="00DF46EC"/>
    <w:rsid w:val="00DF475C"/>
    <w:rsid w:val="00DF4982"/>
    <w:rsid w:val="00DF4FB3"/>
    <w:rsid w:val="00DF5040"/>
    <w:rsid w:val="00DF5351"/>
    <w:rsid w:val="00DF53E0"/>
    <w:rsid w:val="00DF5694"/>
    <w:rsid w:val="00DF659B"/>
    <w:rsid w:val="00DF707F"/>
    <w:rsid w:val="00E0053E"/>
    <w:rsid w:val="00E0093C"/>
    <w:rsid w:val="00E015D6"/>
    <w:rsid w:val="00E02406"/>
    <w:rsid w:val="00E02723"/>
    <w:rsid w:val="00E03DF5"/>
    <w:rsid w:val="00E04070"/>
    <w:rsid w:val="00E04175"/>
    <w:rsid w:val="00E0483F"/>
    <w:rsid w:val="00E05985"/>
    <w:rsid w:val="00E06727"/>
    <w:rsid w:val="00E07940"/>
    <w:rsid w:val="00E1000E"/>
    <w:rsid w:val="00E10846"/>
    <w:rsid w:val="00E109BB"/>
    <w:rsid w:val="00E11249"/>
    <w:rsid w:val="00E11674"/>
    <w:rsid w:val="00E11728"/>
    <w:rsid w:val="00E117CB"/>
    <w:rsid w:val="00E13272"/>
    <w:rsid w:val="00E13A0A"/>
    <w:rsid w:val="00E14892"/>
    <w:rsid w:val="00E15380"/>
    <w:rsid w:val="00E16466"/>
    <w:rsid w:val="00E1759A"/>
    <w:rsid w:val="00E178BD"/>
    <w:rsid w:val="00E179CE"/>
    <w:rsid w:val="00E17B09"/>
    <w:rsid w:val="00E17FDD"/>
    <w:rsid w:val="00E201C4"/>
    <w:rsid w:val="00E20659"/>
    <w:rsid w:val="00E20802"/>
    <w:rsid w:val="00E20F0B"/>
    <w:rsid w:val="00E21154"/>
    <w:rsid w:val="00E21BDA"/>
    <w:rsid w:val="00E21F96"/>
    <w:rsid w:val="00E21FDE"/>
    <w:rsid w:val="00E2206F"/>
    <w:rsid w:val="00E227BA"/>
    <w:rsid w:val="00E227E4"/>
    <w:rsid w:val="00E227F7"/>
    <w:rsid w:val="00E22AEA"/>
    <w:rsid w:val="00E22CDE"/>
    <w:rsid w:val="00E22FCA"/>
    <w:rsid w:val="00E23A72"/>
    <w:rsid w:val="00E243FF"/>
    <w:rsid w:val="00E24FA4"/>
    <w:rsid w:val="00E25001"/>
    <w:rsid w:val="00E25263"/>
    <w:rsid w:val="00E254CA"/>
    <w:rsid w:val="00E25A60"/>
    <w:rsid w:val="00E25B8B"/>
    <w:rsid w:val="00E260A4"/>
    <w:rsid w:val="00E26464"/>
    <w:rsid w:val="00E27EB3"/>
    <w:rsid w:val="00E27F95"/>
    <w:rsid w:val="00E30353"/>
    <w:rsid w:val="00E30D1F"/>
    <w:rsid w:val="00E328B5"/>
    <w:rsid w:val="00E32D70"/>
    <w:rsid w:val="00E337F6"/>
    <w:rsid w:val="00E338F2"/>
    <w:rsid w:val="00E33F18"/>
    <w:rsid w:val="00E34B6B"/>
    <w:rsid w:val="00E34BEB"/>
    <w:rsid w:val="00E34D29"/>
    <w:rsid w:val="00E34E3B"/>
    <w:rsid w:val="00E35C1E"/>
    <w:rsid w:val="00E35E11"/>
    <w:rsid w:val="00E363A9"/>
    <w:rsid w:val="00E36626"/>
    <w:rsid w:val="00E37332"/>
    <w:rsid w:val="00E37922"/>
    <w:rsid w:val="00E40318"/>
    <w:rsid w:val="00E404DF"/>
    <w:rsid w:val="00E40C18"/>
    <w:rsid w:val="00E40EB7"/>
    <w:rsid w:val="00E418F7"/>
    <w:rsid w:val="00E42799"/>
    <w:rsid w:val="00E43704"/>
    <w:rsid w:val="00E438E7"/>
    <w:rsid w:val="00E43A05"/>
    <w:rsid w:val="00E44B31"/>
    <w:rsid w:val="00E44CE5"/>
    <w:rsid w:val="00E4583A"/>
    <w:rsid w:val="00E45BAA"/>
    <w:rsid w:val="00E46A77"/>
    <w:rsid w:val="00E46B90"/>
    <w:rsid w:val="00E47847"/>
    <w:rsid w:val="00E47B1E"/>
    <w:rsid w:val="00E50E0D"/>
    <w:rsid w:val="00E50FD5"/>
    <w:rsid w:val="00E51108"/>
    <w:rsid w:val="00E51A20"/>
    <w:rsid w:val="00E52484"/>
    <w:rsid w:val="00E5379B"/>
    <w:rsid w:val="00E54618"/>
    <w:rsid w:val="00E54667"/>
    <w:rsid w:val="00E546D2"/>
    <w:rsid w:val="00E54813"/>
    <w:rsid w:val="00E54D28"/>
    <w:rsid w:val="00E55B60"/>
    <w:rsid w:val="00E55B79"/>
    <w:rsid w:val="00E55D37"/>
    <w:rsid w:val="00E56110"/>
    <w:rsid w:val="00E561E2"/>
    <w:rsid w:val="00E563ED"/>
    <w:rsid w:val="00E56C49"/>
    <w:rsid w:val="00E57373"/>
    <w:rsid w:val="00E57A19"/>
    <w:rsid w:val="00E57AAF"/>
    <w:rsid w:val="00E57D9B"/>
    <w:rsid w:val="00E61442"/>
    <w:rsid w:val="00E61455"/>
    <w:rsid w:val="00E61AEA"/>
    <w:rsid w:val="00E61B2D"/>
    <w:rsid w:val="00E6281C"/>
    <w:rsid w:val="00E630A2"/>
    <w:rsid w:val="00E632BC"/>
    <w:rsid w:val="00E6382C"/>
    <w:rsid w:val="00E64354"/>
    <w:rsid w:val="00E64522"/>
    <w:rsid w:val="00E64C5D"/>
    <w:rsid w:val="00E65A03"/>
    <w:rsid w:val="00E666F0"/>
    <w:rsid w:val="00E66C60"/>
    <w:rsid w:val="00E67250"/>
    <w:rsid w:val="00E67435"/>
    <w:rsid w:val="00E678D0"/>
    <w:rsid w:val="00E67E04"/>
    <w:rsid w:val="00E7107C"/>
    <w:rsid w:val="00E72658"/>
    <w:rsid w:val="00E732CB"/>
    <w:rsid w:val="00E73375"/>
    <w:rsid w:val="00E7368C"/>
    <w:rsid w:val="00E737AB"/>
    <w:rsid w:val="00E752C5"/>
    <w:rsid w:val="00E75929"/>
    <w:rsid w:val="00E75A5B"/>
    <w:rsid w:val="00E76A2F"/>
    <w:rsid w:val="00E76F34"/>
    <w:rsid w:val="00E77274"/>
    <w:rsid w:val="00E77923"/>
    <w:rsid w:val="00E80795"/>
    <w:rsid w:val="00E80A49"/>
    <w:rsid w:val="00E81C62"/>
    <w:rsid w:val="00E825BC"/>
    <w:rsid w:val="00E8346C"/>
    <w:rsid w:val="00E83AF4"/>
    <w:rsid w:val="00E842AA"/>
    <w:rsid w:val="00E84DEC"/>
    <w:rsid w:val="00E851A5"/>
    <w:rsid w:val="00E85253"/>
    <w:rsid w:val="00E859E5"/>
    <w:rsid w:val="00E85E66"/>
    <w:rsid w:val="00E85E7E"/>
    <w:rsid w:val="00E85F21"/>
    <w:rsid w:val="00E86B88"/>
    <w:rsid w:val="00E86F25"/>
    <w:rsid w:val="00E874E7"/>
    <w:rsid w:val="00E879D9"/>
    <w:rsid w:val="00E901D2"/>
    <w:rsid w:val="00E90EBC"/>
    <w:rsid w:val="00E91693"/>
    <w:rsid w:val="00E917F1"/>
    <w:rsid w:val="00E91B46"/>
    <w:rsid w:val="00E91DF2"/>
    <w:rsid w:val="00E92619"/>
    <w:rsid w:val="00E92B67"/>
    <w:rsid w:val="00E93E86"/>
    <w:rsid w:val="00E93F21"/>
    <w:rsid w:val="00E93F96"/>
    <w:rsid w:val="00E940B4"/>
    <w:rsid w:val="00E9410B"/>
    <w:rsid w:val="00E945D5"/>
    <w:rsid w:val="00E948DB"/>
    <w:rsid w:val="00E957DF"/>
    <w:rsid w:val="00E96471"/>
    <w:rsid w:val="00E967EF"/>
    <w:rsid w:val="00E9721D"/>
    <w:rsid w:val="00E97438"/>
    <w:rsid w:val="00E97C5F"/>
    <w:rsid w:val="00EA02A0"/>
    <w:rsid w:val="00EA12B7"/>
    <w:rsid w:val="00EA2E48"/>
    <w:rsid w:val="00EA3006"/>
    <w:rsid w:val="00EA3D2B"/>
    <w:rsid w:val="00EA4AA3"/>
    <w:rsid w:val="00EA5EE9"/>
    <w:rsid w:val="00EA6E03"/>
    <w:rsid w:val="00EA7D68"/>
    <w:rsid w:val="00EA7F08"/>
    <w:rsid w:val="00EB022B"/>
    <w:rsid w:val="00EB06CD"/>
    <w:rsid w:val="00EB08B8"/>
    <w:rsid w:val="00EB12F6"/>
    <w:rsid w:val="00EB1565"/>
    <w:rsid w:val="00EB158D"/>
    <w:rsid w:val="00EB1F9F"/>
    <w:rsid w:val="00EB2089"/>
    <w:rsid w:val="00EB2246"/>
    <w:rsid w:val="00EB2698"/>
    <w:rsid w:val="00EB2E3A"/>
    <w:rsid w:val="00EB2F2D"/>
    <w:rsid w:val="00EB3386"/>
    <w:rsid w:val="00EB34FB"/>
    <w:rsid w:val="00EB3FAC"/>
    <w:rsid w:val="00EB576E"/>
    <w:rsid w:val="00EB577B"/>
    <w:rsid w:val="00EB5C4B"/>
    <w:rsid w:val="00EB5EAD"/>
    <w:rsid w:val="00EB5F2E"/>
    <w:rsid w:val="00EB6592"/>
    <w:rsid w:val="00EB6B88"/>
    <w:rsid w:val="00EB6C93"/>
    <w:rsid w:val="00EB72DB"/>
    <w:rsid w:val="00EB79AD"/>
    <w:rsid w:val="00EB7C42"/>
    <w:rsid w:val="00EB7CA4"/>
    <w:rsid w:val="00EC1330"/>
    <w:rsid w:val="00EC188E"/>
    <w:rsid w:val="00EC1B8A"/>
    <w:rsid w:val="00EC1D1C"/>
    <w:rsid w:val="00EC287E"/>
    <w:rsid w:val="00EC28C8"/>
    <w:rsid w:val="00EC2A7E"/>
    <w:rsid w:val="00EC2D2B"/>
    <w:rsid w:val="00EC3390"/>
    <w:rsid w:val="00EC39DC"/>
    <w:rsid w:val="00EC3EE8"/>
    <w:rsid w:val="00EC4641"/>
    <w:rsid w:val="00EC5ED9"/>
    <w:rsid w:val="00EC606F"/>
    <w:rsid w:val="00EC7FC4"/>
    <w:rsid w:val="00ED0746"/>
    <w:rsid w:val="00ED183E"/>
    <w:rsid w:val="00ED25D4"/>
    <w:rsid w:val="00ED3867"/>
    <w:rsid w:val="00ED3E82"/>
    <w:rsid w:val="00ED4C3C"/>
    <w:rsid w:val="00ED522E"/>
    <w:rsid w:val="00ED5621"/>
    <w:rsid w:val="00ED57A0"/>
    <w:rsid w:val="00ED5A30"/>
    <w:rsid w:val="00ED5DD2"/>
    <w:rsid w:val="00ED654A"/>
    <w:rsid w:val="00ED67AC"/>
    <w:rsid w:val="00ED6AE6"/>
    <w:rsid w:val="00ED70BD"/>
    <w:rsid w:val="00ED7196"/>
    <w:rsid w:val="00ED7B86"/>
    <w:rsid w:val="00ED7ED8"/>
    <w:rsid w:val="00EE013F"/>
    <w:rsid w:val="00EE0519"/>
    <w:rsid w:val="00EE0A16"/>
    <w:rsid w:val="00EE0AAE"/>
    <w:rsid w:val="00EE0C86"/>
    <w:rsid w:val="00EE0D7B"/>
    <w:rsid w:val="00EE1019"/>
    <w:rsid w:val="00EE10AB"/>
    <w:rsid w:val="00EE1486"/>
    <w:rsid w:val="00EE2105"/>
    <w:rsid w:val="00EE270A"/>
    <w:rsid w:val="00EE28C4"/>
    <w:rsid w:val="00EE2D07"/>
    <w:rsid w:val="00EE3454"/>
    <w:rsid w:val="00EE387C"/>
    <w:rsid w:val="00EE3E21"/>
    <w:rsid w:val="00EE4A2B"/>
    <w:rsid w:val="00EE4F99"/>
    <w:rsid w:val="00EE509C"/>
    <w:rsid w:val="00EE5445"/>
    <w:rsid w:val="00EE564F"/>
    <w:rsid w:val="00EE56A1"/>
    <w:rsid w:val="00EE5D89"/>
    <w:rsid w:val="00EE6B95"/>
    <w:rsid w:val="00EE6FD3"/>
    <w:rsid w:val="00EE713B"/>
    <w:rsid w:val="00EE71D1"/>
    <w:rsid w:val="00EE7702"/>
    <w:rsid w:val="00EE78BA"/>
    <w:rsid w:val="00EE7B65"/>
    <w:rsid w:val="00EE7FD4"/>
    <w:rsid w:val="00EE7FD9"/>
    <w:rsid w:val="00EF0782"/>
    <w:rsid w:val="00EF112C"/>
    <w:rsid w:val="00EF1708"/>
    <w:rsid w:val="00EF20FB"/>
    <w:rsid w:val="00EF2152"/>
    <w:rsid w:val="00EF3649"/>
    <w:rsid w:val="00EF3683"/>
    <w:rsid w:val="00EF3F88"/>
    <w:rsid w:val="00EF48C3"/>
    <w:rsid w:val="00EF5504"/>
    <w:rsid w:val="00EF5977"/>
    <w:rsid w:val="00EF5D06"/>
    <w:rsid w:val="00EF5FB4"/>
    <w:rsid w:val="00EF616D"/>
    <w:rsid w:val="00EF6651"/>
    <w:rsid w:val="00EF6C80"/>
    <w:rsid w:val="00EF6EFA"/>
    <w:rsid w:val="00EF7011"/>
    <w:rsid w:val="00EF7D02"/>
    <w:rsid w:val="00F00EB4"/>
    <w:rsid w:val="00F0146F"/>
    <w:rsid w:val="00F01B0D"/>
    <w:rsid w:val="00F02520"/>
    <w:rsid w:val="00F02D23"/>
    <w:rsid w:val="00F03693"/>
    <w:rsid w:val="00F043F4"/>
    <w:rsid w:val="00F04439"/>
    <w:rsid w:val="00F048B1"/>
    <w:rsid w:val="00F04A0F"/>
    <w:rsid w:val="00F04F1E"/>
    <w:rsid w:val="00F052FD"/>
    <w:rsid w:val="00F06A7D"/>
    <w:rsid w:val="00F07067"/>
    <w:rsid w:val="00F0724C"/>
    <w:rsid w:val="00F0758C"/>
    <w:rsid w:val="00F07604"/>
    <w:rsid w:val="00F07613"/>
    <w:rsid w:val="00F07840"/>
    <w:rsid w:val="00F07CC8"/>
    <w:rsid w:val="00F07DC9"/>
    <w:rsid w:val="00F07F5D"/>
    <w:rsid w:val="00F10D46"/>
    <w:rsid w:val="00F112C5"/>
    <w:rsid w:val="00F1177B"/>
    <w:rsid w:val="00F1240B"/>
    <w:rsid w:val="00F13634"/>
    <w:rsid w:val="00F13F8B"/>
    <w:rsid w:val="00F1451A"/>
    <w:rsid w:val="00F14E3D"/>
    <w:rsid w:val="00F15465"/>
    <w:rsid w:val="00F15914"/>
    <w:rsid w:val="00F159DC"/>
    <w:rsid w:val="00F16EA3"/>
    <w:rsid w:val="00F17D1A"/>
    <w:rsid w:val="00F17F09"/>
    <w:rsid w:val="00F20D32"/>
    <w:rsid w:val="00F20D73"/>
    <w:rsid w:val="00F211E0"/>
    <w:rsid w:val="00F2130C"/>
    <w:rsid w:val="00F21F2A"/>
    <w:rsid w:val="00F2266D"/>
    <w:rsid w:val="00F22B41"/>
    <w:rsid w:val="00F232D3"/>
    <w:rsid w:val="00F23363"/>
    <w:rsid w:val="00F246A2"/>
    <w:rsid w:val="00F24C4C"/>
    <w:rsid w:val="00F24FEF"/>
    <w:rsid w:val="00F25331"/>
    <w:rsid w:val="00F25DE3"/>
    <w:rsid w:val="00F2681D"/>
    <w:rsid w:val="00F27525"/>
    <w:rsid w:val="00F2794C"/>
    <w:rsid w:val="00F27C44"/>
    <w:rsid w:val="00F306C4"/>
    <w:rsid w:val="00F30896"/>
    <w:rsid w:val="00F3090F"/>
    <w:rsid w:val="00F313BB"/>
    <w:rsid w:val="00F31B58"/>
    <w:rsid w:val="00F321B8"/>
    <w:rsid w:val="00F333B6"/>
    <w:rsid w:val="00F33838"/>
    <w:rsid w:val="00F33E74"/>
    <w:rsid w:val="00F340F8"/>
    <w:rsid w:val="00F34F89"/>
    <w:rsid w:val="00F3505B"/>
    <w:rsid w:val="00F350EA"/>
    <w:rsid w:val="00F36739"/>
    <w:rsid w:val="00F36AB4"/>
    <w:rsid w:val="00F37E94"/>
    <w:rsid w:val="00F37FFC"/>
    <w:rsid w:val="00F4025E"/>
    <w:rsid w:val="00F402D7"/>
    <w:rsid w:val="00F405A4"/>
    <w:rsid w:val="00F40B03"/>
    <w:rsid w:val="00F40E83"/>
    <w:rsid w:val="00F41C3B"/>
    <w:rsid w:val="00F423C2"/>
    <w:rsid w:val="00F42446"/>
    <w:rsid w:val="00F42B8A"/>
    <w:rsid w:val="00F430C7"/>
    <w:rsid w:val="00F431C6"/>
    <w:rsid w:val="00F433E5"/>
    <w:rsid w:val="00F438DA"/>
    <w:rsid w:val="00F43BF5"/>
    <w:rsid w:val="00F44F8B"/>
    <w:rsid w:val="00F45DA9"/>
    <w:rsid w:val="00F46894"/>
    <w:rsid w:val="00F46940"/>
    <w:rsid w:val="00F4706C"/>
    <w:rsid w:val="00F4740C"/>
    <w:rsid w:val="00F50321"/>
    <w:rsid w:val="00F50F8C"/>
    <w:rsid w:val="00F5208B"/>
    <w:rsid w:val="00F522CB"/>
    <w:rsid w:val="00F527B6"/>
    <w:rsid w:val="00F5284D"/>
    <w:rsid w:val="00F52BFF"/>
    <w:rsid w:val="00F5575D"/>
    <w:rsid w:val="00F56342"/>
    <w:rsid w:val="00F56E2F"/>
    <w:rsid w:val="00F571CE"/>
    <w:rsid w:val="00F57703"/>
    <w:rsid w:val="00F57BD7"/>
    <w:rsid w:val="00F60437"/>
    <w:rsid w:val="00F60879"/>
    <w:rsid w:val="00F61097"/>
    <w:rsid w:val="00F61AA5"/>
    <w:rsid w:val="00F61ECE"/>
    <w:rsid w:val="00F62432"/>
    <w:rsid w:val="00F624F2"/>
    <w:rsid w:val="00F63F54"/>
    <w:rsid w:val="00F6409A"/>
    <w:rsid w:val="00F6462F"/>
    <w:rsid w:val="00F64C6B"/>
    <w:rsid w:val="00F65D5C"/>
    <w:rsid w:val="00F660A8"/>
    <w:rsid w:val="00F66FC5"/>
    <w:rsid w:val="00F671C1"/>
    <w:rsid w:val="00F67401"/>
    <w:rsid w:val="00F675B7"/>
    <w:rsid w:val="00F70B58"/>
    <w:rsid w:val="00F70B84"/>
    <w:rsid w:val="00F719D4"/>
    <w:rsid w:val="00F72096"/>
    <w:rsid w:val="00F72749"/>
    <w:rsid w:val="00F72F46"/>
    <w:rsid w:val="00F7352E"/>
    <w:rsid w:val="00F738CC"/>
    <w:rsid w:val="00F74084"/>
    <w:rsid w:val="00F747BD"/>
    <w:rsid w:val="00F750E9"/>
    <w:rsid w:val="00F75155"/>
    <w:rsid w:val="00F75421"/>
    <w:rsid w:val="00F756AC"/>
    <w:rsid w:val="00F75F31"/>
    <w:rsid w:val="00F76993"/>
    <w:rsid w:val="00F77A4A"/>
    <w:rsid w:val="00F80391"/>
    <w:rsid w:val="00F81773"/>
    <w:rsid w:val="00F81904"/>
    <w:rsid w:val="00F819AB"/>
    <w:rsid w:val="00F81FCA"/>
    <w:rsid w:val="00F8234C"/>
    <w:rsid w:val="00F8241E"/>
    <w:rsid w:val="00F8245A"/>
    <w:rsid w:val="00F82585"/>
    <w:rsid w:val="00F831DC"/>
    <w:rsid w:val="00F83CFF"/>
    <w:rsid w:val="00F83D19"/>
    <w:rsid w:val="00F84761"/>
    <w:rsid w:val="00F8564B"/>
    <w:rsid w:val="00F8647A"/>
    <w:rsid w:val="00F86DD3"/>
    <w:rsid w:val="00F86FAD"/>
    <w:rsid w:val="00F8723E"/>
    <w:rsid w:val="00F87573"/>
    <w:rsid w:val="00F87787"/>
    <w:rsid w:val="00F87C37"/>
    <w:rsid w:val="00F87F68"/>
    <w:rsid w:val="00F90664"/>
    <w:rsid w:val="00F906F8"/>
    <w:rsid w:val="00F90C01"/>
    <w:rsid w:val="00F91570"/>
    <w:rsid w:val="00F9213C"/>
    <w:rsid w:val="00F929CD"/>
    <w:rsid w:val="00F9384D"/>
    <w:rsid w:val="00F93A76"/>
    <w:rsid w:val="00F941B1"/>
    <w:rsid w:val="00F94A6B"/>
    <w:rsid w:val="00F94C89"/>
    <w:rsid w:val="00F94FCE"/>
    <w:rsid w:val="00F950CF"/>
    <w:rsid w:val="00F95835"/>
    <w:rsid w:val="00F95E95"/>
    <w:rsid w:val="00F961F9"/>
    <w:rsid w:val="00F9661F"/>
    <w:rsid w:val="00F96BD7"/>
    <w:rsid w:val="00F96DD9"/>
    <w:rsid w:val="00F978A1"/>
    <w:rsid w:val="00F97A64"/>
    <w:rsid w:val="00FA020B"/>
    <w:rsid w:val="00FA024D"/>
    <w:rsid w:val="00FA0CC3"/>
    <w:rsid w:val="00FA1829"/>
    <w:rsid w:val="00FA1C50"/>
    <w:rsid w:val="00FA1D50"/>
    <w:rsid w:val="00FA229F"/>
    <w:rsid w:val="00FA2C59"/>
    <w:rsid w:val="00FA37FC"/>
    <w:rsid w:val="00FA43DB"/>
    <w:rsid w:val="00FA44CF"/>
    <w:rsid w:val="00FA4CD4"/>
    <w:rsid w:val="00FA69A7"/>
    <w:rsid w:val="00FA7338"/>
    <w:rsid w:val="00FA78E1"/>
    <w:rsid w:val="00FA7CE0"/>
    <w:rsid w:val="00FA7DBD"/>
    <w:rsid w:val="00FB00AA"/>
    <w:rsid w:val="00FB06F0"/>
    <w:rsid w:val="00FB0D51"/>
    <w:rsid w:val="00FB11C0"/>
    <w:rsid w:val="00FB30A2"/>
    <w:rsid w:val="00FB4175"/>
    <w:rsid w:val="00FB4CC4"/>
    <w:rsid w:val="00FB5C79"/>
    <w:rsid w:val="00FB69E5"/>
    <w:rsid w:val="00FB7AFA"/>
    <w:rsid w:val="00FB7BD6"/>
    <w:rsid w:val="00FC0732"/>
    <w:rsid w:val="00FC0AAE"/>
    <w:rsid w:val="00FC1062"/>
    <w:rsid w:val="00FC1114"/>
    <w:rsid w:val="00FC1629"/>
    <w:rsid w:val="00FC1BB4"/>
    <w:rsid w:val="00FC1FD9"/>
    <w:rsid w:val="00FC275A"/>
    <w:rsid w:val="00FC3910"/>
    <w:rsid w:val="00FC45A3"/>
    <w:rsid w:val="00FC4CDF"/>
    <w:rsid w:val="00FC4DF0"/>
    <w:rsid w:val="00FC4F05"/>
    <w:rsid w:val="00FC5E4D"/>
    <w:rsid w:val="00FC6283"/>
    <w:rsid w:val="00FC66DC"/>
    <w:rsid w:val="00FC6746"/>
    <w:rsid w:val="00FC6A19"/>
    <w:rsid w:val="00FC7263"/>
    <w:rsid w:val="00FC749A"/>
    <w:rsid w:val="00FD0126"/>
    <w:rsid w:val="00FD09AC"/>
    <w:rsid w:val="00FD0B7B"/>
    <w:rsid w:val="00FD1712"/>
    <w:rsid w:val="00FD2F79"/>
    <w:rsid w:val="00FD3529"/>
    <w:rsid w:val="00FD3D65"/>
    <w:rsid w:val="00FD3F29"/>
    <w:rsid w:val="00FD5757"/>
    <w:rsid w:val="00FD5A4A"/>
    <w:rsid w:val="00FD64A4"/>
    <w:rsid w:val="00FD6FD5"/>
    <w:rsid w:val="00FD7696"/>
    <w:rsid w:val="00FD7D64"/>
    <w:rsid w:val="00FE0984"/>
    <w:rsid w:val="00FE0B03"/>
    <w:rsid w:val="00FE0C99"/>
    <w:rsid w:val="00FE1B9E"/>
    <w:rsid w:val="00FE2A6D"/>
    <w:rsid w:val="00FE3170"/>
    <w:rsid w:val="00FE3776"/>
    <w:rsid w:val="00FE3C45"/>
    <w:rsid w:val="00FE3CED"/>
    <w:rsid w:val="00FE41ED"/>
    <w:rsid w:val="00FE4332"/>
    <w:rsid w:val="00FE4D3E"/>
    <w:rsid w:val="00FE4D84"/>
    <w:rsid w:val="00FE6563"/>
    <w:rsid w:val="00FE6958"/>
    <w:rsid w:val="00FE7055"/>
    <w:rsid w:val="00FE79A8"/>
    <w:rsid w:val="00FE7F86"/>
    <w:rsid w:val="00FF05E6"/>
    <w:rsid w:val="00FF0C3C"/>
    <w:rsid w:val="00FF1311"/>
    <w:rsid w:val="00FF211F"/>
    <w:rsid w:val="00FF2D26"/>
    <w:rsid w:val="00FF2FCC"/>
    <w:rsid w:val="00FF3734"/>
    <w:rsid w:val="00FF389B"/>
    <w:rsid w:val="00FF4658"/>
    <w:rsid w:val="00FF473A"/>
    <w:rsid w:val="00FF4AB1"/>
    <w:rsid w:val="00FF4EC2"/>
    <w:rsid w:val="00FF51BF"/>
    <w:rsid w:val="00FF57B6"/>
    <w:rsid w:val="00FF6795"/>
    <w:rsid w:val="00FF6812"/>
    <w:rsid w:val="00FF7C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7D270"/>
  <w15:chartTrackingRefBased/>
  <w15:docId w15:val="{D466C112-65DB-444D-B406-D8CE8790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0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9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14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0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602F"/>
    <w:pPr>
      <w:outlineLvl w:val="9"/>
    </w:pPr>
    <w:rPr>
      <w:kern w:val="0"/>
      <w14:ligatures w14:val="none"/>
    </w:rPr>
  </w:style>
  <w:style w:type="paragraph" w:styleId="ListParagraph">
    <w:name w:val="List Paragraph"/>
    <w:basedOn w:val="Normal"/>
    <w:uiPriority w:val="1"/>
    <w:qFormat/>
    <w:rsid w:val="00D5602F"/>
    <w:pPr>
      <w:ind w:left="720"/>
      <w:contextualSpacing/>
    </w:pPr>
  </w:style>
  <w:style w:type="paragraph" w:styleId="TOC1">
    <w:name w:val="toc 1"/>
    <w:basedOn w:val="Normal"/>
    <w:next w:val="Normal"/>
    <w:autoRedefine/>
    <w:uiPriority w:val="39"/>
    <w:unhideWhenUsed/>
    <w:rsid w:val="00FA020B"/>
    <w:pPr>
      <w:spacing w:after="100"/>
    </w:pPr>
  </w:style>
  <w:style w:type="character" w:styleId="Hyperlink">
    <w:name w:val="Hyperlink"/>
    <w:basedOn w:val="DefaultParagraphFont"/>
    <w:uiPriority w:val="99"/>
    <w:unhideWhenUsed/>
    <w:rsid w:val="00FA020B"/>
    <w:rPr>
      <w:color w:val="0563C1" w:themeColor="hyperlink"/>
      <w:u w:val="single"/>
    </w:rPr>
  </w:style>
  <w:style w:type="paragraph" w:styleId="Title">
    <w:name w:val="Title"/>
    <w:basedOn w:val="Normal"/>
    <w:next w:val="Normal"/>
    <w:link w:val="TitleChar"/>
    <w:uiPriority w:val="10"/>
    <w:qFormat/>
    <w:rsid w:val="00CA52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9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198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4198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17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FDD"/>
  </w:style>
  <w:style w:type="paragraph" w:styleId="Footer">
    <w:name w:val="footer"/>
    <w:basedOn w:val="Normal"/>
    <w:link w:val="FooterChar"/>
    <w:uiPriority w:val="99"/>
    <w:unhideWhenUsed/>
    <w:rsid w:val="00E17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FDD"/>
  </w:style>
  <w:style w:type="character" w:customStyle="1" w:styleId="Heading3Char">
    <w:name w:val="Heading 3 Char"/>
    <w:basedOn w:val="DefaultParagraphFont"/>
    <w:link w:val="Heading3"/>
    <w:uiPriority w:val="9"/>
    <w:rsid w:val="00887DC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4A3ED6"/>
    <w:pPr>
      <w:spacing w:after="100"/>
      <w:ind w:left="220"/>
    </w:pPr>
  </w:style>
  <w:style w:type="paragraph" w:styleId="TOC3">
    <w:name w:val="toc 3"/>
    <w:basedOn w:val="Normal"/>
    <w:next w:val="Normal"/>
    <w:autoRedefine/>
    <w:uiPriority w:val="39"/>
    <w:unhideWhenUsed/>
    <w:rsid w:val="004A3ED6"/>
    <w:pPr>
      <w:spacing w:after="100"/>
      <w:ind w:left="440"/>
    </w:pPr>
  </w:style>
  <w:style w:type="paragraph" w:styleId="NoSpacing">
    <w:name w:val="No Spacing"/>
    <w:uiPriority w:val="1"/>
    <w:qFormat/>
    <w:rsid w:val="00480688"/>
    <w:pPr>
      <w:spacing w:after="0" w:line="240" w:lineRule="auto"/>
    </w:pPr>
  </w:style>
  <w:style w:type="paragraph" w:styleId="BodyText">
    <w:name w:val="Body Text"/>
    <w:basedOn w:val="Normal"/>
    <w:link w:val="BodyTextChar"/>
    <w:uiPriority w:val="1"/>
    <w:qFormat/>
    <w:rsid w:val="005B5384"/>
    <w:pPr>
      <w:autoSpaceDE w:val="0"/>
      <w:autoSpaceDN w:val="0"/>
      <w:adjustRightInd w:val="0"/>
      <w:spacing w:before="2" w:after="0" w:line="240" w:lineRule="auto"/>
      <w:ind w:left="731" w:hanging="311"/>
    </w:pPr>
    <w:rPr>
      <w:rFonts w:ascii="Times New Roman" w:hAnsi="Times New Roman" w:cs="Times New Roman"/>
      <w:kern w:val="0"/>
      <w:sz w:val="17"/>
      <w:szCs w:val="17"/>
    </w:rPr>
  </w:style>
  <w:style w:type="character" w:customStyle="1" w:styleId="BodyTextChar">
    <w:name w:val="Body Text Char"/>
    <w:basedOn w:val="DefaultParagraphFont"/>
    <w:link w:val="BodyText"/>
    <w:uiPriority w:val="1"/>
    <w:rsid w:val="005B5384"/>
    <w:rPr>
      <w:rFonts w:ascii="Times New Roman" w:hAnsi="Times New Roman" w:cs="Times New Roman"/>
      <w:kern w:val="0"/>
      <w:sz w:val="17"/>
      <w:szCs w:val="17"/>
    </w:rPr>
  </w:style>
  <w:style w:type="paragraph" w:styleId="TOC4">
    <w:name w:val="toc 4"/>
    <w:basedOn w:val="Normal"/>
    <w:next w:val="Normal"/>
    <w:autoRedefine/>
    <w:uiPriority w:val="39"/>
    <w:unhideWhenUsed/>
    <w:rsid w:val="009B3AE1"/>
    <w:pPr>
      <w:spacing w:after="100"/>
      <w:ind w:left="660"/>
    </w:pPr>
    <w:rPr>
      <w:rFonts w:eastAsiaTheme="minorEastAsia"/>
      <w:lang w:eastAsia="ja-JP"/>
    </w:rPr>
  </w:style>
  <w:style w:type="paragraph" w:styleId="TOC5">
    <w:name w:val="toc 5"/>
    <w:basedOn w:val="Normal"/>
    <w:next w:val="Normal"/>
    <w:autoRedefine/>
    <w:uiPriority w:val="39"/>
    <w:unhideWhenUsed/>
    <w:rsid w:val="009B3AE1"/>
    <w:pPr>
      <w:spacing w:after="100"/>
      <w:ind w:left="880"/>
    </w:pPr>
    <w:rPr>
      <w:rFonts w:eastAsiaTheme="minorEastAsia"/>
      <w:lang w:eastAsia="ja-JP"/>
    </w:rPr>
  </w:style>
  <w:style w:type="paragraph" w:styleId="TOC6">
    <w:name w:val="toc 6"/>
    <w:basedOn w:val="Normal"/>
    <w:next w:val="Normal"/>
    <w:autoRedefine/>
    <w:uiPriority w:val="39"/>
    <w:unhideWhenUsed/>
    <w:rsid w:val="009B3AE1"/>
    <w:pPr>
      <w:spacing w:after="100"/>
      <w:ind w:left="1100"/>
    </w:pPr>
    <w:rPr>
      <w:rFonts w:eastAsiaTheme="minorEastAsia"/>
      <w:lang w:eastAsia="ja-JP"/>
    </w:rPr>
  </w:style>
  <w:style w:type="paragraph" w:styleId="TOC7">
    <w:name w:val="toc 7"/>
    <w:basedOn w:val="Normal"/>
    <w:next w:val="Normal"/>
    <w:autoRedefine/>
    <w:uiPriority w:val="39"/>
    <w:unhideWhenUsed/>
    <w:rsid w:val="009B3AE1"/>
    <w:pPr>
      <w:spacing w:after="100"/>
      <w:ind w:left="1320"/>
    </w:pPr>
    <w:rPr>
      <w:rFonts w:eastAsiaTheme="minorEastAsia"/>
      <w:lang w:eastAsia="ja-JP"/>
    </w:rPr>
  </w:style>
  <w:style w:type="paragraph" w:styleId="TOC8">
    <w:name w:val="toc 8"/>
    <w:basedOn w:val="Normal"/>
    <w:next w:val="Normal"/>
    <w:autoRedefine/>
    <w:uiPriority w:val="39"/>
    <w:unhideWhenUsed/>
    <w:rsid w:val="009B3AE1"/>
    <w:pPr>
      <w:spacing w:after="100"/>
      <w:ind w:left="1540"/>
    </w:pPr>
    <w:rPr>
      <w:rFonts w:eastAsiaTheme="minorEastAsia"/>
      <w:lang w:eastAsia="ja-JP"/>
    </w:rPr>
  </w:style>
  <w:style w:type="paragraph" w:styleId="TOC9">
    <w:name w:val="toc 9"/>
    <w:basedOn w:val="Normal"/>
    <w:next w:val="Normal"/>
    <w:autoRedefine/>
    <w:uiPriority w:val="39"/>
    <w:unhideWhenUsed/>
    <w:rsid w:val="009B3AE1"/>
    <w:pPr>
      <w:spacing w:after="100"/>
      <w:ind w:left="1760"/>
    </w:pPr>
    <w:rPr>
      <w:rFonts w:eastAsiaTheme="minorEastAsia"/>
      <w:lang w:eastAsia="ja-JP"/>
    </w:rPr>
  </w:style>
  <w:style w:type="character" w:styleId="UnresolvedMention">
    <w:name w:val="Unresolved Mention"/>
    <w:basedOn w:val="DefaultParagraphFont"/>
    <w:uiPriority w:val="99"/>
    <w:semiHidden/>
    <w:unhideWhenUsed/>
    <w:rsid w:val="009B3AE1"/>
    <w:rPr>
      <w:color w:val="605E5C"/>
      <w:shd w:val="clear" w:color="auto" w:fill="E1DFDD"/>
    </w:rPr>
  </w:style>
  <w:style w:type="character" w:customStyle="1" w:styleId="Heading4Char">
    <w:name w:val="Heading 4 Char"/>
    <w:basedOn w:val="DefaultParagraphFont"/>
    <w:link w:val="Heading4"/>
    <w:uiPriority w:val="9"/>
    <w:rsid w:val="004D147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A0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30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7813">
      <w:bodyDiv w:val="1"/>
      <w:marLeft w:val="0"/>
      <w:marRight w:val="0"/>
      <w:marTop w:val="0"/>
      <w:marBottom w:val="0"/>
      <w:divBdr>
        <w:top w:val="none" w:sz="0" w:space="0" w:color="auto"/>
        <w:left w:val="none" w:sz="0" w:space="0" w:color="auto"/>
        <w:bottom w:val="none" w:sz="0" w:space="0" w:color="auto"/>
        <w:right w:val="none" w:sz="0" w:space="0" w:color="auto"/>
      </w:divBdr>
    </w:div>
    <w:div w:id="179707024">
      <w:bodyDiv w:val="1"/>
      <w:marLeft w:val="0"/>
      <w:marRight w:val="0"/>
      <w:marTop w:val="0"/>
      <w:marBottom w:val="0"/>
      <w:divBdr>
        <w:top w:val="none" w:sz="0" w:space="0" w:color="auto"/>
        <w:left w:val="none" w:sz="0" w:space="0" w:color="auto"/>
        <w:bottom w:val="none" w:sz="0" w:space="0" w:color="auto"/>
        <w:right w:val="none" w:sz="0" w:space="0" w:color="auto"/>
      </w:divBdr>
    </w:div>
    <w:div w:id="224031100">
      <w:bodyDiv w:val="1"/>
      <w:marLeft w:val="0"/>
      <w:marRight w:val="0"/>
      <w:marTop w:val="0"/>
      <w:marBottom w:val="0"/>
      <w:divBdr>
        <w:top w:val="none" w:sz="0" w:space="0" w:color="auto"/>
        <w:left w:val="none" w:sz="0" w:space="0" w:color="auto"/>
        <w:bottom w:val="none" w:sz="0" w:space="0" w:color="auto"/>
        <w:right w:val="none" w:sz="0" w:space="0" w:color="auto"/>
      </w:divBdr>
      <w:divsChild>
        <w:div w:id="1975014761">
          <w:marLeft w:val="0"/>
          <w:marRight w:val="0"/>
          <w:marTop w:val="60"/>
          <w:marBottom w:val="60"/>
          <w:divBdr>
            <w:top w:val="none" w:sz="0" w:space="0" w:color="auto"/>
            <w:left w:val="none" w:sz="0" w:space="0" w:color="auto"/>
            <w:bottom w:val="none" w:sz="0" w:space="0" w:color="auto"/>
            <w:right w:val="none" w:sz="0" w:space="0" w:color="auto"/>
          </w:divBdr>
        </w:div>
      </w:divsChild>
    </w:div>
    <w:div w:id="288702155">
      <w:bodyDiv w:val="1"/>
      <w:marLeft w:val="0"/>
      <w:marRight w:val="0"/>
      <w:marTop w:val="0"/>
      <w:marBottom w:val="0"/>
      <w:divBdr>
        <w:top w:val="none" w:sz="0" w:space="0" w:color="auto"/>
        <w:left w:val="none" w:sz="0" w:space="0" w:color="auto"/>
        <w:bottom w:val="none" w:sz="0" w:space="0" w:color="auto"/>
        <w:right w:val="none" w:sz="0" w:space="0" w:color="auto"/>
      </w:divBdr>
    </w:div>
    <w:div w:id="344135546">
      <w:bodyDiv w:val="1"/>
      <w:marLeft w:val="0"/>
      <w:marRight w:val="0"/>
      <w:marTop w:val="0"/>
      <w:marBottom w:val="0"/>
      <w:divBdr>
        <w:top w:val="none" w:sz="0" w:space="0" w:color="auto"/>
        <w:left w:val="none" w:sz="0" w:space="0" w:color="auto"/>
        <w:bottom w:val="none" w:sz="0" w:space="0" w:color="auto"/>
        <w:right w:val="none" w:sz="0" w:space="0" w:color="auto"/>
      </w:divBdr>
    </w:div>
    <w:div w:id="427584528">
      <w:bodyDiv w:val="1"/>
      <w:marLeft w:val="0"/>
      <w:marRight w:val="0"/>
      <w:marTop w:val="0"/>
      <w:marBottom w:val="0"/>
      <w:divBdr>
        <w:top w:val="none" w:sz="0" w:space="0" w:color="auto"/>
        <w:left w:val="none" w:sz="0" w:space="0" w:color="auto"/>
        <w:bottom w:val="none" w:sz="0" w:space="0" w:color="auto"/>
        <w:right w:val="none" w:sz="0" w:space="0" w:color="auto"/>
      </w:divBdr>
    </w:div>
    <w:div w:id="787627857">
      <w:bodyDiv w:val="1"/>
      <w:marLeft w:val="0"/>
      <w:marRight w:val="0"/>
      <w:marTop w:val="0"/>
      <w:marBottom w:val="0"/>
      <w:divBdr>
        <w:top w:val="none" w:sz="0" w:space="0" w:color="auto"/>
        <w:left w:val="none" w:sz="0" w:space="0" w:color="auto"/>
        <w:bottom w:val="none" w:sz="0" w:space="0" w:color="auto"/>
        <w:right w:val="none" w:sz="0" w:space="0" w:color="auto"/>
      </w:divBdr>
    </w:div>
    <w:div w:id="816385568">
      <w:bodyDiv w:val="1"/>
      <w:marLeft w:val="0"/>
      <w:marRight w:val="0"/>
      <w:marTop w:val="0"/>
      <w:marBottom w:val="0"/>
      <w:divBdr>
        <w:top w:val="none" w:sz="0" w:space="0" w:color="auto"/>
        <w:left w:val="none" w:sz="0" w:space="0" w:color="auto"/>
        <w:bottom w:val="none" w:sz="0" w:space="0" w:color="auto"/>
        <w:right w:val="none" w:sz="0" w:space="0" w:color="auto"/>
      </w:divBdr>
    </w:div>
    <w:div w:id="823162024">
      <w:bodyDiv w:val="1"/>
      <w:marLeft w:val="0"/>
      <w:marRight w:val="0"/>
      <w:marTop w:val="0"/>
      <w:marBottom w:val="0"/>
      <w:divBdr>
        <w:top w:val="none" w:sz="0" w:space="0" w:color="auto"/>
        <w:left w:val="none" w:sz="0" w:space="0" w:color="auto"/>
        <w:bottom w:val="none" w:sz="0" w:space="0" w:color="auto"/>
        <w:right w:val="none" w:sz="0" w:space="0" w:color="auto"/>
      </w:divBdr>
    </w:div>
    <w:div w:id="900137417">
      <w:bodyDiv w:val="1"/>
      <w:marLeft w:val="0"/>
      <w:marRight w:val="0"/>
      <w:marTop w:val="0"/>
      <w:marBottom w:val="0"/>
      <w:divBdr>
        <w:top w:val="none" w:sz="0" w:space="0" w:color="auto"/>
        <w:left w:val="none" w:sz="0" w:space="0" w:color="auto"/>
        <w:bottom w:val="none" w:sz="0" w:space="0" w:color="auto"/>
        <w:right w:val="none" w:sz="0" w:space="0" w:color="auto"/>
      </w:divBdr>
    </w:div>
    <w:div w:id="991711915">
      <w:bodyDiv w:val="1"/>
      <w:marLeft w:val="0"/>
      <w:marRight w:val="0"/>
      <w:marTop w:val="0"/>
      <w:marBottom w:val="0"/>
      <w:divBdr>
        <w:top w:val="none" w:sz="0" w:space="0" w:color="auto"/>
        <w:left w:val="none" w:sz="0" w:space="0" w:color="auto"/>
        <w:bottom w:val="none" w:sz="0" w:space="0" w:color="auto"/>
        <w:right w:val="none" w:sz="0" w:space="0" w:color="auto"/>
      </w:divBdr>
    </w:div>
    <w:div w:id="1544554804">
      <w:bodyDiv w:val="1"/>
      <w:marLeft w:val="0"/>
      <w:marRight w:val="0"/>
      <w:marTop w:val="0"/>
      <w:marBottom w:val="0"/>
      <w:divBdr>
        <w:top w:val="none" w:sz="0" w:space="0" w:color="auto"/>
        <w:left w:val="none" w:sz="0" w:space="0" w:color="auto"/>
        <w:bottom w:val="none" w:sz="0" w:space="0" w:color="auto"/>
        <w:right w:val="none" w:sz="0" w:space="0" w:color="auto"/>
      </w:divBdr>
    </w:div>
    <w:div w:id="1610965008">
      <w:bodyDiv w:val="1"/>
      <w:marLeft w:val="0"/>
      <w:marRight w:val="0"/>
      <w:marTop w:val="0"/>
      <w:marBottom w:val="0"/>
      <w:divBdr>
        <w:top w:val="none" w:sz="0" w:space="0" w:color="auto"/>
        <w:left w:val="none" w:sz="0" w:space="0" w:color="auto"/>
        <w:bottom w:val="none" w:sz="0" w:space="0" w:color="auto"/>
        <w:right w:val="none" w:sz="0" w:space="0" w:color="auto"/>
      </w:divBdr>
    </w:div>
    <w:div w:id="1739790081">
      <w:bodyDiv w:val="1"/>
      <w:marLeft w:val="0"/>
      <w:marRight w:val="0"/>
      <w:marTop w:val="0"/>
      <w:marBottom w:val="0"/>
      <w:divBdr>
        <w:top w:val="none" w:sz="0" w:space="0" w:color="auto"/>
        <w:left w:val="none" w:sz="0" w:space="0" w:color="auto"/>
        <w:bottom w:val="none" w:sz="0" w:space="0" w:color="auto"/>
        <w:right w:val="none" w:sz="0" w:space="0" w:color="auto"/>
      </w:divBdr>
    </w:div>
    <w:div w:id="1911963677">
      <w:bodyDiv w:val="1"/>
      <w:marLeft w:val="0"/>
      <w:marRight w:val="0"/>
      <w:marTop w:val="0"/>
      <w:marBottom w:val="0"/>
      <w:divBdr>
        <w:top w:val="none" w:sz="0" w:space="0" w:color="auto"/>
        <w:left w:val="none" w:sz="0" w:space="0" w:color="auto"/>
        <w:bottom w:val="none" w:sz="0" w:space="0" w:color="auto"/>
        <w:right w:val="none" w:sz="0" w:space="0" w:color="auto"/>
      </w:divBdr>
    </w:div>
    <w:div w:id="203538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2FCA9-27EA-4680-BA25-777B0BC0E235}">
  <ds:schemaRefs>
    <ds:schemaRef ds:uri="http://schemas.openxmlformats.org/officeDocument/2006/bibliography"/>
  </ds:schemaRefs>
</ds:datastoreItem>
</file>

<file path=docMetadata/LabelInfo.xml><?xml version="1.0" encoding="utf-8"?>
<clbl:labelList xmlns:clbl="http://schemas.microsoft.com/office/2020/mipLabelMetadata">
  <clbl:label id="{b59632a2-1017-4b82-a8bb-34024b246ca6}" enabled="0" method="" siteId="{b59632a2-1017-4b82-a8bb-34024b246ca6}" removed="1"/>
</clbl:labelList>
</file>

<file path=docProps/app.xml><?xml version="1.0" encoding="utf-8"?>
<Properties xmlns="http://schemas.openxmlformats.org/officeDocument/2006/extended-properties" xmlns:vt="http://schemas.openxmlformats.org/officeDocument/2006/docPropsVTypes">
  <Template>Normal</Template>
  <TotalTime>6466</TotalTime>
  <Pages>26</Pages>
  <Words>5460</Words>
  <Characters>30091</Characters>
  <Application>Microsoft Office Word</Application>
  <DocSecurity>0</DocSecurity>
  <Lines>614</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Seiji Hirano</dc:creator>
  <cp:keywords/>
  <dc:description/>
  <cp:lastModifiedBy>Seiji Hirano</cp:lastModifiedBy>
  <cp:revision>1135</cp:revision>
  <dcterms:created xsi:type="dcterms:W3CDTF">2025-01-08T19:56:00Z</dcterms:created>
  <dcterms:modified xsi:type="dcterms:W3CDTF">2025-03-19T03:19:00Z</dcterms:modified>
</cp:coreProperties>
</file>