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9627F"/>
          <w:sz w:val="20"/>
        </w:rPr>
        <w:t>ЕППБ · ШАБЛОН</w:t>
      </w:r>
    </w:p>
    <w:p>
      <w:pPr>
        <w:spacing w:after="100"/>
      </w:pPr>
      <w:r>
        <w:rPr>
          <w:b/>
          <w:color w:val="172A22"/>
          <w:sz w:val="48"/>
        </w:rPr>
        <w:t>Резюме проекта для инвестиционного комитета</w:t>
      </w:r>
    </w:p>
    <w:p>
      <w:pPr>
        <w:spacing w:after="320"/>
      </w:pPr>
      <w:r>
        <w:rPr>
          <w:color w:val="66757F"/>
        </w:rPr>
        <w:t>Краткая форма для первичного рассмотрения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shd w:fill="19627F"/>
            <w:vAlign w:val="center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832"/>
            <w:shd w:fill="19627F"/>
            <w:vAlign w:val="center"/>
          </w:tcPr>
          <w:p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3240"/>
            <w:vAlign w:val="center"/>
          </w:tcPr>
          <w:p>
            <w:r>
              <w:t>Компания / БИН</w:t>
            </w:r>
          </w:p>
        </w:tc>
        <w:tc>
          <w:tcPr>
            <w:tcW w:type="dxa" w:w="5832"/>
            <w:vAlign w:val="center"/>
          </w:tcPr>
          <w:p>
            <w:r/>
          </w:p>
        </w:tc>
      </w:tr>
      <w:tr>
        <w:tc>
          <w:tcPr>
            <w:tcW w:type="dxa" w:w="3240"/>
            <w:vAlign w:val="center"/>
          </w:tcPr>
          <w:p>
            <w:r>
              <w:t>Проект и регион</w:t>
            </w:r>
          </w:p>
        </w:tc>
        <w:tc>
          <w:tcPr>
            <w:tcW w:type="dxa" w:w="5832"/>
            <w:vAlign w:val="center"/>
          </w:tcPr>
          <w:p>
            <w:r/>
          </w:p>
        </w:tc>
      </w:tr>
      <w:tr>
        <w:tc>
          <w:tcPr>
            <w:tcW w:type="dxa" w:w="3240"/>
            <w:vAlign w:val="center"/>
          </w:tcPr>
          <w:p>
            <w:r>
              <w:t>Инициатор / команда</w:t>
            </w:r>
          </w:p>
        </w:tc>
        <w:tc>
          <w:tcPr>
            <w:tcW w:type="dxa" w:w="5832"/>
            <w:vAlign w:val="center"/>
          </w:tcPr>
          <w:p>
            <w:r/>
          </w:p>
        </w:tc>
      </w:tr>
      <w:tr>
        <w:tc>
          <w:tcPr>
            <w:tcW w:type="dxa" w:w="3240"/>
            <w:vAlign w:val="center"/>
          </w:tcPr>
          <w:p>
            <w:r>
              <w:t>Стоимость проекта, ₸</w:t>
            </w:r>
          </w:p>
        </w:tc>
        <w:tc>
          <w:tcPr>
            <w:tcW w:type="dxa" w:w="5832"/>
            <w:vAlign w:val="center"/>
          </w:tcPr>
          <w:p>
            <w:r/>
          </w:p>
        </w:tc>
      </w:tr>
      <w:tr>
        <w:tc>
          <w:tcPr>
            <w:tcW w:type="dxa" w:w="3240"/>
            <w:vAlign w:val="center"/>
          </w:tcPr>
          <w:p>
            <w:r>
              <w:t>Запрашиваемое финансирование, ₸</w:t>
            </w:r>
          </w:p>
        </w:tc>
        <w:tc>
          <w:tcPr>
            <w:tcW w:type="dxa" w:w="5832"/>
            <w:vAlign w:val="center"/>
          </w:tcPr>
          <w:p>
            <w:r/>
          </w:p>
        </w:tc>
      </w:tr>
      <w:tr>
        <w:tc>
          <w:tcPr>
            <w:tcW w:type="dxa" w:w="3240"/>
            <w:vAlign w:val="center"/>
          </w:tcPr>
          <w:p>
            <w:r>
              <w:t>Собственное участие, %</w:t>
            </w:r>
          </w:p>
        </w:tc>
        <w:tc>
          <w:tcPr>
            <w:tcW w:type="dxa" w:w="5832"/>
            <w:vAlign w:val="center"/>
          </w:tcPr>
          <w:p>
            <w:r/>
          </w:p>
        </w:tc>
      </w:tr>
      <w:tr>
        <w:tc>
          <w:tcPr>
            <w:tcW w:type="dxa" w:w="3240"/>
            <w:vAlign w:val="center"/>
          </w:tcPr>
          <w:p>
            <w:r>
              <w:t>Срок / ставка</w:t>
            </w:r>
          </w:p>
        </w:tc>
        <w:tc>
          <w:tcPr>
            <w:tcW w:type="dxa" w:w="5832"/>
            <w:vAlign w:val="center"/>
          </w:tcPr>
          <w:p>
            <w:r/>
          </w:p>
        </w:tc>
      </w:tr>
      <w:tr>
        <w:tc>
          <w:tcPr>
            <w:tcW w:type="dxa" w:w="3240"/>
            <w:vAlign w:val="center"/>
          </w:tcPr>
          <w:p>
            <w:r>
              <w:t>Обеспечение</w:t>
            </w:r>
          </w:p>
        </w:tc>
        <w:tc>
          <w:tcPr>
            <w:tcW w:type="dxa" w:w="5832"/>
            <w:vAlign w:val="center"/>
          </w:tcPr>
          <w:p>
            <w:r/>
          </w:p>
        </w:tc>
      </w:tr>
    </w:tbl>
    <w:p>
      <w:pPr>
        <w:pStyle w:val="Heading1"/>
      </w:pPr>
      <w:r>
        <w:t>Инвестиционная логика</w:t>
      </w:r>
    </w:p>
    <w:p>
      <w:pPr>
        <w:spacing w:before="120" w:after="40"/>
      </w:pPr>
      <w:r>
        <w:rPr>
          <w:b/>
          <w:color w:val="19627F"/>
        </w:rPr>
        <w:t>Краткое заключение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pStyle w:val="Heading1"/>
      </w:pPr>
      <w:r>
        <w:t>Рынок и подтверждённый спрос</w:t>
      </w:r>
    </w:p>
    <w:p>
      <w:pPr>
        <w:spacing w:before="120" w:after="40"/>
      </w:pPr>
      <w:r>
        <w:rPr>
          <w:b/>
          <w:color w:val="19627F"/>
        </w:rPr>
        <w:t>Краткое заключение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pStyle w:val="Heading1"/>
      </w:pPr>
      <w:r>
        <w:t>Ключевые финансовые показатели</w:t>
      </w:r>
    </w:p>
    <w:p>
      <w:pPr>
        <w:spacing w:before="120" w:after="40"/>
      </w:pPr>
      <w:r>
        <w:rPr>
          <w:b/>
          <w:color w:val="19627F"/>
        </w:rPr>
        <w:t>Краткое заключение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pStyle w:val="Heading1"/>
      </w:pPr>
      <w:r>
        <w:t>Основные риски и митигация</w:t>
      </w:r>
    </w:p>
    <w:p>
      <w:pPr>
        <w:spacing w:before="120" w:after="40"/>
      </w:pPr>
      <w:r>
        <w:rPr>
          <w:b/>
          <w:color w:val="19627F"/>
        </w:rPr>
        <w:t>Краткое заключение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pStyle w:val="Heading1"/>
      </w:pPr>
      <w:r>
        <w:t>Предлагаемое решение комитета</w:t>
      </w:r>
    </w:p>
    <w:p>
      <w:pPr>
        <w:spacing w:before="120" w:after="40"/>
      </w:pPr>
      <w:r>
        <w:rPr>
          <w:b/>
          <w:color w:val="19627F"/>
        </w:rPr>
        <w:t>Краткое заключение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A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962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962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962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