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709" w:left="0"/>
        <w:rPr/>
      </w:pPr>
      <w:r>
        <w:rPr>
          <w:b/>
          <w:bCs/>
          <w:highlight w:val="none"/>
          <w:lang w:val="ru-RU"/>
        </w:rPr>
        <w:t xml:space="preserve">Официальная часть отчета по результатам этапа испытаний «Домашнее задание». </w:t>
      </w:r>
      <w:r>
        <w:rPr>
          <w:b/>
          <w:bCs/>
          <w:i/>
          <w:iCs/>
          <w:highlight w:val="none"/>
          <w:lang w:val="ru-RU"/>
        </w:rPr>
        <w:t xml:space="preserve">Материалы могут быть выборочно использованы организаторами для формирования пресс-релиза по результатам испытаний.</w:t>
      </w:r>
      <w:r>
        <w:rPr>
          <w:highlight w:val="none"/>
          <w:lang w:val="ru-RU"/>
        </w:rPr>
      </w:r>
      <w:r/>
    </w:p>
    <w:p>
      <w:pPr>
        <w:pStyle w:val="896"/>
        <w:numPr>
          <w:ilvl w:val="0"/>
          <w:numId w:val="1"/>
        </w:numPr>
        <w:pBdr/>
        <w:spacing/>
        <w:ind w:right="0" w:firstLine="0" w:left="567"/>
        <w:rPr>
          <w:highlight w:val="none"/>
          <w:lang w:val="ru-RU"/>
        </w:rPr>
      </w:pPr>
      <w:r>
        <w:rPr>
          <w:highlight w:val="none"/>
          <w:lang w:val="ru-RU"/>
        </w:rPr>
        <w:t xml:space="preserve">Общие сведения о среде испытаний: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96"/>
        <w:numPr>
          <w:ilvl w:val="1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аппаратный комплект, на котором запускались тесты домашнего задания </w:t>
      </w:r>
      <w:r>
        <w:rPr>
          <w:highlight w:val="none"/>
          <w:lang w:val="ru-RU"/>
        </w:rPr>
        <w:t xml:space="preserve">(</w:t>
      </w:r>
      <w:r>
        <w:rPr>
          <w:i/>
          <w:iCs/>
          <w:highlight w:val="none"/>
          <w:lang w:val="ru-RU"/>
        </w:rPr>
        <w:t xml:space="preserve">рекомендуется использовать аппаратную платформу, по своим характеристикам сходную с той, которая будет применяться на основном этапе испытаний. характеристики описаны в коммьюнике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96"/>
        <w:numPr>
          <w:ilvl w:val="1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идентификатор инструмента СА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96"/>
        <w:numPr>
          <w:ilvl w:val="1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идентификатор конфигурации СА (</w:t>
      </w:r>
      <w:r>
        <w:rPr>
          <w:i/>
          <w:iCs/>
          <w:highlight w:val="none"/>
          <w:lang w:val="ru-RU"/>
        </w:rPr>
        <w:t xml:space="preserve">в объеме и по выбору представителя СА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96"/>
        <w:numPr>
          <w:ilvl w:val="2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отличия конфигурации СА от конфигурации «по умолчанию» (если есть)</w:t>
      </w:r>
      <w:r/>
    </w:p>
    <w:p>
      <w:pPr>
        <w:pBdr/>
        <w:spacing/>
        <w:ind w:firstLine="0" w:left="709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Style w:val="896"/>
        <w:numPr>
          <w:ilvl w:val="0"/>
          <w:numId w:val="1"/>
        </w:numPr>
        <w:pBdr/>
        <w:spacing/>
        <w:ind w:right="0" w:firstLine="0" w:left="567"/>
        <w:rPr/>
      </w:pPr>
      <w:r>
        <w:rPr>
          <w:lang w:val="ru-RU"/>
        </w:rPr>
        <w:t xml:space="preserve">Таблица результатов в отношении тестов, проверяющих </w:t>
      </w:r>
      <w:r>
        <w:rPr>
          <w:lang w:val="ru-RU"/>
        </w:rPr>
        <w:t xml:space="preserve">выполнение анализатором положений </w:t>
      </w:r>
      <w:r>
        <w:rPr>
          <w:lang w:val="ru-RU"/>
        </w:rPr>
        <w:t xml:space="preserve">ГОСТ 71207-2024</w:t>
      </w:r>
      <w:r>
        <w:rPr>
          <w:lang w:val="ru-RU"/>
        </w:rPr>
        <w:t xml:space="preserve">, </w:t>
      </w:r>
      <w:r>
        <w:rPr>
          <w:lang w:val="ru-RU"/>
        </w:rPr>
        <w:t xml:space="preserve">по каждому ЯП в котором анализатор принял участие</w:t>
      </w:r>
      <w:r>
        <w:rPr>
          <w:lang w:val="ru-RU"/>
        </w:rPr>
        <w:t xml:space="preserve">:</w:t>
      </w:r>
      <w:r/>
    </w:p>
    <w:tbl>
      <w:tblPr>
        <w:tblStyle w:val="70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25"/>
        <w:gridCol w:w="993"/>
        <w:gridCol w:w="1605"/>
        <w:gridCol w:w="1384"/>
        <w:gridCol w:w="1525"/>
        <w:gridCol w:w="1667"/>
        <w:gridCol w:w="1667"/>
        <w:gridCol w:w="3402"/>
        <w:gridCol w:w="1559"/>
      </w:tblGrid>
      <w:tr>
        <w:trPr/>
        <w:tc>
          <w:tcPr>
            <w:tcBorders/>
            <w:tcW w:w="525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ЯП</w:t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Тип ошибки</w:t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Тестов в комплекте «с ошибками»</w:t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Число тестов, в которых СА обнаружил заложенный тип ошибки 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*</w:t>
            </w:r>
            <w:r>
              <w:rPr>
                <w:i/>
                <w:iCs/>
                <w:sz w:val="20"/>
                <w:szCs w:val="20"/>
                <w:highlight w:val="none"/>
              </w:rPr>
              <w:t xml:space="preserve">True Positive</w:t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25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Число тестов, в которых СА не обнаружил заложенный тип ошибки</w:t>
            </w:r>
            <w:r>
              <w:rPr>
                <w:i w:val="0"/>
                <w:sz w:val="20"/>
                <w:szCs w:val="20"/>
                <w:highlight w:val="none"/>
              </w:rPr>
            </w:r>
            <w:r>
              <w:rPr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*Ложноотрицательное срабатывание / ошибка второго рода / False Negative</w:t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6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Тестов в комплекте «без ошибок»</w:t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* тесты с «обманками», специально сформированные так, чтобы спровоцировать ложное срабатывание СА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67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Число тестов, в которых СА не обнаружил заложеннной «обманки»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*</w:t>
            </w:r>
            <w:r>
              <w:rPr>
                <w:i/>
                <w:iCs/>
                <w:sz w:val="20"/>
                <w:szCs w:val="20"/>
                <w:highlight w:val="none"/>
              </w:rPr>
              <w:t xml:space="preserve">True Negative</w:t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Число тестов, в которых СА ошибочно принял заложеннную «обманку» за ошибку в коде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  <w:t xml:space="preserve">* ложноположительное срабатывание / ошибка первого рода / False Positive </w:t>
            </w:r>
            <w:r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i/>
                <w:iCs/>
                <w:color w:val="000000" w:themeColor="text1"/>
                <w:sz w:val="20"/>
                <w:szCs w:val="20"/>
                <w:highlight w:val="none"/>
              </w:rPr>
              <w:t xml:space="preserve">** в данном случае в качестве ошибки первого рода учитываются только ошибочные срабатывания тех детекторов, которые закладывались авторами теста именно для выявления ошибочной реакции СА</w:t>
            </w:r>
            <w:r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bCs/>
                <w:i/>
                <w:color w:val="000000" w:themeColor="text1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Минимальное/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максимальное/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среднее время анализа комплекта тестов 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(</w:t>
            </w: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если разработчик запустил анализ несколько раз</w:t>
            </w:r>
            <w:r>
              <w:rPr>
                <w:i w:val="0"/>
                <w:iCs w:val="0"/>
                <w:sz w:val="20"/>
                <w:szCs w:val="20"/>
                <w:highlight w:val="none"/>
                <w:lang w:val="ru-RU"/>
              </w:rPr>
              <w:t xml:space="preserve">)</w:t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bCs/>
                <w:i w:val="0"/>
                <w:iCs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/>
                <w:i w:val="0"/>
                <w:iCs w:val="0"/>
                <w:sz w:val="20"/>
                <w:szCs w:val="2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525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bCs/>
                <w:i/>
                <w:sz w:val="20"/>
                <w:szCs w:val="20"/>
                <w:highlight w:val="none"/>
              </w:rPr>
              <w:t xml:space="preserve">Си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</w:r>
            <w:r>
              <w:rPr>
                <w:i/>
                <w:iCs/>
                <w:sz w:val="20"/>
                <w:szCs w:val="20"/>
                <w:highlight w:val="none"/>
              </w:rPr>
              <w:t xml:space="preserve">6.5.б. Ошибки деления на ноль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bCs/>
                <w:i/>
                <w:sz w:val="20"/>
                <w:szCs w:val="20"/>
                <w:highlight w:val="none"/>
              </w:rPr>
              <w:t xml:space="preserve">10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bCs/>
                <w:i/>
                <w:sz w:val="20"/>
                <w:szCs w:val="20"/>
                <w:highlight w:val="none"/>
              </w:rPr>
              <w:t xml:space="preserve">9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25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1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6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100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66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80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20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0"/>
                <w:szCs w:val="20"/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 xml:space="preserve">100 с / 120 с / 110 с</w:t>
            </w:r>
            <w:r>
              <w:rPr>
                <w:bCs/>
                <w:i/>
                <w:sz w:val="20"/>
                <w:szCs w:val="20"/>
                <w:highlight w:val="none"/>
              </w:rPr>
            </w:r>
            <w:r>
              <w:rPr>
                <w:bCs/>
                <w:i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 w:firstLine="0" w:left="0"/>
        <w:rPr>
          <w:bCs/>
          <w:i/>
          <w:highlight w:val="none"/>
        </w:rPr>
      </w:pPr>
      <w:r>
        <w:rPr>
          <w:bCs/>
          <w:i/>
        </w:rPr>
        <w:t xml:space="preserve">* на этапе «Домашнее задание» предоставление подробной статистике по каждому тесту не является обязательны, может быть предоставлено в разделе «Приложение к отчету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 w:left="34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right="0" w:firstLine="0" w:left="709"/>
        <w:rPr>
          <w:highlight w:val="none"/>
          <w:lang w:val="ru-RU"/>
        </w:rPr>
      </w:pPr>
      <w:r>
        <w:rPr>
          <w:lang w:val="ru-RU"/>
        </w:rPr>
        <w:t xml:space="preserve">3. </w:t>
      </w:r>
      <w:r>
        <w:rPr>
          <w:lang w:val="ru-RU"/>
        </w:rPr>
        <w:t xml:space="preserve">Таблица результатов в отношении тестов, проверяющих </w:t>
      </w:r>
      <w:r>
        <w:rPr>
          <w:lang w:val="ru-RU"/>
        </w:rPr>
        <w:t xml:space="preserve">выполнение анализатором дополнительных комплектов тестов, согласованных жюри</w:t>
      </w:r>
      <w:r>
        <w:rPr>
          <w:lang w:val="ru-RU"/>
        </w:rPr>
        <w:t xml:space="preserve">, </w:t>
      </w:r>
      <w:r>
        <w:rPr>
          <w:lang w:val="ru-RU"/>
        </w:rPr>
        <w:t xml:space="preserve">по каждому ЯП в котором анализатор принял участие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0"/>
        <w:rPr>
          <w:bCs/>
          <w:i/>
        </w:rPr>
      </w:pPr>
      <w:r>
        <w:rPr>
          <w:i/>
          <w:iCs/>
          <w:highlight w:val="none"/>
          <w:lang w:val="ru-RU"/>
        </w:rPr>
        <w:tab/>
        <w:t xml:space="preserve">Формат аналогично таблице в п. 2</w:t>
      </w:r>
      <w:r>
        <w:rPr>
          <w:bCs/>
          <w:i/>
        </w:rPr>
      </w:r>
      <w:r>
        <w:rPr>
          <w:bCs/>
          <w:i/>
        </w:rPr>
      </w:r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lang w:val="ru-RU"/>
        </w:rPr>
        <w:t xml:space="preserve">4. Группы тестов </w:t>
      </w:r>
      <w:r>
        <w:rPr>
          <w:lang w:val="ru-RU"/>
        </w:rPr>
        <w:t xml:space="preserve">(если таковые будут)</w:t>
      </w:r>
      <w:r>
        <w:rPr>
          <w:lang w:val="ru-RU"/>
        </w:rPr>
        <w:t xml:space="preserve">, в которых статический анализатор явно отработал с низкой степенью качества и разработчику очевидна необходимость доработок: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0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50"/>
        <w:gridCol w:w="1950"/>
        <w:gridCol w:w="2693"/>
        <w:gridCol w:w="4677"/>
      </w:tblGrid>
      <w:tr>
        <w:trPr>
          <w:trHeight w:val="1278"/>
        </w:trPr>
        <w:tc>
          <w:tcPr>
            <w:tcBorders/>
            <w:tcW w:w="195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Основной комплект / дополнительный комплект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5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  <w:t xml:space="preserve">Тип ошибки</w:t>
            </w:r>
            <w:r>
              <w:rPr>
                <w:highlight w:val="none"/>
                <w:lang w:val="ru-RU"/>
              </w:rPr>
              <w:t xml:space="preserve"> или комплект тестов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Идентификаторы тестов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Комментарий в свободной форме о причинах 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95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95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pacing/>
        <w:ind w:firstLine="0" w:left="709"/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5. Тезисные сведения о представляемом инструменте: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0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59"/>
        <w:gridCol w:w="4252"/>
        <w:gridCol w:w="3118"/>
      </w:tblGrid>
      <w:tr>
        <w:trPr/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Вопрос (тезис)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Ответ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Комментарии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Декларируется соответствие возможностей «</w:t>
            </w:r>
            <w:r>
              <w:rPr>
                <w:color w:val="000000" w:themeColor="text1"/>
                <w:highlight w:val="none"/>
                <w:lang w:val="ru-RU"/>
              </w:rPr>
              <w:t xml:space="preserve">движка</w:t>
            </w:r>
            <w:r>
              <w:rPr>
                <w:highlight w:val="none"/>
                <w:lang w:val="ru-RU"/>
              </w:rPr>
              <w:t xml:space="preserve">» инструментам требованиям п.8 </w:t>
            </w:r>
            <w:r>
              <w:rPr>
                <w:highlight w:val="none"/>
                <w:lang w:val="ru-RU"/>
              </w:rPr>
              <w:t xml:space="preserve">ГОСТ 71207-2024</w:t>
            </w:r>
            <w:r>
              <w:rPr>
                <w:highlight w:val="none"/>
                <w:lang w:val="ru-RU"/>
              </w:rPr>
              <w:t xml:space="preserve"> при анализе ЯП </w:t>
            </w:r>
            <w:r>
              <w:rPr>
                <w:highlight w:val="none"/>
                <w:lang w:val="ru-RU"/>
              </w:rPr>
              <w:t xml:space="preserve">Си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Да/Нет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Если «нет» – тезисно обозначить области несоответствия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...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i/>
                <w:iCs/>
                <w:highlight w:val="none"/>
              </w:rPr>
            </w:pPr>
            <w:r>
              <w:rPr>
                <w:i/>
                <w:iCs/>
                <w:highlight w:val="none"/>
                <w:lang w:val="ru-RU"/>
              </w:rPr>
              <w:t xml:space="preserve">и далее по всем  ЯП, в испытаниях по которым анализатор принял участие</w:t>
            </w:r>
            <w:r>
              <w:rPr>
                <w:i/>
                <w:iCs/>
                <w:highlight w:val="none"/>
              </w:rPr>
            </w:r>
            <w:r>
              <w:rPr>
                <w:i/>
                <w:iCs/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...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659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Поддерживается маппинг детекторов на «пункты»</w:t>
            </w:r>
            <w:r>
              <w:rPr>
                <w:highlight w:val="none"/>
                <w:lang w:val="ru-RU"/>
              </w:rPr>
              <w:t xml:space="preserve">ГОСТ 71207-2024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Д</w:t>
            </w:r>
            <w:r>
              <w:rPr>
                <w:highlight w:val="none"/>
                <w:lang w:val="ru-RU"/>
              </w:rPr>
              <w:t xml:space="preserve">а/Нет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Если «нет» – тезисно обозначить планы по соответствию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right="0" w:firstLine="0" w:left="567"/>
        <w:rPr>
          <w:color w:val="000000" w:themeColor="text1"/>
          <w:highlight w:val="none"/>
        </w:rPr>
      </w:pPr>
      <w:r>
        <w:rPr>
          <w:highlight w:val="none"/>
          <w:lang w:val="ru-RU"/>
        </w:rPr>
        <w:t xml:space="preserve">6. Свободное мнение. До 2000 символов (с пробелами) тезисов о технических вопросах: предложения по развитию комплекта тестов (в т. ч. с учетом ЯП, фреймворки, системы сборки), условий запуска тестов, </w:t>
      </w:r>
      <w:r>
        <w:rPr>
          <w:color w:val="000000" w:themeColor="text1"/>
          <w:highlight w:val="none"/>
          <w:lang w:val="ru-RU"/>
        </w:rPr>
        <w:t xml:space="preserve">описание нюансов запуска собственных инструментов</w:t>
      </w:r>
      <w:r>
        <w:rPr>
          <w:color w:val="000000" w:themeColor="text1"/>
          <w:highlight w:val="none"/>
          <w:lang w:val="ru-RU"/>
        </w:rPr>
        <w:t xml:space="preserve"> и т. п.</w:t>
      </w:r>
      <w:r>
        <w:rPr>
          <w:color w:val="000000" w:themeColor="text1"/>
          <w:highlight w:val="none"/>
          <w:lang w:val="ru-RU"/>
        </w:rPr>
        <w:t xml:space="preserve"> </w:t>
      </w:r>
      <w:r>
        <w:rPr>
          <w:color w:val="000000" w:themeColor="text1"/>
          <w:highlight w:val="none"/>
          <w:lang w:val="ru-RU"/>
        </w:rPr>
        <w:t xml:space="preserve">Данный текст может быть опубликовано в пресс-релизе по итогам домашнего задания</w:t>
      </w:r>
      <w:r>
        <w:rPr>
          <w:color w:val="000000" w:themeColor="text1"/>
          <w:highlight w:val="none"/>
          <w:lang w:val="ru-RU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  <w:lang w:val="ru-RU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  <w:lang w:val="ru-RU"/>
        </w:rPr>
      </w:pPr>
      <w:r>
        <w:rPr>
          <w:b/>
          <w:bCs/>
          <w:color w:val="000000" w:themeColor="text1"/>
          <w:highlight w:val="none"/>
          <w:lang w:val="ru-RU"/>
        </w:rPr>
        <w:t xml:space="preserve">А.  (Обязательное) Приложение к отчету с результатами разметки тестов в формате SARIF. </w:t>
      </w:r>
      <w:r>
        <w:rPr>
          <w:b/>
          <w:bCs/>
          <w:i/>
          <w:iCs/>
          <w:color w:val="000000" w:themeColor="text1"/>
          <w:highlight w:val="none"/>
          <w:lang w:val="ru-RU"/>
        </w:rPr>
        <w:t xml:space="preserve">Предоставляется организоторам испытаний для оценки вариаций форматов </w:t>
      </w:r>
      <w:r>
        <w:rPr>
          <w:b/>
          <w:bCs/>
          <w:i/>
          <w:iCs/>
          <w:color w:val="000000" w:themeColor="text1"/>
          <w:highlight w:val="none"/>
          <w:lang w:val="en-US"/>
        </w:rPr>
        <w:t xml:space="preserve">SARIF </w:t>
      </w:r>
      <w:r>
        <w:rPr>
          <w:b/>
          <w:bCs/>
          <w:i/>
          <w:iCs/>
          <w:color w:val="000000" w:themeColor="text1"/>
          <w:highlight w:val="none"/>
          <w:lang w:val="ru-RU"/>
        </w:rPr>
        <w:t xml:space="preserve">у участников испытаний</w:t>
      </w:r>
      <w:r>
        <w:rPr>
          <w:b/>
          <w:bCs/>
          <w:color w:val="000000" w:themeColor="text1"/>
          <w:highlight w:val="none"/>
          <w:lang w:val="ru-RU"/>
        </w:rPr>
        <w:t xml:space="preserve">.</w:t>
      </w: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  <w:lang w:val="ru-RU"/>
        </w:rPr>
      </w:pPr>
      <w:r>
        <w:rPr>
          <w:b/>
          <w:bCs/>
          <w:color w:val="000000" w:themeColor="text1"/>
          <w:highlight w:val="none"/>
          <w:lang w:val="ru-RU"/>
        </w:rPr>
        <w:t xml:space="preserve">Б. (Обязательное) Приложение к отчету с маппингом детекторов инструмента на ГОСТ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  <w:lang w:val="ru-RU"/>
        </w:rPr>
      </w:pPr>
      <w:r>
        <w:rPr>
          <w:color w:val="000000" w:themeColor="text1"/>
          <w:highlight w:val="none"/>
          <w:lang w:val="ru-RU"/>
        </w:rPr>
        <w:t xml:space="preserve">Если таковой маппинг уже сформирован, либо находится в процессе формирования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  <w:lang w:val="ru-RU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</w:p>
    <w:p>
      <w:pPr>
        <w:pBdr/>
        <w:spacing/>
        <w:ind w:firstLine="0" w:left="0"/>
        <w:rPr>
          <w:b/>
          <w:bCs/>
          <w:color w:val="000000" w:themeColor="text1"/>
          <w:highlight w:val="none"/>
          <w:lang w:val="ru-RU"/>
        </w:rPr>
      </w:pPr>
      <w:r>
        <w:rPr>
          <w:b/>
          <w:bCs/>
          <w:color w:val="000000" w:themeColor="text1"/>
          <w:highlight w:val="none"/>
          <w:lang w:val="ru-RU"/>
        </w:rPr>
        <w:t xml:space="preserve">В. (Необязательное) Приложение к отчету в свободной форме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0" w:left="0"/>
        <w:rPr>
          <w:color w:val="000000" w:themeColor="text1"/>
          <w:highlight w:val="none"/>
          <w:lang w:val="ru-RU"/>
        </w:rPr>
      </w:pPr>
      <w:r>
        <w:rPr>
          <w:color w:val="000000" w:themeColor="text1"/>
          <w:highlight w:val="none"/>
          <w:lang w:val="ru-RU"/>
        </w:rPr>
        <w:t xml:space="preserve">Разработчики могут приложить здесь любую дополнительную информацию в отношении комплекта тестов и характеристик этапа «Домашнее задание» по собственному усмотрению, в том числе: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p>
      <w:pPr>
        <w:pStyle w:val="896"/>
        <w:numPr>
          <w:ilvl w:val="0"/>
          <w:numId w:val="5"/>
        </w:numPr>
        <w:pBdr/>
        <w:spacing/>
        <w:ind/>
        <w:rPr>
          <w:color w:val="000000" w:themeColor="text1"/>
          <w:highlight w:val="none"/>
          <w:lang w:val="ru-RU"/>
        </w:rPr>
      </w:pPr>
      <w:r>
        <w:rPr>
          <w:color w:val="000000" w:themeColor="text1"/>
          <w:highlight w:val="none"/>
          <w:lang w:val="ru-RU"/>
        </w:rPr>
        <w:t xml:space="preserve">детальный маппинг срабатываний статического анализатора в тех или иных тестах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p>
      <w:pPr>
        <w:pStyle w:val="896"/>
        <w:numPr>
          <w:ilvl w:val="0"/>
          <w:numId w:val="5"/>
        </w:numPr>
        <w:pBdr/>
        <w:spacing/>
        <w:ind/>
        <w:rPr>
          <w:color w:val="000000" w:themeColor="text1"/>
          <w:highlight w:val="none"/>
          <w:lang w:val="ru-RU"/>
        </w:rPr>
      </w:pPr>
      <w:r>
        <w:rPr>
          <w:color w:val="000000" w:themeColor="text1"/>
          <w:highlight w:val="none"/>
          <w:lang w:val="ru-RU"/>
        </w:rPr>
        <w:t xml:space="preserve">список AddPositive – ошибок, обнаруженных разработчиком в комплектах тестов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sectPr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7">
    <w:name w:val="Caption Char"/>
    <w:basedOn w:val="872"/>
    <w:link w:val="870"/>
    <w:uiPriority w:val="99"/>
    <w:pPr>
      <w:pBdr/>
      <w:spacing/>
      <w:ind/>
    </w:pPr>
  </w:style>
  <w:style w:type="table" w:styleId="708">
    <w:name w:val="Table Grid"/>
    <w:basedOn w:val="89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92"/>
    <w:next w:val="892"/>
    <w:link w:val="8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2"/>
    <w:next w:val="892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2"/>
    <w:next w:val="892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2"/>
    <w:next w:val="892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2"/>
    <w:next w:val="892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character" w:styleId="844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2"/>
    <w:next w:val="892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3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2"/>
    <w:next w:val="892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3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2"/>
    <w:next w:val="892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3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2"/>
    <w:next w:val="892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3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2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43"/>
    <w:link w:val="868"/>
    <w:uiPriority w:val="99"/>
    <w:pPr>
      <w:pBdr/>
      <w:spacing/>
      <w:ind/>
    </w:pPr>
  </w:style>
  <w:style w:type="paragraph" w:styleId="870">
    <w:name w:val="Footer"/>
    <w:basedOn w:val="892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43"/>
    <w:link w:val="870"/>
    <w:uiPriority w:val="99"/>
    <w:pPr>
      <w:pBdr/>
      <w:spacing/>
      <w:ind/>
    </w:pPr>
  </w:style>
  <w:style w:type="paragraph" w:styleId="872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2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4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2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2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3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4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5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6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7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8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9">
    <w:name w:val="toc 9"/>
    <w:basedOn w:val="892"/>
    <w:next w:val="892"/>
    <w:uiPriority w:val="39"/>
    <w:unhideWhenUsed/>
    <w:pPr>
      <w:pBdr/>
      <w:spacing w:after="100"/>
      <w:ind w:left="1760"/>
    </w:p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18</cp:revision>
  <dcterms:modified xsi:type="dcterms:W3CDTF">2025-04-10T20:48:07Z</dcterms:modified>
</cp:coreProperties>
</file>