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5E8" w:rsidRDefault="004F75D9">
      <w:pPr>
        <w:pStyle w:val="af8"/>
      </w:pPr>
      <w:r>
        <w:t>List of contents</w:t>
      </w:r>
      <w:bookmarkStart w:id="0" w:name="_Toc349830691"/>
      <w:bookmarkStart w:id="1" w:name="_Toc249775218"/>
      <w:bookmarkStart w:id="2" w:name="_Toc251685383"/>
      <w:bookmarkStart w:id="3" w:name="_Toc273108054"/>
      <w:bookmarkStart w:id="4" w:name="_Toc251866755"/>
      <w:bookmarkStart w:id="5" w:name="_Toc271037267"/>
      <w:bookmarkStart w:id="6" w:name="_Toc349830592"/>
    </w:p>
    <w:p w:rsidR="00F355E8" w:rsidRDefault="00F355E8"/>
    <w:sdt>
      <w:sdtPr>
        <w:id w:val="254141"/>
        <w:docPartObj>
          <w:docPartGallery w:val="Table of Contents"/>
          <w:docPartUnique/>
        </w:docPartObj>
      </w:sdtPr>
      <w:sdtContent>
        <w:p w:rsidR="00F355E8" w:rsidRDefault="0028560A">
          <w:pPr>
            <w:pStyle w:val="TOC1"/>
            <w:tabs>
              <w:tab w:val="clear" w:pos="284"/>
              <w:tab w:val="clear" w:pos="9639"/>
              <w:tab w:val="right" w:leader="dot" w:pos="9354"/>
            </w:tabs>
          </w:pPr>
          <w:r>
            <w:fldChar w:fldCharType="begin"/>
          </w:r>
          <w:r w:rsidR="004F75D9">
            <w:instrText>TOC \o "1-3" \h</w:instrText>
          </w:r>
          <w:r>
            <w:fldChar w:fldCharType="separate"/>
          </w:r>
          <w:hyperlink w:anchor="__RefHeading___Toc4765_3161154708">
            <w:r w:rsidR="004F75D9">
              <w:t>1 Discovery of a Security Flaw in SAML 2.0 Web Browser SSO Profile Protocol</w:t>
            </w:r>
            <w:r w:rsidR="004F75D9">
              <w:tab/>
              <w:t>2</w:t>
            </w:r>
          </w:hyperlink>
        </w:p>
        <w:p w:rsidR="00F355E8" w:rsidRDefault="0028560A">
          <w:pPr>
            <w:pStyle w:val="TOC2"/>
            <w:tabs>
              <w:tab w:val="clear" w:pos="709"/>
              <w:tab w:val="clear" w:pos="9639"/>
              <w:tab w:val="right" w:leader="dot" w:pos="9354"/>
            </w:tabs>
          </w:pPr>
          <w:hyperlink w:anchor="__RefHeading___Toc4767_3161154708">
            <w:r w:rsidR="004F75D9">
              <w:t>1.1 Abstract</w:t>
            </w:r>
            <w:r w:rsidR="004F75D9">
              <w:tab/>
              <w:t>2</w:t>
            </w:r>
          </w:hyperlink>
        </w:p>
        <w:p w:rsidR="00F355E8" w:rsidRDefault="0028560A">
          <w:pPr>
            <w:pStyle w:val="TOC2"/>
            <w:tabs>
              <w:tab w:val="clear" w:pos="709"/>
              <w:tab w:val="clear" w:pos="9639"/>
              <w:tab w:val="right" w:leader="dot" w:pos="9354"/>
            </w:tabs>
          </w:pPr>
          <w:hyperlink w:anchor="__RefHeading___Toc4769_3161154708">
            <w:r w:rsidR="004F75D9">
              <w:t>1.2 Types of SSO</w:t>
            </w:r>
            <w:r w:rsidR="004F75D9">
              <w:tab/>
              <w:t>2</w:t>
            </w:r>
          </w:hyperlink>
        </w:p>
        <w:p w:rsidR="00F355E8" w:rsidRDefault="0028560A">
          <w:pPr>
            <w:pStyle w:val="TOC2"/>
            <w:tabs>
              <w:tab w:val="clear" w:pos="709"/>
              <w:tab w:val="clear" w:pos="9639"/>
              <w:tab w:val="right" w:leader="dot" w:pos="9354"/>
            </w:tabs>
          </w:pPr>
          <w:hyperlink w:anchor="__RefHeading___Toc4771_3161154708">
            <w:r w:rsidR="004F75D9">
              <w:t>1.3 Confidential channels and laws of identity</w:t>
            </w:r>
            <w:r w:rsidR="004F75D9">
              <w:tab/>
              <w:t>3</w:t>
            </w:r>
          </w:hyperlink>
        </w:p>
        <w:p w:rsidR="00F355E8" w:rsidRDefault="0028560A">
          <w:pPr>
            <w:pStyle w:val="TOC2"/>
            <w:tabs>
              <w:tab w:val="clear" w:pos="709"/>
              <w:tab w:val="clear" w:pos="9639"/>
              <w:tab w:val="right" w:leader="dot" w:pos="9354"/>
            </w:tabs>
          </w:pPr>
          <w:hyperlink w:anchor="__RefHeading___Toc4773_3161154708">
            <w:r w:rsidR="004F75D9">
              <w:t>1.4 SSO protocols: overview and comparison</w:t>
            </w:r>
            <w:r w:rsidR="004F75D9">
              <w:tab/>
              <w:t>3</w:t>
            </w:r>
          </w:hyperlink>
        </w:p>
        <w:p w:rsidR="00F355E8" w:rsidRDefault="0028560A">
          <w:pPr>
            <w:pStyle w:val="TOC2"/>
            <w:tabs>
              <w:tab w:val="clear" w:pos="709"/>
              <w:tab w:val="clear" w:pos="9639"/>
              <w:tab w:val="right" w:leader="dot" w:pos="9354"/>
            </w:tabs>
          </w:pPr>
          <w:hyperlink w:anchor="__RefHeading___Toc4775_3161154708">
            <w:r w:rsidR="004F75D9">
              <w:t>1.5 Confidential channels</w:t>
            </w:r>
            <w:r w:rsidR="004F75D9">
              <w:tab/>
              <w:t>4</w:t>
            </w:r>
          </w:hyperlink>
          <w:r>
            <w:fldChar w:fldCharType="end"/>
          </w:r>
        </w:p>
      </w:sdtContent>
    </w:sdt>
    <w:p w:rsidR="00F355E8" w:rsidRPr="009549B9" w:rsidRDefault="004F75D9" w:rsidP="009549B9">
      <w:pPr>
        <w:pStyle w:val="Heading1"/>
      </w:pPr>
      <w:bookmarkStart w:id="7" w:name="__RefHeading___Toc4765_3161154708"/>
      <w:bookmarkEnd w:id="7"/>
      <w:r w:rsidRPr="009549B9">
        <w:lastRenderedPageBreak/>
        <w:t xml:space="preserve">Discovery of a Security Flaw in SAML 2.0 Web Browser SSO Profile Protocol </w:t>
      </w:r>
    </w:p>
    <w:p w:rsidR="00F355E8" w:rsidRDefault="004F75D9" w:rsidP="009549B9">
      <w:pPr>
        <w:pStyle w:val="Heading2"/>
      </w:pPr>
      <w:bookmarkStart w:id="8" w:name="__RefHeading___Toc4767_3161154708"/>
      <w:bookmarkStart w:id="9" w:name="_Toc112337256"/>
      <w:bookmarkStart w:id="10" w:name="_Toc106101080"/>
      <w:bookmarkStart w:id="11" w:name="_Toc460409697"/>
      <w:bookmarkStart w:id="12" w:name="_Toc459726574"/>
      <w:bookmarkStart w:id="13" w:name="_Toc459381440"/>
      <w:bookmarkEnd w:id="8"/>
      <w:r w:rsidRPr="009549B9">
        <w:t>A</w:t>
      </w:r>
      <w:bookmarkEnd w:id="9"/>
      <w:bookmarkEnd w:id="10"/>
      <w:bookmarkEnd w:id="11"/>
      <w:bookmarkEnd w:id="12"/>
      <w:bookmarkEnd w:id="13"/>
      <w:r w:rsidRPr="009549B9">
        <w:t>bstract</w:t>
      </w:r>
      <w:bookmarkStart w:id="14" w:name="_Toc249787850"/>
    </w:p>
    <w:p w:rsidR="00F355E8" w:rsidRPr="003B737B" w:rsidRDefault="004F75D9">
      <w:pPr>
        <w:ind w:firstLine="0"/>
        <w:rPr>
          <w:lang w:val="en-US"/>
        </w:rPr>
      </w:pPr>
      <w:r w:rsidRPr="003B737B">
        <w:rPr>
          <w:lang w:val="en-US"/>
        </w:rPr>
        <w:tab/>
        <w:t xml:space="preserve">Single-Sign-On (SSO) protocols enable companies to establish a federated environment in which clients sign in the system once and yet are able to access services offered by different companies. The scheme of SSO operation is shown in the figure </w:t>
      </w:r>
      <w:r w:rsidR="0028560A">
        <w:fldChar w:fldCharType="begin"/>
      </w:r>
      <w:r w:rsidRPr="003B737B">
        <w:rPr>
          <w:lang w:val="en-US"/>
        </w:rPr>
        <w:instrText>PAGEREF Ref_</w:instrText>
      </w:r>
      <w:r>
        <w:instrText>Рисунок</w:instrText>
      </w:r>
      <w:r w:rsidRPr="003B737B">
        <w:rPr>
          <w:lang w:val="en-US"/>
        </w:rPr>
        <w:instrText>0_full \h</w:instrText>
      </w:r>
      <w:r w:rsidR="0028560A">
        <w:fldChar w:fldCharType="separate"/>
      </w:r>
      <w:r w:rsidRPr="003B737B">
        <w:rPr>
          <w:lang w:val="en-US"/>
        </w:rPr>
        <w:t>2</w:t>
      </w:r>
      <w:r w:rsidR="0028560A">
        <w:fldChar w:fldCharType="end"/>
      </w:r>
      <w:r w:rsidRPr="003B737B">
        <w:rPr>
          <w:lang w:val="en-US"/>
        </w:rPr>
        <w:t>. The OASIS Security Asse</w:t>
      </w:r>
      <w:r w:rsidRPr="003B737B">
        <w:rPr>
          <w:lang w:val="en-US"/>
        </w:rPr>
        <w:t>r</w:t>
      </w:r>
      <w:r w:rsidRPr="003B737B">
        <w:rPr>
          <w:lang w:val="en-US"/>
        </w:rPr>
        <w:t>tion Markup Language (SAML) 2.0 Web Browser SSO Profile is the emerging standard in this context. In this paper we provide formal models of the protocol corresponding to one of the most applied use case scenario (the SP-Initiated SSO with Redirect/POST Bindings) and of a variant of the protocol implemented by Google and currently in use by Google’s customers (the SAML-based SSO for Google Applications). We have mechanically analysed these formal models with SATMC, a state-of-the-art model checker for security protocols. SATMC has revealed a severe security flaw in the protocol used by Google that allows a dishonest service provider to impers</w:t>
      </w:r>
      <w:r w:rsidRPr="003B737B">
        <w:rPr>
          <w:lang w:val="en-US"/>
        </w:rPr>
        <w:t>o</w:t>
      </w:r>
      <w:r w:rsidRPr="003B737B">
        <w:rPr>
          <w:lang w:val="en-US"/>
        </w:rPr>
        <w:t>nate a user at another service provider. We have also reproduced this attack in an actual deplo</w:t>
      </w:r>
      <w:r w:rsidRPr="003B737B">
        <w:rPr>
          <w:lang w:val="en-US"/>
        </w:rPr>
        <w:t>y</w:t>
      </w:r>
      <w:r w:rsidRPr="003B737B">
        <w:rPr>
          <w:lang w:val="en-US"/>
        </w:rPr>
        <w:t>ment of the SAML-based SSO for Google Applications.</w:t>
      </w:r>
      <w:bookmarkStart w:id="15" w:name="_Toc106101082"/>
      <w:bookmarkStart w:id="16" w:name="_Toc112337258"/>
      <w:bookmarkStart w:id="17" w:name="_Toc106101081"/>
      <w:bookmarkStart w:id="18" w:name="_Toc112337257"/>
      <w:bookmarkEnd w:id="15"/>
      <w:bookmarkEnd w:id="16"/>
      <w:bookmarkEnd w:id="17"/>
      <w:bookmarkEnd w:id="18"/>
    </w:p>
    <w:p w:rsidR="00F355E8" w:rsidRDefault="004F75D9">
      <w:pPr>
        <w:pStyle w:val="TableofFigures"/>
      </w:pPr>
      <w:r>
        <w:rPr>
          <w:noProof/>
        </w:rPr>
        <w:drawing>
          <wp:inline distT="0" distB="0" distL="0" distR="0">
            <wp:extent cx="3629025" cy="2678430"/>
            <wp:effectExtent l="0" t="0" r="0" b="0"/>
            <wp:docPr id="1" name="Изображение1"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4.emf"/>
                    <pic:cNvPicPr>
                      <a:picLocks noChangeAspect="1" noChangeArrowheads="1"/>
                    </pic:cNvPicPr>
                  </pic:nvPicPr>
                  <pic:blipFill>
                    <a:blip r:embed="rId7" cstate="print"/>
                    <a:stretch>
                      <a:fillRect/>
                    </a:stretch>
                  </pic:blipFill>
                  <pic:spPr bwMode="auto">
                    <a:xfrm>
                      <a:off x="0" y="0"/>
                      <a:ext cx="3629025" cy="2678430"/>
                    </a:xfrm>
                    <a:prstGeom prst="rect">
                      <a:avLst/>
                    </a:prstGeom>
                  </pic:spPr>
                </pic:pic>
              </a:graphicData>
            </a:graphic>
          </wp:inline>
        </w:drawing>
      </w:r>
    </w:p>
    <w:p w:rsidR="00F355E8" w:rsidRDefault="004F75D9">
      <w:pPr>
        <w:pStyle w:val="-2"/>
      </w:pPr>
      <w:bookmarkStart w:id="19" w:name="_Ref981708207"/>
      <w:r>
        <w:t xml:space="preserve">Figure </w:t>
      </w:r>
      <w:r w:rsidR="0028560A">
        <w:fldChar w:fldCharType="begin"/>
      </w:r>
      <w:r>
        <w:instrText>SEQ Рисунок \* ARABIC</w:instrText>
      </w:r>
      <w:r w:rsidR="0028560A">
        <w:fldChar w:fldCharType="separate"/>
      </w:r>
      <w:r>
        <w:t>1</w:t>
      </w:r>
      <w:r w:rsidR="0028560A">
        <w:fldChar w:fldCharType="end"/>
      </w:r>
      <w:bookmarkEnd w:id="19"/>
      <w:r>
        <w:t> – SSO execution scenario.</w:t>
      </w:r>
    </w:p>
    <w:p w:rsidR="00F355E8" w:rsidRDefault="004F75D9">
      <w:pPr>
        <w:pStyle w:val="Heading2"/>
        <w:numPr>
          <w:ilvl w:val="1"/>
          <w:numId w:val="2"/>
        </w:numPr>
        <w:ind w:left="709" w:firstLine="0"/>
      </w:pPr>
      <w:bookmarkStart w:id="20" w:name="__RefHeading___Toc4769_3161154708"/>
      <w:bookmarkStart w:id="21" w:name="_Toc112337260"/>
      <w:bookmarkStart w:id="22" w:name="_Toc106101084"/>
      <w:bookmarkEnd w:id="20"/>
      <w:r>
        <w:t>T</w:t>
      </w:r>
      <w:bookmarkEnd w:id="21"/>
      <w:bookmarkEnd w:id="22"/>
      <w:r>
        <w:t>ypes of SSO</w:t>
      </w:r>
    </w:p>
    <w:p w:rsidR="00F355E8" w:rsidRPr="003B737B" w:rsidRDefault="004F75D9">
      <w:pPr>
        <w:rPr>
          <w:lang w:val="en-US"/>
        </w:rPr>
      </w:pPr>
      <w:r w:rsidRPr="003B737B">
        <w:rPr>
          <w:lang w:val="en-US"/>
        </w:rPr>
        <w:t>SSO types are categorized based on where and how they are deployed, the type of cr</w:t>
      </w:r>
      <w:r w:rsidRPr="003B737B">
        <w:rPr>
          <w:lang w:val="en-US"/>
        </w:rPr>
        <w:t>e</w:t>
      </w:r>
      <w:r w:rsidRPr="003B737B">
        <w:rPr>
          <w:lang w:val="en-US"/>
        </w:rPr>
        <w:t>dentials they use, and whether they are single sign-on protocols::</w:t>
      </w:r>
    </w:p>
    <w:p w:rsidR="00F355E8" w:rsidRDefault="004F75D9">
      <w:pPr>
        <w:pStyle w:val="afa"/>
        <w:numPr>
          <w:ilvl w:val="0"/>
          <w:numId w:val="4"/>
        </w:numPr>
      </w:pPr>
      <w:r>
        <w:t>Intranett or Enterprise SSO (ESSO);</w:t>
      </w:r>
    </w:p>
    <w:p w:rsidR="00F355E8" w:rsidRPr="003B737B" w:rsidRDefault="004F75D9">
      <w:pPr>
        <w:pStyle w:val="afa"/>
        <w:numPr>
          <w:ilvl w:val="0"/>
          <w:numId w:val="4"/>
        </w:numPr>
      </w:pPr>
      <w:r w:rsidRPr="003B737B">
        <w:t>Extranet or Multi-domain SSO;</w:t>
      </w:r>
    </w:p>
    <w:p w:rsidR="00F355E8" w:rsidRDefault="004F75D9">
      <w:pPr>
        <w:pStyle w:val="afa"/>
        <w:numPr>
          <w:ilvl w:val="0"/>
          <w:numId w:val="4"/>
        </w:numPr>
      </w:pPr>
      <w:r>
        <w:t>Internet or Web SSO;</w:t>
      </w:r>
    </w:p>
    <w:p w:rsidR="00F355E8" w:rsidRDefault="004F75D9">
      <w:pPr>
        <w:pStyle w:val="afa"/>
        <w:numPr>
          <w:ilvl w:val="0"/>
          <w:numId w:val="4"/>
        </w:numPr>
      </w:pPr>
      <w:r>
        <w:lastRenderedPageBreak/>
        <w:t>Simple/complex SSO architecture;</w:t>
      </w:r>
    </w:p>
    <w:p w:rsidR="00F355E8" w:rsidRDefault="004F75D9">
      <w:pPr>
        <w:pStyle w:val="afa"/>
        <w:numPr>
          <w:ilvl w:val="0"/>
          <w:numId w:val="4"/>
        </w:numPr>
      </w:pPr>
      <w:r>
        <w:t>Complex SSO with a single(multiple) set(s) of credentials;</w:t>
      </w:r>
    </w:p>
    <w:p w:rsidR="00F355E8" w:rsidRDefault="004F75D9">
      <w:pPr>
        <w:pStyle w:val="afa"/>
        <w:numPr>
          <w:ilvl w:val="0"/>
          <w:numId w:val="4"/>
        </w:numPr>
      </w:pPr>
      <w:r>
        <w:t>Kerberos authentication Protocol;</w:t>
      </w:r>
    </w:p>
    <w:p w:rsidR="00F355E8" w:rsidRDefault="004F75D9">
      <w:pPr>
        <w:pStyle w:val="afa"/>
        <w:numPr>
          <w:ilvl w:val="0"/>
          <w:numId w:val="4"/>
        </w:numPr>
      </w:pPr>
      <w:r>
        <w:t>SAML;</w:t>
      </w:r>
    </w:p>
    <w:p w:rsidR="00F355E8" w:rsidRDefault="004F75D9">
      <w:pPr>
        <w:pStyle w:val="afa"/>
        <w:numPr>
          <w:ilvl w:val="0"/>
          <w:numId w:val="4"/>
        </w:numPr>
      </w:pPr>
      <w:r>
        <w:t>OpenID.</w:t>
      </w:r>
    </w:p>
    <w:p w:rsidR="00F355E8" w:rsidRDefault="004F75D9">
      <w:pPr>
        <w:pStyle w:val="Heading2"/>
        <w:numPr>
          <w:ilvl w:val="1"/>
          <w:numId w:val="2"/>
        </w:numPr>
        <w:ind w:left="709" w:firstLine="0"/>
      </w:pPr>
      <w:bookmarkStart w:id="23" w:name="__RefHeading___Toc4771_3161154708"/>
      <w:bookmarkEnd w:id="23"/>
      <w:r>
        <w:t>Confidential channels</w:t>
      </w:r>
      <w:bookmarkStart w:id="24" w:name="_Toc112337261"/>
      <w:bookmarkStart w:id="25" w:name="_Toc106101085"/>
      <w:bookmarkEnd w:id="24"/>
      <w:bookmarkEnd w:id="25"/>
      <w:r>
        <w:t>and laws of identity</w:t>
      </w:r>
    </w:p>
    <w:p w:rsidR="00F355E8" w:rsidRPr="003B737B" w:rsidRDefault="004F75D9">
      <w:pPr>
        <w:ind w:firstLine="0"/>
        <w:rPr>
          <w:lang w:val="en-US"/>
        </w:rPr>
      </w:pPr>
      <w:r w:rsidRPr="003B737B">
        <w:rPr>
          <w:lang w:val="en-US"/>
        </w:rPr>
        <w:tab/>
        <w:t>We will now revisit the Cameron’s law of identity, which is used in the</w:t>
      </w:r>
    </w:p>
    <w:p w:rsidR="00F355E8" w:rsidRDefault="004F75D9">
      <w:pPr>
        <w:ind w:firstLine="0"/>
        <w:rPr>
          <w:lang w:val="en-US"/>
        </w:rPr>
      </w:pPr>
      <w:r>
        <w:rPr>
          <w:lang w:val="en-US"/>
        </w:rPr>
        <w:t xml:space="preserve">later part of this paper: </w:t>
      </w:r>
    </w:p>
    <w:p w:rsidR="00F355E8" w:rsidRDefault="004F75D9">
      <w:pPr>
        <w:pStyle w:val="af9"/>
        <w:numPr>
          <w:ilvl w:val="0"/>
          <w:numId w:val="3"/>
        </w:numPr>
        <w:ind w:left="0" w:firstLine="709"/>
      </w:pPr>
      <w:r>
        <w:t>User Control and Consent;</w:t>
      </w:r>
    </w:p>
    <w:p w:rsidR="00F355E8" w:rsidRDefault="004F75D9">
      <w:pPr>
        <w:pStyle w:val="af9"/>
        <w:numPr>
          <w:ilvl w:val="0"/>
          <w:numId w:val="3"/>
        </w:numPr>
        <w:ind w:left="0" w:firstLine="709"/>
      </w:pPr>
      <w:r>
        <w:t>Minimal Disclosure for a Constrained Use;</w:t>
      </w:r>
    </w:p>
    <w:p w:rsidR="00F355E8" w:rsidRDefault="004F75D9">
      <w:pPr>
        <w:pStyle w:val="af9"/>
        <w:numPr>
          <w:ilvl w:val="0"/>
          <w:numId w:val="3"/>
        </w:numPr>
        <w:ind w:left="0" w:firstLine="709"/>
      </w:pPr>
      <w:r>
        <w:t>Justifiable Parties</w:t>
      </w:r>
      <w:r w:rsidR="00894F4B">
        <w:t>;</w:t>
      </w:r>
    </w:p>
    <w:p w:rsidR="00F355E8" w:rsidRDefault="004F75D9">
      <w:pPr>
        <w:pStyle w:val="af9"/>
        <w:numPr>
          <w:ilvl w:val="0"/>
          <w:numId w:val="3"/>
        </w:numPr>
        <w:ind w:left="0" w:firstLine="709"/>
      </w:pPr>
      <w:r>
        <w:t>Directed Identity</w:t>
      </w:r>
      <w:r w:rsidR="00894F4B">
        <w:t>;</w:t>
      </w:r>
    </w:p>
    <w:p w:rsidR="00F355E8" w:rsidRDefault="004F75D9">
      <w:pPr>
        <w:pStyle w:val="af9"/>
        <w:numPr>
          <w:ilvl w:val="0"/>
          <w:numId w:val="3"/>
        </w:numPr>
        <w:ind w:left="0" w:firstLine="709"/>
      </w:pPr>
      <w:r>
        <w:t>Pluralism of Operators and Technologies</w:t>
      </w:r>
      <w:r w:rsidR="00894F4B">
        <w:t>;</w:t>
      </w:r>
    </w:p>
    <w:p w:rsidR="00F355E8" w:rsidRDefault="004F75D9">
      <w:pPr>
        <w:pStyle w:val="af9"/>
        <w:numPr>
          <w:ilvl w:val="0"/>
          <w:numId w:val="3"/>
        </w:numPr>
        <w:ind w:left="0" w:firstLine="709"/>
      </w:pPr>
      <w:r>
        <w:t>Human Integration</w:t>
      </w:r>
      <w:r w:rsidR="00894F4B">
        <w:t>;</w:t>
      </w:r>
    </w:p>
    <w:p w:rsidR="00F355E8" w:rsidRDefault="004F75D9">
      <w:pPr>
        <w:pStyle w:val="af9"/>
        <w:numPr>
          <w:ilvl w:val="0"/>
          <w:numId w:val="3"/>
        </w:numPr>
        <w:ind w:left="0" w:firstLine="709"/>
      </w:pPr>
      <w:r>
        <w:t>Consistent Experience Across Contexts</w:t>
      </w:r>
      <w:r w:rsidR="00894F4B">
        <w:t>.</w:t>
      </w:r>
    </w:p>
    <w:p w:rsidR="00F355E8" w:rsidRPr="003B737B" w:rsidRDefault="004F75D9">
      <w:pPr>
        <w:rPr>
          <w:lang w:val="en-US"/>
        </w:rPr>
      </w:pPr>
      <w:r>
        <w:rPr>
          <w:color w:val="000000"/>
          <w:highlight w:val="white"/>
          <w:lang w:val="en-US"/>
        </w:rPr>
        <w:t>To illustrate the usage of the above constraints let us consider the SAML SSO and its s</w:t>
      </w:r>
      <w:r>
        <w:rPr>
          <w:color w:val="000000"/>
          <w:highlight w:val="white"/>
          <w:lang w:val="en-US"/>
        </w:rPr>
        <w:t>e</w:t>
      </w:r>
      <w:r>
        <w:rPr>
          <w:color w:val="000000"/>
          <w:highlight w:val="white"/>
          <w:lang w:val="en-US"/>
        </w:rPr>
        <w:t xml:space="preserve">curity recommendations in matter of communication channels. Assumption (A1) requires that the message exchanges between C and SP are carried over unilateral SSL/TLS channels. As sumption (A2) imposes that the message from C to IdP is sent over a confidential channel, while the message from IdP to C is sent over a confidential and authentic channel. For each session s, this amounts to including the following constraints in C. Also take a look at the figure </w:t>
      </w:r>
      <w:r w:rsidR="0028560A">
        <w:fldChar w:fldCharType="begin"/>
      </w:r>
      <w:r w:rsidRPr="003B737B">
        <w:rPr>
          <w:lang w:val="en-US"/>
        </w:rPr>
        <w:instrText>REF _Ref98170820 \h</w:instrText>
      </w:r>
      <w:r w:rsidR="0028560A">
        <w:fldChar w:fldCharType="separate"/>
      </w:r>
      <w:r w:rsidRPr="003B737B">
        <w:rPr>
          <w:lang w:val="en-US"/>
        </w:rPr>
        <w:t>Figure 2</w:t>
      </w:r>
      <w:r w:rsidR="0028560A">
        <w:fldChar w:fldCharType="end"/>
      </w:r>
      <w:r w:rsidRPr="003B737B">
        <w:rPr>
          <w:lang w:val="en-US"/>
        </w:rPr>
        <w:t>.</w:t>
      </w:r>
    </w:p>
    <w:p w:rsidR="00F355E8" w:rsidRDefault="004F75D9">
      <w:pPr>
        <w:pStyle w:val="TableofFigures"/>
      </w:pPr>
      <w:r>
        <w:rPr>
          <w:noProof/>
        </w:rPr>
        <w:drawing>
          <wp:inline distT="0" distB="0" distL="0" distR="0">
            <wp:extent cx="1460500" cy="1078230"/>
            <wp:effectExtent l="0" t="0" r="0" b="0"/>
            <wp:docPr id="2"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4.emf"/>
                    <pic:cNvPicPr>
                      <a:picLocks noChangeAspect="1" noChangeArrowheads="1"/>
                    </pic:cNvPicPr>
                  </pic:nvPicPr>
                  <pic:blipFill>
                    <a:blip r:embed="rId8"/>
                    <a:stretch>
                      <a:fillRect/>
                    </a:stretch>
                  </pic:blipFill>
                  <pic:spPr bwMode="auto">
                    <a:xfrm>
                      <a:off x="0" y="0"/>
                      <a:ext cx="1460500" cy="1078230"/>
                    </a:xfrm>
                    <a:prstGeom prst="rect">
                      <a:avLst/>
                    </a:prstGeom>
                  </pic:spPr>
                </pic:pic>
              </a:graphicData>
            </a:graphic>
          </wp:inline>
        </w:drawing>
      </w:r>
    </w:p>
    <w:p w:rsidR="00F355E8" w:rsidRPr="003B737B" w:rsidRDefault="004F75D9">
      <w:pPr>
        <w:pStyle w:val="-2"/>
        <w:rPr>
          <w:lang w:val="en-US"/>
        </w:rPr>
      </w:pPr>
      <w:bookmarkStart w:id="26" w:name="_Ref98170820"/>
      <w:r w:rsidRPr="003B737B">
        <w:rPr>
          <w:lang w:val="en-US"/>
        </w:rPr>
        <w:t xml:space="preserve">Figure </w:t>
      </w:r>
      <w:r w:rsidR="0028560A">
        <w:fldChar w:fldCharType="begin"/>
      </w:r>
      <w:r w:rsidRPr="003B737B">
        <w:rPr>
          <w:lang w:val="en-US"/>
        </w:rPr>
        <w:instrText xml:space="preserve">SEQ </w:instrText>
      </w:r>
      <w:r>
        <w:instrText>Рисунок</w:instrText>
      </w:r>
      <w:r w:rsidRPr="003B737B">
        <w:rPr>
          <w:lang w:val="en-US"/>
        </w:rPr>
        <w:instrText xml:space="preserve"> \* ARABIC</w:instrText>
      </w:r>
      <w:r w:rsidR="0028560A">
        <w:fldChar w:fldCharType="separate"/>
      </w:r>
      <w:r w:rsidRPr="003B737B">
        <w:rPr>
          <w:lang w:val="en-US"/>
        </w:rPr>
        <w:t>2</w:t>
      </w:r>
      <w:r w:rsidR="0028560A">
        <w:fldChar w:fldCharType="end"/>
      </w:r>
      <w:bookmarkEnd w:id="26"/>
      <w:r w:rsidRPr="003B737B">
        <w:rPr>
          <w:lang w:val="en-US"/>
        </w:rPr>
        <w:t> – Attack on the SAML-based SSO</w:t>
      </w:r>
    </w:p>
    <w:p w:rsidR="00F355E8" w:rsidRDefault="004F75D9">
      <w:pPr>
        <w:pStyle w:val="Heading2"/>
        <w:numPr>
          <w:ilvl w:val="1"/>
          <w:numId w:val="2"/>
        </w:numPr>
        <w:ind w:left="709" w:firstLine="0"/>
      </w:pPr>
      <w:bookmarkStart w:id="27" w:name="__RefHeading___Toc4773_3161154708"/>
      <w:bookmarkStart w:id="28" w:name="_Toc112337262"/>
      <w:bookmarkStart w:id="29" w:name="_Toc106101086"/>
      <w:bookmarkEnd w:id="27"/>
      <w:r>
        <w:t>SSO protocols: overview and comparison</w:t>
      </w:r>
      <w:bookmarkEnd w:id="28"/>
      <w:bookmarkEnd w:id="29"/>
    </w:p>
    <w:p w:rsidR="00F355E8" w:rsidRPr="003B737B" w:rsidRDefault="004F75D9">
      <w:pPr>
        <w:rPr>
          <w:lang w:val="en-US"/>
        </w:rPr>
      </w:pPr>
      <w:r w:rsidRPr="003B737B">
        <w:rPr>
          <w:lang w:val="en-US"/>
        </w:rPr>
        <w:t>Let's consider several of the most common SSO protocols and compare their main ch</w:t>
      </w:r>
      <w:r w:rsidRPr="003B737B">
        <w:rPr>
          <w:lang w:val="en-US"/>
        </w:rPr>
        <w:t>a</w:t>
      </w:r>
      <w:r w:rsidRPr="003B737B">
        <w:rPr>
          <w:lang w:val="en-US"/>
        </w:rPr>
        <w:t xml:space="preserve">racteristics. The table </w:t>
      </w:r>
      <w:r w:rsidR="0028560A">
        <w:rPr>
          <w:lang w:val="en-US"/>
        </w:rPr>
        <w:fldChar w:fldCharType="begin"/>
      </w:r>
      <w:r w:rsidR="003B737B">
        <w:rPr>
          <w:lang w:val="en-US"/>
        </w:rPr>
        <w:instrText xml:space="preserve"> REF _Ref164937205 \h </w:instrText>
      </w:r>
      <w:r w:rsidR="0028560A">
        <w:rPr>
          <w:lang w:val="en-US"/>
        </w:rPr>
      </w:r>
      <w:r w:rsidR="0028560A">
        <w:rPr>
          <w:lang w:val="en-US"/>
        </w:rPr>
        <w:fldChar w:fldCharType="separate"/>
      </w:r>
      <w:r w:rsidR="003B737B" w:rsidRPr="003B737B">
        <w:rPr>
          <w:lang w:val="en-US"/>
        </w:rPr>
        <w:t>Table</w:t>
      </w:r>
      <w:r w:rsidR="003B737B">
        <w:rPr>
          <w:lang w:val="en-US"/>
        </w:rPr>
        <w:t xml:space="preserve"> </w:t>
      </w:r>
      <w:r w:rsidR="003B737B" w:rsidRPr="003B737B">
        <w:rPr>
          <w:lang w:val="en-US"/>
        </w:rPr>
        <w:t>1</w:t>
      </w:r>
      <w:r w:rsidR="0028560A">
        <w:rPr>
          <w:lang w:val="en-US"/>
        </w:rPr>
        <w:fldChar w:fldCharType="end"/>
      </w:r>
      <w:r w:rsidR="003B737B">
        <w:rPr>
          <w:lang w:val="en-US"/>
        </w:rPr>
        <w:t xml:space="preserve"> </w:t>
      </w:r>
      <w:r w:rsidRPr="003B737B">
        <w:rPr>
          <w:lang w:val="en-US"/>
        </w:rPr>
        <w:t>below summarizes some of the most popular SSO protocols and their brief descriptions.</w:t>
      </w:r>
    </w:p>
    <w:p w:rsidR="00F355E8" w:rsidRPr="003B737B" w:rsidRDefault="004F75D9">
      <w:pPr>
        <w:pStyle w:val="-1"/>
        <w:rPr>
          <w:lang w:val="en-US"/>
        </w:rPr>
      </w:pPr>
      <w:bookmarkStart w:id="30" w:name="_Ref164937205"/>
      <w:r w:rsidRPr="003B737B">
        <w:rPr>
          <w:lang w:val="en-US"/>
        </w:rPr>
        <w:lastRenderedPageBreak/>
        <w:t>Table</w:t>
      </w:r>
      <w:bookmarkStart w:id="31" w:name="_Ref98171327"/>
      <w:r w:rsidR="003B737B">
        <w:rPr>
          <w:lang w:val="en-US"/>
        </w:rPr>
        <w:t xml:space="preserve"> </w:t>
      </w:r>
      <w:r w:rsidR="0028560A">
        <w:fldChar w:fldCharType="begin"/>
      </w:r>
      <w:r w:rsidRPr="003B737B">
        <w:rPr>
          <w:lang w:val="en-US"/>
        </w:rPr>
        <w:instrText xml:space="preserve">SEQ </w:instrText>
      </w:r>
      <w:r>
        <w:instrText>Таблица</w:instrText>
      </w:r>
      <w:r w:rsidRPr="003B737B">
        <w:rPr>
          <w:lang w:val="en-US"/>
        </w:rPr>
        <w:instrText xml:space="preserve"> \* ARABIC</w:instrText>
      </w:r>
      <w:r w:rsidR="0028560A">
        <w:fldChar w:fldCharType="separate"/>
      </w:r>
      <w:r w:rsidRPr="003B737B">
        <w:rPr>
          <w:lang w:val="en-US"/>
        </w:rPr>
        <w:t>1</w:t>
      </w:r>
      <w:r w:rsidR="0028560A">
        <w:fldChar w:fldCharType="end"/>
      </w:r>
      <w:bookmarkEnd w:id="30"/>
      <w:bookmarkEnd w:id="31"/>
      <w:r w:rsidRPr="003B737B">
        <w:rPr>
          <w:lang w:val="en-US"/>
        </w:rPr>
        <w:t> – Comparison of Common Single Sign-On (SSO) Protocols</w:t>
      </w:r>
    </w:p>
    <w:tbl>
      <w:tblPr>
        <w:tblW w:w="9356" w:type="dxa"/>
        <w:tblInd w:w="103" w:type="dxa"/>
        <w:tblLook w:val="04A0"/>
      </w:tblPr>
      <w:tblGrid>
        <w:gridCol w:w="3118"/>
        <w:gridCol w:w="3119"/>
        <w:gridCol w:w="3119"/>
      </w:tblGrid>
      <w:tr w:rsidR="00F355E8">
        <w:tc>
          <w:tcPr>
            <w:tcW w:w="3118" w:type="dxa"/>
            <w:tcBorders>
              <w:top w:val="single" w:sz="4" w:space="0" w:color="000000"/>
              <w:left w:val="single" w:sz="4" w:space="0" w:color="000000"/>
              <w:bottom w:val="single" w:sz="4" w:space="0" w:color="000000"/>
              <w:right w:val="single" w:sz="4" w:space="0" w:color="000000"/>
            </w:tcBorders>
          </w:tcPr>
          <w:p w:rsidR="00F355E8" w:rsidRDefault="004F75D9">
            <w:pPr>
              <w:pStyle w:val="-3"/>
            </w:pPr>
            <w:r>
              <w:t>Protocol</w:t>
            </w:r>
          </w:p>
        </w:tc>
        <w:tc>
          <w:tcPr>
            <w:tcW w:w="3119" w:type="dxa"/>
            <w:tcBorders>
              <w:top w:val="single" w:sz="4" w:space="0" w:color="000000"/>
              <w:left w:val="single" w:sz="4" w:space="0" w:color="000000"/>
              <w:bottom w:val="single" w:sz="4" w:space="0" w:color="000000"/>
              <w:right w:val="single" w:sz="4" w:space="0" w:color="000000"/>
            </w:tcBorders>
          </w:tcPr>
          <w:p w:rsidR="00F355E8" w:rsidRDefault="004F75D9">
            <w:pPr>
              <w:pStyle w:val="-3"/>
            </w:pPr>
            <w:r>
              <w:t>Description</w:t>
            </w:r>
          </w:p>
        </w:tc>
        <w:tc>
          <w:tcPr>
            <w:tcW w:w="3119" w:type="dxa"/>
            <w:tcBorders>
              <w:top w:val="single" w:sz="4" w:space="0" w:color="000000"/>
              <w:left w:val="single" w:sz="4" w:space="0" w:color="000000"/>
              <w:bottom w:val="single" w:sz="4" w:space="0" w:color="000000"/>
              <w:right w:val="single" w:sz="4" w:space="0" w:color="000000"/>
            </w:tcBorders>
          </w:tcPr>
          <w:p w:rsidR="00F355E8" w:rsidRDefault="004F75D9">
            <w:pPr>
              <w:pStyle w:val="-3"/>
            </w:pPr>
            <w:r>
              <w:t>Use cases</w:t>
            </w:r>
          </w:p>
        </w:tc>
      </w:tr>
      <w:tr w:rsidR="00F355E8" w:rsidRPr="009549B9">
        <w:tc>
          <w:tcPr>
            <w:tcW w:w="3118" w:type="dxa"/>
            <w:tcBorders>
              <w:top w:val="single" w:sz="4" w:space="0" w:color="000000"/>
              <w:left w:val="single" w:sz="4" w:space="0" w:color="000000"/>
              <w:bottom w:val="single" w:sz="4" w:space="0" w:color="000000"/>
              <w:right w:val="single" w:sz="4" w:space="0" w:color="000000"/>
            </w:tcBorders>
          </w:tcPr>
          <w:p w:rsidR="00F355E8" w:rsidRDefault="004F75D9">
            <w:pPr>
              <w:pStyle w:val="-3"/>
            </w:pPr>
            <w:r>
              <w:t>SAML 2.0.</w:t>
            </w:r>
          </w:p>
        </w:tc>
        <w:tc>
          <w:tcPr>
            <w:tcW w:w="3119" w:type="dxa"/>
            <w:tcBorders>
              <w:top w:val="single" w:sz="4" w:space="0" w:color="000000"/>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Standard SSO protocol that uses XML for data exchange between service providers and identity providers.</w:t>
            </w:r>
          </w:p>
        </w:tc>
        <w:tc>
          <w:tcPr>
            <w:tcW w:w="3119" w:type="dxa"/>
            <w:tcBorders>
              <w:top w:val="single" w:sz="4" w:space="0" w:color="000000"/>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Enterprise SSO, cloud-based applications, web-based a</w:t>
            </w:r>
            <w:r w:rsidRPr="003B737B">
              <w:rPr>
                <w:lang w:val="en-US"/>
              </w:rPr>
              <w:t>p</w:t>
            </w:r>
            <w:r w:rsidRPr="003B737B">
              <w:rPr>
                <w:lang w:val="en-US"/>
              </w:rPr>
              <w:t>plications, and mobile appl</w:t>
            </w:r>
            <w:r w:rsidRPr="003B737B">
              <w:rPr>
                <w:lang w:val="en-US"/>
              </w:rPr>
              <w:t>i</w:t>
            </w:r>
            <w:r w:rsidRPr="003B737B">
              <w:rPr>
                <w:lang w:val="en-US"/>
              </w:rPr>
              <w:t>cations.</w:t>
            </w:r>
          </w:p>
        </w:tc>
      </w:tr>
      <w:tr w:rsidR="00F355E8" w:rsidRPr="009549B9">
        <w:tc>
          <w:tcPr>
            <w:tcW w:w="3118" w:type="dxa"/>
            <w:tcBorders>
              <w:top w:val="single" w:sz="4" w:space="0" w:color="000000"/>
              <w:left w:val="single" w:sz="4" w:space="0" w:color="000000"/>
              <w:bottom w:val="single" w:sz="4" w:space="0" w:color="000000"/>
              <w:right w:val="single" w:sz="4" w:space="0" w:color="000000"/>
            </w:tcBorders>
          </w:tcPr>
          <w:p w:rsidR="00F355E8" w:rsidRDefault="004F75D9">
            <w:pPr>
              <w:pStyle w:val="-3"/>
            </w:pPr>
            <w:r>
              <w:t>OAuth 2.0.</w:t>
            </w:r>
          </w:p>
        </w:tc>
        <w:tc>
          <w:tcPr>
            <w:tcW w:w="3119" w:type="dxa"/>
            <w:tcBorders>
              <w:top w:val="single" w:sz="4" w:space="0" w:color="000000"/>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Authorization protocol that allows users to grant access to their data without sharing their password.</w:t>
            </w:r>
          </w:p>
        </w:tc>
        <w:tc>
          <w:tcPr>
            <w:tcW w:w="3119" w:type="dxa"/>
            <w:tcBorders>
              <w:top w:val="single" w:sz="4" w:space="0" w:color="000000"/>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Social media logins, third-party app access, and API authentication.</w:t>
            </w:r>
          </w:p>
        </w:tc>
      </w:tr>
      <w:tr w:rsidR="00F355E8" w:rsidRPr="009549B9">
        <w:tc>
          <w:tcPr>
            <w:tcW w:w="3118" w:type="dxa"/>
            <w:tcBorders>
              <w:left w:val="single" w:sz="4" w:space="0" w:color="000000"/>
              <w:bottom w:val="single" w:sz="4" w:space="0" w:color="000000"/>
              <w:right w:val="single" w:sz="4" w:space="0" w:color="000000"/>
            </w:tcBorders>
          </w:tcPr>
          <w:p w:rsidR="00F355E8" w:rsidRDefault="004F75D9" w:rsidP="008D11D4">
            <w:pPr>
              <w:pStyle w:val="-3"/>
            </w:pPr>
            <w:r>
              <w:t>OpenID  Connect.</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SSO protocol based on OAuth 2.0 that adds user a</w:t>
            </w:r>
            <w:r w:rsidRPr="003B737B">
              <w:rPr>
                <w:lang w:val="en-US"/>
              </w:rPr>
              <w:t>u</w:t>
            </w:r>
            <w:r w:rsidRPr="003B737B">
              <w:rPr>
                <w:lang w:val="en-US"/>
              </w:rPr>
              <w:t>thentication capabilities.</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Web-based applications, m</w:t>
            </w:r>
            <w:r w:rsidRPr="003B737B">
              <w:rPr>
                <w:lang w:val="en-US"/>
              </w:rPr>
              <w:t>o</w:t>
            </w:r>
            <w:r w:rsidRPr="003B737B">
              <w:rPr>
                <w:lang w:val="en-US"/>
              </w:rPr>
              <w:t>bile applications, and ente</w:t>
            </w:r>
            <w:r w:rsidRPr="003B737B">
              <w:rPr>
                <w:lang w:val="en-US"/>
              </w:rPr>
              <w:t>r</w:t>
            </w:r>
            <w:r w:rsidRPr="003B737B">
              <w:rPr>
                <w:lang w:val="en-US"/>
              </w:rPr>
              <w:t>prise SSO.</w:t>
            </w:r>
          </w:p>
        </w:tc>
      </w:tr>
      <w:tr w:rsidR="00F355E8" w:rsidRPr="009549B9">
        <w:tc>
          <w:tcPr>
            <w:tcW w:w="3118" w:type="dxa"/>
            <w:tcBorders>
              <w:left w:val="single" w:sz="4" w:space="0" w:color="000000"/>
              <w:bottom w:val="single" w:sz="4" w:space="0" w:color="000000"/>
              <w:right w:val="single" w:sz="4" w:space="0" w:color="000000"/>
            </w:tcBorders>
          </w:tcPr>
          <w:p w:rsidR="00F355E8" w:rsidRDefault="004F75D9">
            <w:pPr>
              <w:pStyle w:val="-3"/>
            </w:pPr>
            <w:r>
              <w:t>WS-Federation.</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SSO protocol used in the Windows environment that allows users to access r</w:t>
            </w:r>
            <w:r w:rsidRPr="003B737B">
              <w:rPr>
                <w:lang w:val="en-US"/>
              </w:rPr>
              <w:t>e</w:t>
            </w:r>
            <w:r w:rsidRPr="003B737B">
              <w:rPr>
                <w:lang w:val="en-US"/>
              </w:rPr>
              <w:t>sources in different domains.</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Enterprise SSO, web-based applications, and legacy a</w:t>
            </w:r>
            <w:r w:rsidRPr="003B737B">
              <w:rPr>
                <w:lang w:val="en-US"/>
              </w:rPr>
              <w:t>p</w:t>
            </w:r>
            <w:r w:rsidRPr="003B737B">
              <w:rPr>
                <w:lang w:val="en-US"/>
              </w:rPr>
              <w:t>plications.</w:t>
            </w:r>
          </w:p>
        </w:tc>
      </w:tr>
      <w:tr w:rsidR="00F355E8" w:rsidRPr="009549B9">
        <w:tc>
          <w:tcPr>
            <w:tcW w:w="3118" w:type="dxa"/>
            <w:tcBorders>
              <w:left w:val="single" w:sz="4" w:space="0" w:color="000000"/>
              <w:bottom w:val="single" w:sz="4" w:space="0" w:color="000000"/>
              <w:right w:val="single" w:sz="4" w:space="0" w:color="000000"/>
            </w:tcBorders>
          </w:tcPr>
          <w:p w:rsidR="00F355E8" w:rsidRDefault="004F75D9">
            <w:pPr>
              <w:pStyle w:val="-3"/>
            </w:pPr>
            <w:r>
              <w:t>CAS</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SSO protocol used in the Java environment that allows users to access resources on diffe</w:t>
            </w:r>
            <w:r w:rsidRPr="003B737B">
              <w:rPr>
                <w:lang w:val="en-US"/>
              </w:rPr>
              <w:t>r</w:t>
            </w:r>
            <w:r w:rsidRPr="003B737B">
              <w:rPr>
                <w:lang w:val="en-US"/>
              </w:rPr>
              <w:t>ent servers.</w:t>
            </w:r>
          </w:p>
        </w:tc>
        <w:tc>
          <w:tcPr>
            <w:tcW w:w="3119" w:type="dxa"/>
            <w:tcBorders>
              <w:left w:val="single" w:sz="4" w:space="0" w:color="000000"/>
              <w:bottom w:val="single" w:sz="4" w:space="0" w:color="000000"/>
              <w:right w:val="single" w:sz="4" w:space="0" w:color="000000"/>
            </w:tcBorders>
          </w:tcPr>
          <w:p w:rsidR="00F355E8" w:rsidRPr="003B737B" w:rsidRDefault="004F75D9">
            <w:pPr>
              <w:pStyle w:val="-3"/>
              <w:rPr>
                <w:lang w:val="en-US"/>
              </w:rPr>
            </w:pPr>
            <w:r w:rsidRPr="003B737B">
              <w:rPr>
                <w:lang w:val="en-US"/>
              </w:rPr>
              <w:t>Web-based applications, e</w:t>
            </w:r>
            <w:r w:rsidRPr="003B737B">
              <w:rPr>
                <w:lang w:val="en-US"/>
              </w:rPr>
              <w:t>n</w:t>
            </w:r>
            <w:r w:rsidRPr="003B737B">
              <w:rPr>
                <w:lang w:val="en-US"/>
              </w:rPr>
              <w:t>terprise SSO, and cloud-based applications.</w:t>
            </w:r>
          </w:p>
        </w:tc>
      </w:tr>
    </w:tbl>
    <w:p w:rsidR="00F355E8" w:rsidRPr="003B737B" w:rsidRDefault="00F355E8">
      <w:pPr>
        <w:rPr>
          <w:lang w:val="en-US"/>
        </w:rPr>
      </w:pPr>
    </w:p>
    <w:p w:rsidR="00F355E8" w:rsidRPr="003B737B" w:rsidRDefault="004F75D9">
      <w:pPr>
        <w:rPr>
          <w:lang w:val="en-US"/>
        </w:rPr>
      </w:pPr>
      <w:r w:rsidRPr="003B737B">
        <w:rPr>
          <w:lang w:val="en-US"/>
        </w:rPr>
        <w:t>When selecting an SSO protocol, consider your organization's requirements for security, compatibility with existing systems, and usability for users.</w:t>
      </w:r>
    </w:p>
    <w:p w:rsidR="00F355E8" w:rsidRDefault="004F75D9">
      <w:pPr>
        <w:pStyle w:val="Heading2"/>
        <w:numPr>
          <w:ilvl w:val="1"/>
          <w:numId w:val="2"/>
        </w:numPr>
        <w:ind w:left="709" w:firstLine="0"/>
      </w:pPr>
      <w:bookmarkStart w:id="32" w:name="__RefHeading___Toc4775_3161154708"/>
      <w:bookmarkStart w:id="33" w:name="_Toc106101087"/>
      <w:bookmarkStart w:id="34" w:name="_Ref98174679"/>
      <w:bookmarkStart w:id="35" w:name="_Toc112337263"/>
      <w:bookmarkEnd w:id="32"/>
      <w:r>
        <w:t>C</w:t>
      </w:r>
      <w:bookmarkEnd w:id="33"/>
      <w:bookmarkEnd w:id="34"/>
      <w:bookmarkEnd w:id="35"/>
      <w:r>
        <w:t>onfidential channels</w:t>
      </w:r>
    </w:p>
    <w:p w:rsidR="00F355E8" w:rsidRPr="003B737B" w:rsidRDefault="004F75D9">
      <w:pPr>
        <w:ind w:firstLine="0"/>
        <w:rPr>
          <w:lang w:val="en-US"/>
        </w:rPr>
      </w:pPr>
      <w:r w:rsidRPr="003B737B">
        <w:rPr>
          <w:lang w:val="en-US"/>
        </w:rPr>
        <w:tab/>
      </w:r>
      <w:r>
        <w:rPr>
          <w:lang w:val="en-US"/>
        </w:rPr>
        <w:t>A channel provides confidentiality if its output is exclusively accessible to given receiver. In our model this amounts to requiring that in every state if a fact, then has exclusive access to the channel. Thus, the condition that channel is confidential to principal can be formalised by the following formulas:</w:t>
      </w:r>
    </w:p>
    <w:p w:rsidR="00F355E8" w:rsidRPr="009A7FE9" w:rsidRDefault="004F75D9" w:rsidP="009A7FE9">
      <w:pPr>
        <w:ind w:firstLine="0"/>
        <w:rPr>
          <w:lang w:val="en-US"/>
        </w:rPr>
      </w:pPr>
      <m:oMathPara>
        <m:oMath>
          <m:r>
            <w:rPr>
              <w:rFonts w:ascii="Cambria Math" w:hAnsi="Cambria Math"/>
            </w:rPr>
            <m:t>confidential</m:t>
          </m:r>
          <m:d>
            <m:dPr>
              <m:ctrlPr>
                <w:rPr>
                  <w:rFonts w:ascii="Cambria Math" w:hAnsi="Cambria Math"/>
                </w:rPr>
              </m:ctrlPr>
            </m:dPr>
            <m:e>
              <m:r>
                <w:rPr>
                  <w:rFonts w:ascii="Cambria Math" w:hAnsi="Cambria Math"/>
                </w:rPr>
                <m:t>c</m:t>
              </m:r>
              <m:r>
                <w:rPr>
                  <w:rFonts w:ascii="Cambria Math" w:hAnsi="Cambria Math"/>
                  <w:lang w:val="en-US"/>
                </w:rPr>
                <m:t>h,</m:t>
              </m:r>
              <m:r>
                <w:rPr>
                  <w:rFonts w:ascii="Cambria Math" w:hAnsi="Cambria Math"/>
                </w:rPr>
                <m:t>p</m:t>
              </m:r>
            </m:e>
          </m:d>
          <m:r>
            <w:rPr>
              <w:rFonts w:ascii="Cambria Math" w:hAnsi="Cambria Math"/>
              <w:lang w:val="en-US"/>
            </w:rPr>
            <m:t>≔</m:t>
          </m:r>
          <m:r>
            <w:rPr>
              <w:rFonts w:ascii="Cambria Math" w:hAnsi="Cambria Math"/>
            </w:rPr>
            <m:t>G</m:t>
          </m:r>
          <m:r>
            <w:rPr>
              <w:rFonts w:ascii="Cambria Math" w:hAnsi="Cambria Math"/>
              <w:lang w:val="en-US"/>
            </w:rPr>
            <m:t>∀</m:t>
          </m:r>
          <m:d>
            <m:dPr>
              <m:ctrlPr>
                <w:rPr>
                  <w:rFonts w:ascii="Cambria Math" w:hAnsi="Cambria Math"/>
                </w:rPr>
              </m:ctrlPr>
            </m:dPr>
            <m:e>
              <m:r>
                <w:rPr>
                  <w:rFonts w:ascii="Cambria Math" w:hAnsi="Cambria Math"/>
                </w:rPr>
                <m:t>rcvd</m:t>
              </m:r>
              <m:d>
                <m:dPr>
                  <m:ctrlPr>
                    <w:rPr>
                      <w:rFonts w:ascii="Cambria Math" w:hAnsi="Cambria Math"/>
                    </w:rPr>
                  </m:ctrlPr>
                </m:dPr>
                <m:e>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c</m:t>
                  </m:r>
                  <m:r>
                    <w:rPr>
                      <w:rFonts w:ascii="Cambria Math" w:hAnsi="Cambria Math"/>
                      <w:lang w:val="en-US"/>
                    </w:rPr>
                    <m:t>h</m:t>
                  </m:r>
                </m:e>
              </m:d>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p</m:t>
              </m:r>
            </m:e>
          </m:d>
          <m:r>
            <m:rPr>
              <m:sty m:val="p"/>
            </m:rPr>
            <w:rPr>
              <w:rFonts w:ascii="Cambria Math" w:hAnsi="Cambria Math"/>
            </w:rPr>
            <m:t>,</m:t>
          </m:r>
        </m:oMath>
      </m:oMathPara>
    </w:p>
    <w:p w:rsidR="00F355E8" w:rsidRPr="003B737B" w:rsidRDefault="004F75D9">
      <w:pPr>
        <w:pStyle w:val="af5"/>
        <w:rPr>
          <w:lang w:val="en-US"/>
        </w:rPr>
      </w:pPr>
      <w:r w:rsidRPr="003B737B">
        <w:rPr>
          <w:lang w:val="en-US"/>
        </w:rPr>
        <w:t>where </w:t>
      </w:r>
      <m:oMath>
        <m:r>
          <w:rPr>
            <w:rFonts w:ascii="Cambria Math" w:hAnsi="Cambria Math"/>
          </w:rPr>
          <m:t>c</m:t>
        </m:r>
        <m:r>
          <w:rPr>
            <w:rFonts w:ascii="Cambria Math" w:hAnsi="Cambria Math"/>
            <w:lang w:val="en-US"/>
          </w:rPr>
          <m:t>h</m:t>
        </m:r>
      </m:oMath>
      <w:r w:rsidRPr="003B737B">
        <w:rPr>
          <w:lang w:val="en-US"/>
        </w:rPr>
        <w:t xml:space="preserve"> – the communication channel under consideration;</w:t>
      </w:r>
    </w:p>
    <w:p w:rsidR="00F355E8" w:rsidRPr="003B737B" w:rsidRDefault="004F75D9">
      <w:pPr>
        <w:pStyle w:val="aff"/>
        <w:tabs>
          <w:tab w:val="right" w:pos="12049"/>
        </w:tabs>
        <w:rPr>
          <w:lang w:val="en-US"/>
        </w:rPr>
      </w:pPr>
      <m:oMath>
        <m:r>
          <w:rPr>
            <w:rFonts w:ascii="Cambria Math" w:hAnsi="Cambria Math"/>
          </w:rPr>
          <m:t>p</m:t>
        </m:r>
      </m:oMath>
      <w:r w:rsidRPr="003B737B">
        <w:rPr>
          <w:lang w:val="en-US"/>
        </w:rPr>
        <w:t xml:space="preserve"> – denotes the principal (receiver) for whom the channel is confidential;</w:t>
      </w:r>
    </w:p>
    <w:p w:rsidR="00F355E8" w:rsidRPr="003B737B" w:rsidRDefault="004F75D9">
      <w:pPr>
        <w:pStyle w:val="aff"/>
        <w:tabs>
          <w:tab w:val="right" w:pos="12049"/>
        </w:tabs>
        <w:rPr>
          <w:lang w:val="en-US"/>
        </w:rPr>
      </w:pPr>
      <m:oMath>
        <m:r>
          <w:rPr>
            <w:rFonts w:ascii="Cambria Math" w:hAnsi="Cambria Math"/>
          </w:rPr>
          <m:t>A</m:t>
        </m:r>
      </m:oMath>
      <w:r w:rsidRPr="003B737B">
        <w:rPr>
          <w:lang w:val="en-US"/>
        </w:rPr>
        <w:t xml:space="preserve"> – signifies the sender of a message;</w:t>
      </w:r>
    </w:p>
    <w:p w:rsidR="00F355E8" w:rsidRPr="003B737B" w:rsidRDefault="004F75D9">
      <w:pPr>
        <w:pStyle w:val="aff"/>
        <w:tabs>
          <w:tab w:val="right" w:pos="12049"/>
        </w:tabs>
        <w:rPr>
          <w:lang w:val="en-US"/>
        </w:rPr>
      </w:pPr>
      <m:oMath>
        <m:r>
          <w:rPr>
            <w:rFonts w:ascii="Cambria Math" w:hAnsi="Cambria Math"/>
          </w:rPr>
          <m:t>B</m:t>
        </m:r>
      </m:oMath>
      <w:r w:rsidRPr="003B737B">
        <w:rPr>
          <w:lang w:val="en-US"/>
        </w:rPr>
        <w:t xml:space="preserve"> – denotes the receiver of a message;</w:t>
      </w:r>
    </w:p>
    <w:p w:rsidR="00F355E8" w:rsidRPr="003B737B" w:rsidRDefault="004F75D9">
      <w:pPr>
        <w:pStyle w:val="aff"/>
        <w:tabs>
          <w:tab w:val="right" w:pos="12049"/>
        </w:tabs>
        <w:rPr>
          <w:lang w:val="en-US"/>
        </w:rPr>
      </w:pPr>
      <m:oMath>
        <m:r>
          <w:rPr>
            <w:rFonts w:ascii="Cambria Math" w:hAnsi="Cambria Math"/>
          </w:rPr>
          <m:t>M</m:t>
        </m:r>
      </m:oMath>
      <w:r w:rsidRPr="003B737B">
        <w:rPr>
          <w:lang w:val="en-US"/>
        </w:rPr>
        <w:t xml:space="preserve"> – represents the message being exchanged.</w:t>
      </w:r>
    </w:p>
    <w:p w:rsidR="00F355E8" w:rsidRPr="009A7FE9" w:rsidRDefault="004F75D9">
      <w:pPr>
        <w:rPr>
          <w:lang w:val="en-US"/>
        </w:rPr>
      </w:pPr>
      <m:oMathPara>
        <m:oMath>
          <m:r>
            <w:rPr>
              <w:rFonts w:ascii="Cambria Math" w:hAnsi="Cambria Math"/>
            </w:rPr>
            <m:t>stream</m:t>
          </m:r>
          <m:d>
            <m:dPr>
              <m:ctrlPr>
                <w:rPr>
                  <w:rFonts w:ascii="Cambria Math" w:hAnsi="Cambria Math"/>
                </w:rPr>
              </m:ctrlPr>
            </m:dPr>
            <m:e>
              <m:r>
                <w:rPr>
                  <w:rFonts w:ascii="Cambria Math" w:hAnsi="Cambria Math"/>
                </w:rPr>
                <m:t>a</m:t>
              </m:r>
              <m:r>
                <w:rPr>
                  <w:rFonts w:ascii="Cambria Math" w:hAnsi="Cambria Math"/>
                  <w:lang w:val="en-US"/>
                </w:rPr>
                <m:t>,</m:t>
              </m:r>
              <m:r>
                <w:rPr>
                  <w:rFonts w:ascii="Cambria Math" w:hAnsi="Cambria Math"/>
                </w:rPr>
                <m:t>m</m:t>
              </m:r>
            </m:e>
          </m:d>
          <m:r>
            <w:rPr>
              <w:rFonts w:ascii="Cambria Math" w:hAnsi="Cambria Math"/>
              <w:lang w:val="en-US"/>
            </w:rPr>
            <m:t>≔</m:t>
          </m:r>
          <m:r>
            <w:rPr>
              <w:rFonts w:ascii="Cambria Math" w:hAnsi="Cambria Math"/>
            </w:rPr>
            <m:t>G</m:t>
          </m:r>
          <m:r>
            <w:rPr>
              <w:rFonts w:ascii="Cambria Math" w:hAnsi="Cambria Math"/>
              <w:lang w:val="en-US"/>
            </w:rPr>
            <m:t>∀</m:t>
          </m:r>
          <m:d>
            <m:dPr>
              <m:ctrlPr>
                <w:rPr>
                  <w:rFonts w:ascii="Cambria Math" w:hAnsi="Cambria Math"/>
                </w:rPr>
              </m:ctrlPr>
            </m:dPr>
            <m:e>
              <m:r>
                <w:rPr>
                  <w:rFonts w:ascii="Cambria Math" w:hAnsi="Cambria Math"/>
                </w:rPr>
                <m:t>mention</m:t>
              </m:r>
              <m:d>
                <m:dPr>
                  <m:ctrlPr>
                    <w:rPr>
                      <w:rFonts w:ascii="Cambria Math" w:hAnsi="Cambria Math"/>
                    </w:rPr>
                  </m:ctrlPr>
                </m:dPr>
                <m:e>
                  <m:r>
                    <w:rPr>
                      <w:rFonts w:ascii="Cambria Math" w:hAnsi="Cambria Math"/>
                    </w:rPr>
                    <m:t>s</m:t>
                  </m:r>
                </m:e>
              </m:d>
              <m:r>
                <w:rPr>
                  <w:rFonts w:ascii="Cambria Math" w:hAnsi="Cambria Math"/>
                  <w:lang w:val="en-US"/>
                </w:rPr>
                <m:t>∧</m:t>
              </m:r>
              <m:r>
                <w:rPr>
                  <w:rFonts w:ascii="Cambria Math" w:hAnsi="Cambria Math"/>
                </w:rPr>
                <m:t>j</m:t>
              </m:r>
              <m:r>
                <w:rPr>
                  <w:rFonts w:ascii="Cambria Math" w:hAnsi="Cambria Math"/>
                  <w:lang w:val="en-US"/>
                </w:rPr>
                <m:t>2⇒</m:t>
              </m:r>
              <m:r>
                <w:rPr>
                  <w:rFonts w:ascii="Cambria Math" w:hAnsi="Cambria Math"/>
                </w:rPr>
                <m:t>A</m:t>
              </m:r>
              <m:r>
                <w:rPr>
                  <w:rFonts w:ascii="Cambria Math" w:hAnsi="Cambria Math"/>
                  <w:lang w:val="en-US"/>
                </w:rPr>
                <m:t>=</m:t>
              </m:r>
              <m:r>
                <w:rPr>
                  <w:rFonts w:ascii="Cambria Math" w:hAnsi="Cambria Math"/>
                </w:rPr>
                <m:t>p</m:t>
              </m:r>
            </m:e>
          </m:d>
          <m:r>
            <m:rPr>
              <m:sty m:val="p"/>
            </m:rPr>
            <w:rPr>
              <w:rFonts w:ascii="Cambria Math" w:hAnsi="Cambria Math"/>
            </w:rPr>
            <m:t>,</m:t>
          </m:r>
        </m:oMath>
      </m:oMathPara>
    </w:p>
    <w:p w:rsidR="00F355E8" w:rsidRPr="003B737B" w:rsidRDefault="004F75D9">
      <w:pPr>
        <w:pStyle w:val="af5"/>
        <w:rPr>
          <w:lang w:val="en-US"/>
        </w:rPr>
      </w:pPr>
      <w:r w:rsidRPr="003B737B">
        <w:rPr>
          <w:lang w:val="en-US"/>
        </w:rPr>
        <w:t>where </w:t>
      </w:r>
      <m:oMath>
        <m:r>
          <w:rPr>
            <w:rFonts w:ascii="Cambria Math" w:hAnsi="Cambria Math"/>
          </w:rPr>
          <m:t>b</m:t>
        </m:r>
      </m:oMath>
      <w:r w:rsidRPr="003B737B">
        <w:rPr>
          <w:lang w:val="en-US"/>
        </w:rPr>
        <w:t xml:space="preserve"> – receiver;</w:t>
      </w:r>
    </w:p>
    <w:p w:rsidR="00F355E8" w:rsidRPr="003B737B" w:rsidRDefault="004F75D9">
      <w:pPr>
        <w:pStyle w:val="aff"/>
        <w:rPr>
          <w:lang w:val="en-US"/>
        </w:rPr>
      </w:pPr>
      <m:oMath>
        <m:r>
          <w:rPr>
            <w:rFonts w:ascii="Cambria Math" w:hAnsi="Cambria Math"/>
          </w:rPr>
          <m:t>a</m:t>
        </m:r>
      </m:oMath>
      <w:r w:rsidRPr="003B737B">
        <w:rPr>
          <w:lang w:val="en-US"/>
        </w:rPr>
        <w:t xml:space="preserve"> – sender;</w:t>
      </w:r>
    </w:p>
    <w:p w:rsidR="00F355E8" w:rsidRPr="003B737B" w:rsidRDefault="004F75D9">
      <w:pPr>
        <w:pStyle w:val="aff"/>
        <w:rPr>
          <w:lang w:val="en-US"/>
        </w:rPr>
      </w:pPr>
      <m:oMath>
        <m:r>
          <w:rPr>
            <w:rFonts w:ascii="Cambria Math" w:hAnsi="Cambria Math"/>
          </w:rPr>
          <m:t>m</m:t>
        </m:r>
      </m:oMath>
      <w:r w:rsidRPr="003B737B">
        <w:rPr>
          <w:lang w:val="en-US"/>
        </w:rPr>
        <w:t xml:space="preserve"> – message;</w:t>
      </w:r>
    </w:p>
    <w:p w:rsidR="00F355E8" w:rsidRPr="003B737B" w:rsidRDefault="004F75D9">
      <w:pPr>
        <w:pStyle w:val="aff"/>
        <w:rPr>
          <w:lang w:val="en-US"/>
        </w:rPr>
      </w:pPr>
      <m:oMath>
        <m:r>
          <w:rPr>
            <w:rFonts w:ascii="Cambria Math" w:hAnsi="Cambria Math"/>
          </w:rPr>
          <m:t>s</m:t>
        </m:r>
      </m:oMath>
      <w:r w:rsidRPr="003B737B">
        <w:rPr>
          <w:lang w:val="en-US"/>
        </w:rPr>
        <w:t xml:space="preserve"> – signature;</w:t>
      </w:r>
    </w:p>
    <w:p w:rsidR="00F355E8" w:rsidRPr="003B737B" w:rsidRDefault="0028560A">
      <w:pPr>
        <w:pStyle w:val="aff"/>
        <w:rPr>
          <w:lang w:val="en-US"/>
        </w:rPr>
      </w:pPr>
      <m:oMath>
        <m:sSub>
          <m:sSubPr>
            <m:ctrlPr>
              <w:rPr>
                <w:rFonts w:ascii="Cambria Math" w:hAnsi="Cambria Math"/>
              </w:rPr>
            </m:ctrlPr>
          </m:sSubPr>
          <m:e>
            <m:r>
              <w:rPr>
                <w:rFonts w:ascii="Cambria Math" w:hAnsi="Cambria Math"/>
              </w:rPr>
              <m:t>j</m:t>
            </m:r>
          </m:e>
          <m:sub>
            <m:r>
              <w:rPr>
                <w:rFonts w:ascii="Cambria Math" w:hAnsi="Cambria Math"/>
                <w:lang w:val="en-US"/>
              </w:rPr>
              <m:t>2</m:t>
            </m:r>
          </m:sub>
        </m:sSub>
      </m:oMath>
      <w:r w:rsidR="004F75D9" w:rsidRPr="003B737B">
        <w:rPr>
          <w:lang w:val="en-US"/>
        </w:rPr>
        <w:t xml:space="preserve"> – denotes the transition of the system's state.</w:t>
      </w:r>
    </w:p>
    <w:p w:rsidR="00F355E8" w:rsidRPr="003B737B" w:rsidRDefault="004F75D9">
      <w:pPr>
        <w:rPr>
          <w:lang w:val="en-US"/>
        </w:rPr>
      </w:pPr>
      <w:r w:rsidRPr="003B737B">
        <w:rPr>
          <w:lang w:val="en-US"/>
        </w:rPr>
        <w:t xml:space="preserve">Formulas </w:t>
      </w:r>
      <w:r w:rsidR="0028560A">
        <w:rPr>
          <w:lang w:val="en-US"/>
        </w:rPr>
        <w:fldChar w:fldCharType="begin"/>
      </w:r>
      <w:r w:rsidR="003B737B">
        <w:rPr>
          <w:lang w:val="en-US"/>
        </w:rPr>
        <w:instrText xml:space="preserve"> REF _Ref981721754 \h </w:instrText>
      </w:r>
      <w:r w:rsidR="0028560A">
        <w:rPr>
          <w:lang w:val="en-US"/>
        </w:rPr>
      </w:r>
      <w:r w:rsidR="0028560A">
        <w:rPr>
          <w:lang w:val="en-US"/>
        </w:rPr>
        <w:fldChar w:fldCharType="separate"/>
      </w:r>
      <w:r w:rsidR="003B737B" w:rsidRPr="003B737B">
        <w:rPr>
          <w:lang w:val="en-US"/>
        </w:rPr>
        <w:t>(1)</w:t>
      </w:r>
      <w:r w:rsidR="0028560A">
        <w:rPr>
          <w:lang w:val="en-US"/>
        </w:rPr>
        <w:fldChar w:fldCharType="end"/>
      </w:r>
      <w:r w:rsidRPr="003B737B">
        <w:rPr>
          <w:lang w:val="en-US"/>
        </w:rPr>
        <w:t xml:space="preserve"> and </w:t>
      </w:r>
      <w:r w:rsidR="0028560A">
        <w:fldChar w:fldCharType="begin"/>
      </w:r>
      <w:r w:rsidR="003B737B">
        <w:rPr>
          <w:lang w:val="en-US"/>
        </w:rPr>
        <w:instrText xml:space="preserve"> REF _Ref9817217541 \h </w:instrText>
      </w:r>
      <w:r w:rsidR="0028560A">
        <w:fldChar w:fldCharType="separate"/>
      </w:r>
      <w:r w:rsidR="003B737B" w:rsidRPr="003B737B">
        <w:rPr>
          <w:lang w:val="en-US"/>
        </w:rPr>
        <w:t>(2)</w:t>
      </w:r>
      <w:r w:rsidR="0028560A">
        <w:fldChar w:fldCharType="end"/>
      </w:r>
      <w:r w:rsidRPr="003B737B">
        <w:rPr>
          <w:lang w:val="en-US"/>
        </w:rPr>
        <w:t xml:space="preserve"> can be used to formalize the security and reliability requirements of an SSO system. They can be used to verify that the SSO system complies with certain standards and requirements, as well as to identify possible vulnerabilities and errors in the authentication and authorization process.</w:t>
      </w:r>
    </w:p>
    <w:tbl>
      <w:tblPr>
        <w:tblW w:w="9354" w:type="dxa"/>
        <w:tblInd w:w="216" w:type="dxa"/>
        <w:tblLook w:val="04A0"/>
      </w:tblPr>
      <w:tblGrid>
        <w:gridCol w:w="8538"/>
        <w:gridCol w:w="816"/>
      </w:tblGrid>
      <w:tr w:rsidR="00F355E8">
        <w:tc>
          <w:tcPr>
            <w:tcW w:w="8538" w:type="dxa"/>
            <w:vAlign w:val="center"/>
          </w:tcPr>
          <w:p w:rsidR="00F355E8" w:rsidRDefault="004F75D9">
            <w:pPr>
              <w:widowControl w:val="0"/>
              <w:spacing w:before="240" w:after="240"/>
              <w:ind w:firstLine="0"/>
              <w:contextualSpacing/>
              <w:jc w:val="center"/>
            </w:pPr>
            <m:oMathPara>
              <m:oMath>
                <m:r>
                  <w:rPr>
                    <w:rFonts w:ascii="Cambria Math" w:hAnsi="Cambria Math"/>
                  </w:rPr>
                  <m:t>determinate</m:t>
                </m:r>
                <m:d>
                  <m:dPr>
                    <m:ctrlPr>
                      <w:rPr>
                        <w:rFonts w:ascii="Cambria Math" w:hAnsi="Cambria Math"/>
                      </w:rPr>
                    </m:ctrlPr>
                  </m:dPr>
                  <m:e>
                    <m:r>
                      <w:rPr>
                        <w:rFonts w:ascii="Cambria Math" w:hAnsi="Cambria Math"/>
                      </w:rPr>
                      <m:t>RS</m:t>
                    </m:r>
                  </m:e>
                </m:d>
                <m:r>
                  <w:rPr>
                    <w:rFonts w:ascii="Cambria Math" w:hAnsi="Cambria Math"/>
                  </w:rPr>
                  <m:t>≔G∀s</m:t>
                </m:r>
              </m:oMath>
            </m:oMathPara>
          </w:p>
        </w:tc>
        <w:tc>
          <w:tcPr>
            <w:tcW w:w="816" w:type="dxa"/>
            <w:vAlign w:val="center"/>
          </w:tcPr>
          <w:p w:rsidR="00F355E8" w:rsidRDefault="004F75D9">
            <w:pPr>
              <w:pStyle w:val="-3"/>
            </w:pPr>
            <w:bookmarkStart w:id="36" w:name="_Ref164936970"/>
            <w:bookmarkStart w:id="37" w:name="_Ref981721754"/>
            <w:r>
              <w:t>(</w:t>
            </w:r>
            <w:r w:rsidR="0028560A">
              <w:fldChar w:fldCharType="begin"/>
            </w:r>
            <w:r>
              <w:instrText>SEQ Формула \* ARABIC</w:instrText>
            </w:r>
            <w:r w:rsidR="0028560A">
              <w:fldChar w:fldCharType="separate"/>
            </w:r>
            <w:r>
              <w:t>1</w:t>
            </w:r>
            <w:r w:rsidR="0028560A">
              <w:fldChar w:fldCharType="end"/>
            </w:r>
            <w:bookmarkEnd w:id="36"/>
            <w:r>
              <w:t>)</w:t>
            </w:r>
            <w:bookmarkEnd w:id="37"/>
          </w:p>
        </w:tc>
      </w:tr>
      <w:tr w:rsidR="00F355E8">
        <w:tc>
          <w:tcPr>
            <w:tcW w:w="8538" w:type="dxa"/>
            <w:vAlign w:val="center"/>
          </w:tcPr>
          <w:p w:rsidR="00F355E8" w:rsidRDefault="004F75D9">
            <w:pPr>
              <w:pStyle w:val="af3"/>
              <w:rPr>
                <w:i/>
                <w:lang w:val="en-US"/>
              </w:rPr>
            </w:pPr>
            <m:oMathPara>
              <m:oMath>
                <w:bookmarkEnd w:id="0"/>
                <w:bookmarkEnd w:id="1"/>
                <w:bookmarkEnd w:id="2"/>
                <w:bookmarkEnd w:id="3"/>
                <w:bookmarkEnd w:id="4"/>
                <w:bookmarkEnd w:id="5"/>
                <w:bookmarkEnd w:id="6"/>
                <w:bookmarkEnd w:id="14"/>
                <m:r>
                  <w:rPr>
                    <w:rFonts w:ascii="Cambria Math" w:hAnsi="Cambria Math"/>
                  </w:rPr>
                  <m:t>authentication</m:t>
                </m:r>
                <m:d>
                  <m:dPr>
                    <m:ctrlPr>
                      <w:rPr>
                        <w:rFonts w:ascii="Cambria Math" w:hAnsi="Cambria Math"/>
                      </w:rPr>
                    </m:ctrlPr>
                  </m:dPr>
                  <m:e>
                    <m:r>
                      <w:rPr>
                        <w:rFonts w:ascii="Cambria Math" w:hAnsi="Cambria Math"/>
                      </w:rPr>
                      <m:t>RS0,A0,B0,M0</m:t>
                    </m:r>
                  </m:e>
                </m:d>
                <m:r>
                  <w:rPr>
                    <w:rFonts w:ascii="Cambria Math" w:hAnsi="Cambria Math"/>
                  </w:rPr>
                  <m:t>≔G∀</m:t>
                </m:r>
                <m:d>
                  <m:dPr>
                    <m:ctrlPr>
                      <w:rPr>
                        <w:rFonts w:ascii="Cambria Math" w:hAnsi="Cambria Math"/>
                      </w:rPr>
                    </m:ctrlPr>
                  </m:dPr>
                  <m:e>
                    <m:r>
                      <w:rPr>
                        <w:rFonts w:ascii="Cambria Math" w:hAnsi="Cambria Math"/>
                      </w:rPr>
                      <m:t>M</m:t>
                    </m:r>
                  </m:e>
                </m:d>
              </m:oMath>
            </m:oMathPara>
          </w:p>
        </w:tc>
        <w:tc>
          <w:tcPr>
            <w:tcW w:w="816" w:type="dxa"/>
            <w:vAlign w:val="center"/>
          </w:tcPr>
          <w:p w:rsidR="00F355E8" w:rsidRDefault="004F75D9">
            <w:pPr>
              <w:pStyle w:val="-3"/>
            </w:pPr>
            <w:bookmarkStart w:id="38" w:name="_Ref9817217541"/>
            <w:r>
              <w:t>(</w:t>
            </w:r>
            <w:r w:rsidR="0028560A">
              <w:fldChar w:fldCharType="begin"/>
            </w:r>
            <w:r>
              <w:instrText>SEQ Формула \* ARABIC</w:instrText>
            </w:r>
            <w:r w:rsidR="0028560A">
              <w:fldChar w:fldCharType="separate"/>
            </w:r>
            <w:r>
              <w:t>2</w:t>
            </w:r>
            <w:r w:rsidR="0028560A">
              <w:fldChar w:fldCharType="end"/>
            </w:r>
            <w:r>
              <w:t>)</w:t>
            </w:r>
            <w:bookmarkEnd w:id="38"/>
          </w:p>
        </w:tc>
      </w:tr>
    </w:tbl>
    <w:p w:rsidR="00F355E8" w:rsidRPr="009A7FE9" w:rsidRDefault="00F355E8" w:rsidP="009A7FE9">
      <w:pPr>
        <w:ind w:firstLine="0"/>
      </w:pPr>
    </w:p>
    <w:sectPr w:rsidR="00F355E8" w:rsidRPr="009A7FE9" w:rsidSect="00F355E8">
      <w:footerReference w:type="default" r:id="rId9"/>
      <w:footerReference w:type="first" r:id="rId10"/>
      <w:pgSz w:w="11906" w:h="16838"/>
      <w:pgMar w:top="1134" w:right="851" w:bottom="1134" w:left="1701" w:header="0" w:footer="709"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529" w:rsidRDefault="00055529" w:rsidP="00F355E8">
      <w:pPr>
        <w:spacing w:line="240" w:lineRule="auto"/>
      </w:pPr>
      <w:r>
        <w:separator/>
      </w:r>
    </w:p>
  </w:endnote>
  <w:endnote w:type="continuationSeparator" w:id="1">
    <w:p w:rsidR="00055529" w:rsidRDefault="00055529" w:rsidP="00F355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5E8" w:rsidRDefault="0028560A">
    <w:pPr>
      <w:pStyle w:val="Footer"/>
      <w:jc w:val="center"/>
    </w:pPr>
    <w:r>
      <w:fldChar w:fldCharType="begin"/>
    </w:r>
    <w:r w:rsidR="004F75D9">
      <w:instrText>PAGE</w:instrText>
    </w:r>
    <w:r>
      <w:fldChar w:fldCharType="separate"/>
    </w:r>
    <w:r w:rsidR="00894F4B">
      <w:rPr>
        <w:noProof/>
      </w:rPr>
      <w:t>3</w:t>
    </w:r>
    <w:r>
      <w:fldChar w:fldCharType="end"/>
    </w:r>
  </w:p>
  <w:p w:rsidR="00F355E8" w:rsidRDefault="00F355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5E8" w:rsidRDefault="00F355E8">
    <w:pPr>
      <w:pStyle w:val="Footer"/>
      <w:jc w:val="center"/>
    </w:pPr>
  </w:p>
  <w:p w:rsidR="00F355E8" w:rsidRDefault="00F355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529" w:rsidRDefault="00055529" w:rsidP="00F355E8">
      <w:pPr>
        <w:spacing w:line="240" w:lineRule="auto"/>
      </w:pPr>
      <w:r>
        <w:separator/>
      </w:r>
    </w:p>
  </w:footnote>
  <w:footnote w:type="continuationSeparator" w:id="1">
    <w:p w:rsidR="00055529" w:rsidRDefault="00055529" w:rsidP="00F355E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67F16"/>
    <w:multiLevelType w:val="multilevel"/>
    <w:tmpl w:val="A7A61DA4"/>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nsid w:val="3A2B3BA1"/>
    <w:multiLevelType w:val="multilevel"/>
    <w:tmpl w:val="4BEC0F52"/>
    <w:lvl w:ilvl="0">
      <w:start w:val="1"/>
      <w:numFmt w:val="decimal"/>
      <w:lvlText w:val="%1)"/>
      <w:lvlJc w:val="left"/>
      <w:pPr>
        <w:tabs>
          <w:tab w:val="num" w:pos="992"/>
        </w:tabs>
        <w:ind w:left="0" w:firstLine="709"/>
      </w:pPr>
    </w:lvl>
    <w:lvl w:ilvl="1">
      <w:start w:val="1"/>
      <w:numFmt w:val="lowerLetter"/>
      <w:lvlText w:val="%1.%2"/>
      <w:lvlJc w:val="left"/>
      <w:pPr>
        <w:tabs>
          <w:tab w:val="num" w:pos="0"/>
        </w:tabs>
        <w:ind w:left="1440" w:hanging="360"/>
      </w:pPr>
      <w:rPr>
        <w:rFonts w:cs="Courier New"/>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rPr>
        <w:rFonts w:cs="Courier New"/>
      </w:r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rPr>
        <w:rFonts w:cs="Courier New"/>
      </w:rPr>
    </w:lvl>
    <w:lvl w:ilvl="8">
      <w:start w:val="1"/>
      <w:numFmt w:val="lowerRoman"/>
      <w:lvlText w:val="%8.%9"/>
      <w:lvlJc w:val="right"/>
      <w:pPr>
        <w:tabs>
          <w:tab w:val="num" w:pos="0"/>
        </w:tabs>
        <w:ind w:left="6480" w:hanging="180"/>
      </w:pPr>
    </w:lvl>
  </w:abstractNum>
  <w:abstractNum w:abstractNumId="2">
    <w:nsid w:val="444F5A64"/>
    <w:multiLevelType w:val="multilevel"/>
    <w:tmpl w:val="EC7E4D2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7A0606F9"/>
    <w:multiLevelType w:val="multilevel"/>
    <w:tmpl w:val="D15AFC9C"/>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1.%2.%3.%4.%6"/>
      <w:lvlJc w:val="left"/>
      <w:pPr>
        <w:tabs>
          <w:tab w:val="num" w:pos="0"/>
        </w:tabs>
        <w:ind w:left="1152" w:hanging="1152"/>
      </w:pPr>
    </w:lvl>
    <w:lvl w:ilvl="6">
      <w:start w:val="1"/>
      <w:numFmt w:val="decimal"/>
      <w:pStyle w:val="Heading7"/>
      <w:lvlText w:val="%1.%2.%3.%4.%6.%7"/>
      <w:lvlJc w:val="left"/>
      <w:pPr>
        <w:tabs>
          <w:tab w:val="num" w:pos="0"/>
        </w:tabs>
        <w:ind w:left="1296" w:hanging="1296"/>
      </w:pPr>
    </w:lvl>
    <w:lvl w:ilvl="7">
      <w:start w:val="1"/>
      <w:numFmt w:val="decimal"/>
      <w:pStyle w:val="Heading8"/>
      <w:lvlText w:val="%1.%2.%3.%4.%6.%7.%8"/>
      <w:lvlJc w:val="left"/>
      <w:pPr>
        <w:tabs>
          <w:tab w:val="num" w:pos="0"/>
        </w:tabs>
        <w:ind w:left="1440" w:hanging="1440"/>
      </w:pPr>
    </w:lvl>
    <w:lvl w:ilvl="8">
      <w:start w:val="1"/>
      <w:numFmt w:val="decimal"/>
      <w:pStyle w:val="Heading9"/>
      <w:lvlText w:val="%1.%2.%3.%4.%6.%7.%8.%9"/>
      <w:lvlJc w:val="left"/>
      <w:pPr>
        <w:tabs>
          <w:tab w:val="num" w:pos="0"/>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F355E8"/>
    <w:rsid w:val="00055529"/>
    <w:rsid w:val="001804E5"/>
    <w:rsid w:val="0028560A"/>
    <w:rsid w:val="003B737B"/>
    <w:rsid w:val="004F75D9"/>
    <w:rsid w:val="005B1598"/>
    <w:rsid w:val="00894F4B"/>
    <w:rsid w:val="008D11D4"/>
    <w:rsid w:val="009549B9"/>
    <w:rsid w:val="009A7FE9"/>
    <w:rsid w:val="00F355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5E8"/>
    <w:pPr>
      <w:suppressAutoHyphens w:val="0"/>
      <w:spacing w:line="360" w:lineRule="auto"/>
      <w:ind w:firstLine="709"/>
      <w:jc w:val="both"/>
    </w:pPr>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355E8"/>
    <w:pPr>
      <w:pageBreakBefore/>
      <w:numPr>
        <w:numId w:val="1"/>
      </w:numPr>
      <w:tabs>
        <w:tab w:val="left" w:pos="993"/>
      </w:tabs>
      <w:suppressAutoHyphens/>
      <w:spacing w:after="360"/>
      <w:ind w:left="709" w:firstLine="0"/>
      <w:contextualSpacing/>
      <w:jc w:val="left"/>
      <w:outlineLvl w:val="0"/>
    </w:pPr>
    <w:rPr>
      <w:szCs w:val="28"/>
    </w:rPr>
  </w:style>
  <w:style w:type="paragraph" w:customStyle="1" w:styleId="Heading2">
    <w:name w:val="Heading 2"/>
    <w:basedOn w:val="a"/>
    <w:next w:val="a"/>
    <w:qFormat/>
    <w:rsid w:val="00F355E8"/>
    <w:pPr>
      <w:keepNext/>
      <w:keepLines/>
      <w:widowControl w:val="0"/>
      <w:numPr>
        <w:ilvl w:val="1"/>
        <w:numId w:val="1"/>
      </w:numPr>
      <w:tabs>
        <w:tab w:val="left" w:pos="1134"/>
      </w:tabs>
      <w:suppressAutoHyphens/>
      <w:spacing w:before="340" w:after="220"/>
      <w:ind w:left="709" w:firstLine="0"/>
      <w:contextualSpacing/>
      <w:outlineLvl w:val="1"/>
    </w:pPr>
  </w:style>
  <w:style w:type="paragraph" w:customStyle="1" w:styleId="Heading3">
    <w:name w:val="Heading 3"/>
    <w:basedOn w:val="a"/>
    <w:next w:val="a"/>
    <w:qFormat/>
    <w:rsid w:val="00F355E8"/>
    <w:pPr>
      <w:keepNext/>
      <w:numPr>
        <w:ilvl w:val="2"/>
        <w:numId w:val="1"/>
      </w:numPr>
      <w:tabs>
        <w:tab w:val="left" w:pos="1276"/>
      </w:tabs>
      <w:spacing w:before="120" w:after="120"/>
      <w:ind w:left="709" w:firstLine="0"/>
      <w:outlineLvl w:val="2"/>
    </w:pPr>
  </w:style>
  <w:style w:type="paragraph" w:customStyle="1" w:styleId="Heading4">
    <w:name w:val="Heading 4"/>
    <w:basedOn w:val="a"/>
    <w:next w:val="a"/>
    <w:qFormat/>
    <w:rsid w:val="00F355E8"/>
    <w:pPr>
      <w:keepNext/>
      <w:widowControl w:val="0"/>
      <w:numPr>
        <w:ilvl w:val="3"/>
        <w:numId w:val="1"/>
      </w:numPr>
      <w:tabs>
        <w:tab w:val="left" w:pos="1418"/>
      </w:tabs>
      <w:spacing w:before="240" w:after="120"/>
      <w:ind w:left="709" w:firstLine="0"/>
      <w:jc w:val="left"/>
      <w:outlineLvl w:val="3"/>
    </w:pPr>
  </w:style>
  <w:style w:type="paragraph" w:customStyle="1" w:styleId="Heading5">
    <w:name w:val="Heading 5"/>
    <w:basedOn w:val="a"/>
    <w:next w:val="a"/>
    <w:qFormat/>
    <w:rsid w:val="00F355E8"/>
    <w:pPr>
      <w:keepNext/>
      <w:spacing w:before="180" w:after="60"/>
      <w:ind w:firstLine="0"/>
      <w:jc w:val="left"/>
      <w:outlineLvl w:val="4"/>
    </w:pPr>
    <w:rPr>
      <w:rFonts w:cs="Arial"/>
      <w:u w:val="single"/>
    </w:rPr>
  </w:style>
  <w:style w:type="paragraph" w:customStyle="1" w:styleId="Heading6">
    <w:name w:val="Heading 6"/>
    <w:basedOn w:val="a"/>
    <w:next w:val="a"/>
    <w:qFormat/>
    <w:rsid w:val="00F355E8"/>
    <w:pPr>
      <w:numPr>
        <w:ilvl w:val="5"/>
        <w:numId w:val="1"/>
      </w:numPr>
      <w:spacing w:before="240" w:after="60"/>
      <w:outlineLvl w:val="5"/>
    </w:pPr>
    <w:rPr>
      <w:rFonts w:ascii="Arial" w:hAnsi="Arial"/>
      <w:i/>
      <w:sz w:val="22"/>
    </w:rPr>
  </w:style>
  <w:style w:type="paragraph" w:customStyle="1" w:styleId="Heading7">
    <w:name w:val="Heading 7"/>
    <w:basedOn w:val="a"/>
    <w:next w:val="a"/>
    <w:qFormat/>
    <w:rsid w:val="00F355E8"/>
    <w:pPr>
      <w:numPr>
        <w:ilvl w:val="6"/>
        <w:numId w:val="1"/>
      </w:numPr>
      <w:spacing w:before="240" w:after="60"/>
      <w:outlineLvl w:val="6"/>
    </w:pPr>
    <w:rPr>
      <w:rFonts w:ascii="Arial" w:hAnsi="Arial"/>
      <w:sz w:val="20"/>
    </w:rPr>
  </w:style>
  <w:style w:type="paragraph" w:customStyle="1" w:styleId="Heading8">
    <w:name w:val="Heading 8"/>
    <w:basedOn w:val="a"/>
    <w:next w:val="a"/>
    <w:qFormat/>
    <w:rsid w:val="00F355E8"/>
    <w:pPr>
      <w:numPr>
        <w:ilvl w:val="7"/>
        <w:numId w:val="1"/>
      </w:numPr>
      <w:spacing w:before="240" w:after="60"/>
      <w:outlineLvl w:val="7"/>
    </w:pPr>
    <w:rPr>
      <w:rFonts w:ascii="Arial" w:hAnsi="Arial"/>
      <w:i/>
      <w:sz w:val="20"/>
    </w:rPr>
  </w:style>
  <w:style w:type="paragraph" w:customStyle="1" w:styleId="Heading9">
    <w:name w:val="Heading 9"/>
    <w:basedOn w:val="a"/>
    <w:next w:val="a"/>
    <w:qFormat/>
    <w:rsid w:val="00F355E8"/>
    <w:pPr>
      <w:numPr>
        <w:ilvl w:val="8"/>
        <w:numId w:val="1"/>
      </w:numPr>
      <w:spacing w:after="360"/>
      <w:jc w:val="center"/>
      <w:outlineLvl w:val="8"/>
    </w:pPr>
    <w:rPr>
      <w:b/>
      <w:caps/>
      <w:sz w:val="28"/>
    </w:rPr>
  </w:style>
  <w:style w:type="character" w:customStyle="1" w:styleId="1">
    <w:name w:val="Заголовок 1 Знак"/>
    <w:basedOn w:val="a0"/>
    <w:qFormat/>
    <w:rsid w:val="00F355E8"/>
    <w:rPr>
      <w:rFonts w:ascii="Times New Roman" w:eastAsia="Times New Roman" w:hAnsi="Times New Roman"/>
      <w:sz w:val="24"/>
      <w:szCs w:val="28"/>
    </w:rPr>
  </w:style>
  <w:style w:type="character" w:customStyle="1" w:styleId="2">
    <w:name w:val="Заголовок 2 Знак"/>
    <w:basedOn w:val="a0"/>
    <w:qFormat/>
    <w:rsid w:val="00F355E8"/>
    <w:rPr>
      <w:rFonts w:ascii="Times New Roman" w:eastAsia="Times New Roman" w:hAnsi="Times New Roman"/>
      <w:sz w:val="24"/>
      <w:szCs w:val="24"/>
    </w:rPr>
  </w:style>
  <w:style w:type="character" w:customStyle="1" w:styleId="3">
    <w:name w:val="Заголовок 3 Знак"/>
    <w:basedOn w:val="a0"/>
    <w:qFormat/>
    <w:rsid w:val="00F355E8"/>
    <w:rPr>
      <w:rFonts w:ascii="Times New Roman" w:eastAsia="Times New Roman" w:hAnsi="Times New Roman"/>
      <w:sz w:val="24"/>
      <w:szCs w:val="24"/>
    </w:rPr>
  </w:style>
  <w:style w:type="character" w:customStyle="1" w:styleId="4">
    <w:name w:val="Заголовок 4 Знак"/>
    <w:basedOn w:val="a0"/>
    <w:qFormat/>
    <w:rsid w:val="00F355E8"/>
    <w:rPr>
      <w:rFonts w:ascii="Times New Roman" w:eastAsia="Times New Roman" w:hAnsi="Times New Roman"/>
      <w:sz w:val="24"/>
      <w:szCs w:val="24"/>
    </w:rPr>
  </w:style>
  <w:style w:type="character" w:customStyle="1" w:styleId="5">
    <w:name w:val="Заголовок 5 Знак"/>
    <w:basedOn w:val="a0"/>
    <w:qFormat/>
    <w:rsid w:val="00F355E8"/>
    <w:rPr>
      <w:rFonts w:ascii="Times New Roman" w:eastAsia="Times New Roman" w:hAnsi="Times New Roman" w:cs="Arial"/>
      <w:sz w:val="24"/>
      <w:szCs w:val="24"/>
      <w:u w:val="single"/>
    </w:rPr>
  </w:style>
  <w:style w:type="character" w:customStyle="1" w:styleId="6">
    <w:name w:val="Заголовок 6 Знак"/>
    <w:basedOn w:val="a0"/>
    <w:qFormat/>
    <w:rsid w:val="00F355E8"/>
    <w:rPr>
      <w:rFonts w:ascii="Arial" w:eastAsia="Times New Roman" w:hAnsi="Arial"/>
      <w:i/>
      <w:sz w:val="22"/>
      <w:szCs w:val="24"/>
    </w:rPr>
  </w:style>
  <w:style w:type="character" w:customStyle="1" w:styleId="7">
    <w:name w:val="Заголовок 7 Знак"/>
    <w:basedOn w:val="a0"/>
    <w:qFormat/>
    <w:rsid w:val="00F355E8"/>
    <w:rPr>
      <w:rFonts w:ascii="Arial" w:eastAsia="Times New Roman" w:hAnsi="Arial"/>
      <w:szCs w:val="24"/>
    </w:rPr>
  </w:style>
  <w:style w:type="character" w:customStyle="1" w:styleId="8">
    <w:name w:val="Заголовок 8 Знак"/>
    <w:basedOn w:val="a0"/>
    <w:qFormat/>
    <w:rsid w:val="00F355E8"/>
    <w:rPr>
      <w:rFonts w:ascii="Arial" w:eastAsia="Times New Roman" w:hAnsi="Arial"/>
      <w:i/>
      <w:szCs w:val="24"/>
    </w:rPr>
  </w:style>
  <w:style w:type="character" w:customStyle="1" w:styleId="9">
    <w:name w:val="Заголовок 9 Знак"/>
    <w:basedOn w:val="a0"/>
    <w:qFormat/>
    <w:rsid w:val="00F355E8"/>
    <w:rPr>
      <w:rFonts w:ascii="Times New Roman" w:eastAsia="Times New Roman" w:hAnsi="Times New Roman"/>
      <w:b/>
      <w:caps/>
      <w:sz w:val="28"/>
      <w:szCs w:val="24"/>
    </w:rPr>
  </w:style>
  <w:style w:type="character" w:customStyle="1" w:styleId="a3">
    <w:name w:val="Схема документа Знак"/>
    <w:basedOn w:val="a0"/>
    <w:qFormat/>
    <w:rsid w:val="00F355E8"/>
    <w:rPr>
      <w:rFonts w:ascii="Tahoma" w:eastAsia="Times New Roman" w:hAnsi="Tahoma" w:cs="Tahoma"/>
      <w:sz w:val="16"/>
      <w:szCs w:val="16"/>
    </w:rPr>
  </w:style>
  <w:style w:type="character" w:customStyle="1" w:styleId="10">
    <w:name w:val="Оглавление 1 Знак"/>
    <w:basedOn w:val="a0"/>
    <w:qFormat/>
    <w:rsid w:val="00F355E8"/>
    <w:rPr>
      <w:rFonts w:ascii="Times New Roman" w:eastAsia="Times New Roman" w:hAnsi="Times New Roman"/>
      <w:sz w:val="24"/>
      <w:szCs w:val="24"/>
    </w:rPr>
  </w:style>
  <w:style w:type="character" w:customStyle="1" w:styleId="20">
    <w:name w:val="Оглавление 2 Знак"/>
    <w:basedOn w:val="a0"/>
    <w:qFormat/>
    <w:rsid w:val="00F355E8"/>
    <w:rPr>
      <w:rFonts w:ascii="Times New Roman" w:eastAsia="Times New Roman" w:hAnsi="Times New Roman"/>
      <w:sz w:val="24"/>
      <w:szCs w:val="24"/>
    </w:rPr>
  </w:style>
  <w:style w:type="character" w:styleId="a4">
    <w:name w:val="Placeholder Text"/>
    <w:basedOn w:val="a0"/>
    <w:qFormat/>
    <w:rsid w:val="00F355E8"/>
    <w:rPr>
      <w:color w:val="808080"/>
    </w:rPr>
  </w:style>
  <w:style w:type="character" w:customStyle="1" w:styleId="a5">
    <w:name w:val="Основной текст Знак"/>
    <w:basedOn w:val="a0"/>
    <w:qFormat/>
    <w:rsid w:val="00F355E8"/>
    <w:rPr>
      <w:rFonts w:ascii="Times New Roman" w:eastAsia="Times New Roman" w:hAnsi="Times New Roman"/>
      <w:sz w:val="24"/>
      <w:szCs w:val="24"/>
    </w:rPr>
  </w:style>
  <w:style w:type="character" w:customStyle="1" w:styleId="11">
    <w:name w:val="Рисунок1 Знак"/>
    <w:basedOn w:val="a0"/>
    <w:qFormat/>
    <w:rsid w:val="00F355E8"/>
    <w:rPr>
      <w:rFonts w:ascii="Times New Roman" w:eastAsia="Times New Roman" w:hAnsi="Times New Roman" w:cs="Calibri"/>
      <w:sz w:val="24"/>
      <w:szCs w:val="16"/>
    </w:rPr>
  </w:style>
  <w:style w:type="character" w:customStyle="1" w:styleId="a6">
    <w:name w:val="Тема примечания Знак"/>
    <w:basedOn w:val="a0"/>
    <w:qFormat/>
    <w:rsid w:val="00F355E8"/>
    <w:rPr>
      <w:b/>
      <w:bCs/>
    </w:rPr>
  </w:style>
  <w:style w:type="character" w:customStyle="1" w:styleId="a7">
    <w:name w:val="Текст выноски Знак"/>
    <w:basedOn w:val="a0"/>
    <w:qFormat/>
    <w:rsid w:val="00F355E8"/>
    <w:rPr>
      <w:rFonts w:ascii="Tahoma" w:eastAsia="Times New Roman" w:hAnsi="Tahoma" w:cs="Tahoma"/>
      <w:sz w:val="16"/>
      <w:szCs w:val="16"/>
    </w:rPr>
  </w:style>
  <w:style w:type="character" w:customStyle="1" w:styleId="a8">
    <w:name w:val="После формулы Знак"/>
    <w:basedOn w:val="a0"/>
    <w:qFormat/>
    <w:rsid w:val="00F355E8"/>
    <w:rPr>
      <w:rFonts w:ascii="Times New Roman" w:eastAsia="Times New Roman" w:hAnsi="Times New Roman"/>
      <w:sz w:val="24"/>
      <w:szCs w:val="24"/>
    </w:rPr>
  </w:style>
  <w:style w:type="character" w:customStyle="1" w:styleId="-">
    <w:name w:val="Таблица - текст внутри Знак"/>
    <w:basedOn w:val="a8"/>
    <w:qFormat/>
    <w:rsid w:val="00F355E8"/>
    <w:rPr>
      <w:rFonts w:ascii="Times New Roman" w:eastAsia="Times New Roman" w:hAnsi="Times New Roman"/>
      <w:sz w:val="24"/>
      <w:szCs w:val="24"/>
    </w:rPr>
  </w:style>
  <w:style w:type="character" w:customStyle="1" w:styleId="a9">
    <w:name w:val="Список многоуровневый Знак"/>
    <w:basedOn w:val="a0"/>
    <w:qFormat/>
    <w:rsid w:val="00F355E8"/>
    <w:rPr>
      <w:rFonts w:ascii="Times New Roman" w:eastAsia="Times New Roman" w:hAnsi="Times New Roman"/>
      <w:sz w:val="24"/>
      <w:szCs w:val="24"/>
    </w:rPr>
  </w:style>
  <w:style w:type="character" w:customStyle="1" w:styleId="aa">
    <w:name w:val="Верхний колонтитул Знак"/>
    <w:basedOn w:val="a0"/>
    <w:qFormat/>
    <w:rsid w:val="00F355E8"/>
    <w:rPr>
      <w:rFonts w:ascii="Times New Roman" w:eastAsia="Times New Roman" w:hAnsi="Times New Roman"/>
      <w:sz w:val="24"/>
      <w:szCs w:val="24"/>
    </w:rPr>
  </w:style>
  <w:style w:type="character" w:customStyle="1" w:styleId="ab">
    <w:name w:val="Нижний колонтитул Знак"/>
    <w:basedOn w:val="a0"/>
    <w:qFormat/>
    <w:rsid w:val="00F355E8"/>
    <w:rPr>
      <w:rFonts w:ascii="Times New Roman" w:eastAsia="Times New Roman" w:hAnsi="Times New Roman"/>
      <w:sz w:val="24"/>
      <w:szCs w:val="24"/>
    </w:rPr>
  </w:style>
  <w:style w:type="character" w:customStyle="1" w:styleId="-0">
    <w:name w:val="Интернет-ссылка"/>
    <w:basedOn w:val="a0"/>
    <w:rsid w:val="00F355E8"/>
    <w:rPr>
      <w:color w:val="0000FF"/>
      <w:u w:val="single"/>
    </w:rPr>
  </w:style>
  <w:style w:type="character" w:customStyle="1" w:styleId="ac">
    <w:name w:val="Ссылка указателя"/>
    <w:qFormat/>
    <w:rsid w:val="00F355E8"/>
  </w:style>
  <w:style w:type="character" w:customStyle="1" w:styleId="ad">
    <w:name w:val="Маркеры списка"/>
    <w:qFormat/>
    <w:rsid w:val="00F355E8"/>
    <w:rPr>
      <w:rFonts w:ascii="OpenSymbol" w:eastAsia="OpenSymbol" w:hAnsi="OpenSymbol" w:cs="OpenSymbol"/>
    </w:rPr>
  </w:style>
  <w:style w:type="paragraph" w:customStyle="1" w:styleId="ae">
    <w:name w:val="Заголовок"/>
    <w:basedOn w:val="a"/>
    <w:next w:val="af"/>
    <w:qFormat/>
    <w:rsid w:val="00F355E8"/>
    <w:pPr>
      <w:keepNext/>
      <w:spacing w:before="240" w:after="120"/>
    </w:pPr>
    <w:rPr>
      <w:rFonts w:ascii="Liberation Sans" w:eastAsia="Noto Sans CJK SC" w:hAnsi="Liberation Sans" w:cs="Lohit Devanagari"/>
      <w:sz w:val="28"/>
      <w:szCs w:val="28"/>
    </w:rPr>
  </w:style>
  <w:style w:type="paragraph" w:styleId="af">
    <w:name w:val="Body Text"/>
    <w:basedOn w:val="a"/>
    <w:rsid w:val="00F355E8"/>
    <w:pPr>
      <w:spacing w:after="120"/>
    </w:pPr>
  </w:style>
  <w:style w:type="paragraph" w:styleId="af0">
    <w:name w:val="List"/>
    <w:basedOn w:val="af"/>
    <w:rsid w:val="00F355E8"/>
    <w:rPr>
      <w:rFonts w:cs="Lohit Devanagari"/>
    </w:rPr>
  </w:style>
  <w:style w:type="paragraph" w:customStyle="1" w:styleId="Caption">
    <w:name w:val="Caption"/>
    <w:basedOn w:val="a"/>
    <w:qFormat/>
    <w:rsid w:val="00F355E8"/>
    <w:pPr>
      <w:suppressLineNumbers/>
      <w:spacing w:before="120" w:after="120"/>
    </w:pPr>
    <w:rPr>
      <w:rFonts w:cs="Lohit Devanagari"/>
      <w:i/>
      <w:iCs/>
    </w:rPr>
  </w:style>
  <w:style w:type="paragraph" w:styleId="af1">
    <w:name w:val="index heading"/>
    <w:basedOn w:val="a"/>
    <w:qFormat/>
    <w:rsid w:val="00F355E8"/>
    <w:pPr>
      <w:suppressLineNumbers/>
    </w:pPr>
    <w:rPr>
      <w:rFonts w:cs="Lohit Devanagari"/>
    </w:rPr>
  </w:style>
  <w:style w:type="paragraph" w:styleId="af2">
    <w:name w:val="Document Map"/>
    <w:basedOn w:val="a"/>
    <w:qFormat/>
    <w:rsid w:val="00F355E8"/>
    <w:rPr>
      <w:rFonts w:ascii="Tahoma" w:hAnsi="Tahoma" w:cs="Tahoma"/>
      <w:sz w:val="16"/>
      <w:szCs w:val="16"/>
    </w:rPr>
  </w:style>
  <w:style w:type="paragraph" w:customStyle="1" w:styleId="af3">
    <w:name w:val="Формула"/>
    <w:basedOn w:val="a"/>
    <w:next w:val="a"/>
    <w:qFormat/>
    <w:rsid w:val="00F355E8"/>
    <w:pPr>
      <w:widowControl w:val="0"/>
      <w:spacing w:before="240" w:after="240"/>
      <w:ind w:firstLine="0"/>
      <w:contextualSpacing/>
      <w:jc w:val="center"/>
    </w:pPr>
  </w:style>
  <w:style w:type="paragraph" w:customStyle="1" w:styleId="af4">
    <w:name w:val="Листинг"/>
    <w:basedOn w:val="a"/>
    <w:qFormat/>
    <w:rsid w:val="00F355E8"/>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customStyle="1" w:styleId="TOC1">
    <w:name w:val="TOC 1"/>
    <w:basedOn w:val="a"/>
    <w:next w:val="a"/>
    <w:autoRedefine/>
    <w:rsid w:val="00F355E8"/>
    <w:pPr>
      <w:tabs>
        <w:tab w:val="left" w:pos="284"/>
        <w:tab w:val="right" w:leader="dot" w:pos="9639"/>
      </w:tabs>
      <w:ind w:left="284" w:right="567" w:hanging="284"/>
    </w:pPr>
  </w:style>
  <w:style w:type="paragraph" w:customStyle="1" w:styleId="TOC2">
    <w:name w:val="TOC 2"/>
    <w:basedOn w:val="a"/>
    <w:next w:val="a"/>
    <w:autoRedefine/>
    <w:rsid w:val="00F355E8"/>
    <w:pPr>
      <w:tabs>
        <w:tab w:val="left" w:pos="709"/>
        <w:tab w:val="right" w:leader="dot" w:pos="9639"/>
      </w:tabs>
      <w:spacing w:before="60"/>
      <w:ind w:left="709" w:right="567" w:hanging="471"/>
    </w:pPr>
  </w:style>
  <w:style w:type="paragraph" w:customStyle="1" w:styleId="TOC3">
    <w:name w:val="TOC 3"/>
    <w:basedOn w:val="a"/>
    <w:next w:val="a"/>
    <w:autoRedefine/>
    <w:rsid w:val="00F355E8"/>
    <w:pPr>
      <w:tabs>
        <w:tab w:val="left" w:pos="1276"/>
        <w:tab w:val="right" w:leader="dot" w:pos="9639"/>
      </w:tabs>
      <w:ind w:left="1276" w:right="565" w:hanging="567"/>
      <w:jc w:val="left"/>
    </w:pPr>
  </w:style>
  <w:style w:type="paragraph" w:customStyle="1" w:styleId="af5">
    <w:name w:val="После формулы"/>
    <w:basedOn w:val="a"/>
    <w:next w:val="a"/>
    <w:qFormat/>
    <w:rsid w:val="00F355E8"/>
    <w:pPr>
      <w:ind w:firstLine="0"/>
    </w:pPr>
  </w:style>
  <w:style w:type="paragraph" w:customStyle="1" w:styleId="-1">
    <w:name w:val="Таблица - заголовок"/>
    <w:basedOn w:val="a"/>
    <w:next w:val="a"/>
    <w:qFormat/>
    <w:rsid w:val="00F355E8"/>
    <w:pPr>
      <w:keepNext/>
      <w:spacing w:before="240" w:after="120" w:line="240" w:lineRule="auto"/>
      <w:ind w:firstLine="0"/>
      <w:jc w:val="left"/>
    </w:pPr>
  </w:style>
  <w:style w:type="paragraph" w:customStyle="1" w:styleId="12">
    <w:name w:val="Заголовок 1 без номера"/>
    <w:basedOn w:val="Heading1"/>
    <w:next w:val="a"/>
    <w:qFormat/>
    <w:rsid w:val="00F355E8"/>
    <w:pPr>
      <w:numPr>
        <w:numId w:val="0"/>
      </w:numPr>
      <w:ind w:left="709"/>
      <w:jc w:val="center"/>
    </w:pPr>
    <w:rPr>
      <w:caps/>
    </w:rPr>
  </w:style>
  <w:style w:type="paragraph" w:customStyle="1" w:styleId="-2">
    <w:name w:val="Рисунок - подпись"/>
    <w:basedOn w:val="a"/>
    <w:next w:val="a"/>
    <w:qFormat/>
    <w:rsid w:val="00F355E8"/>
    <w:pPr>
      <w:keepLines/>
      <w:suppressAutoHyphens/>
      <w:spacing w:before="40" w:after="120" w:line="240" w:lineRule="auto"/>
      <w:ind w:firstLine="0"/>
      <w:jc w:val="center"/>
    </w:pPr>
  </w:style>
  <w:style w:type="paragraph" w:customStyle="1" w:styleId="TableofFigures">
    <w:name w:val="Table of Figures"/>
    <w:basedOn w:val="a"/>
    <w:rsid w:val="00F355E8"/>
    <w:pPr>
      <w:keepNext/>
      <w:spacing w:before="240"/>
      <w:ind w:firstLine="0"/>
      <w:jc w:val="center"/>
    </w:pPr>
    <w:rPr>
      <w:rFonts w:cs="Calibri"/>
      <w:szCs w:val="16"/>
    </w:rPr>
  </w:style>
  <w:style w:type="paragraph" w:styleId="af6">
    <w:name w:val="annotation subject"/>
    <w:basedOn w:val="a"/>
    <w:qFormat/>
    <w:rsid w:val="00F355E8"/>
    <w:rPr>
      <w:b/>
      <w:bCs/>
      <w:sz w:val="20"/>
      <w:szCs w:val="20"/>
    </w:rPr>
  </w:style>
  <w:style w:type="paragraph" w:styleId="af7">
    <w:name w:val="Revision"/>
    <w:qFormat/>
    <w:rsid w:val="00F355E8"/>
    <w:pPr>
      <w:spacing w:line="360" w:lineRule="auto"/>
      <w:ind w:firstLine="709"/>
      <w:jc w:val="both"/>
    </w:pPr>
    <w:rPr>
      <w:rFonts w:ascii="Times New Roman" w:eastAsia="Times New Roman" w:hAnsi="Times New Roman"/>
      <w:sz w:val="24"/>
      <w:szCs w:val="24"/>
    </w:rPr>
  </w:style>
  <w:style w:type="paragraph" w:styleId="af8">
    <w:name w:val="TOC Heading"/>
    <w:basedOn w:val="a"/>
    <w:next w:val="a"/>
    <w:qFormat/>
    <w:rsid w:val="00F355E8"/>
    <w:pPr>
      <w:spacing w:after="360"/>
      <w:ind w:firstLine="0"/>
      <w:jc w:val="center"/>
    </w:pPr>
    <w:rPr>
      <w:caps/>
      <w:szCs w:val="28"/>
    </w:rPr>
  </w:style>
  <w:style w:type="paragraph" w:customStyle="1" w:styleId="af9">
    <w:name w:val="Список маркированный"/>
    <w:basedOn w:val="a"/>
    <w:qFormat/>
    <w:rsid w:val="00F355E8"/>
    <w:pPr>
      <w:tabs>
        <w:tab w:val="left" w:pos="851"/>
      </w:tabs>
    </w:pPr>
    <w:rPr>
      <w:lang w:val="en-US"/>
    </w:rPr>
  </w:style>
  <w:style w:type="paragraph" w:customStyle="1" w:styleId="afa">
    <w:name w:val="Список нумерованный"/>
    <w:basedOn w:val="af9"/>
    <w:qFormat/>
    <w:rsid w:val="00F355E8"/>
    <w:pPr>
      <w:tabs>
        <w:tab w:val="clear" w:pos="851"/>
        <w:tab w:val="left" w:pos="993"/>
      </w:tabs>
    </w:pPr>
  </w:style>
  <w:style w:type="paragraph" w:styleId="afb">
    <w:name w:val="Balloon Text"/>
    <w:basedOn w:val="a"/>
    <w:qFormat/>
    <w:rsid w:val="00F355E8"/>
    <w:pPr>
      <w:spacing w:line="240" w:lineRule="auto"/>
    </w:pPr>
    <w:rPr>
      <w:rFonts w:ascii="Tahoma" w:hAnsi="Tahoma" w:cs="Tahoma"/>
      <w:sz w:val="16"/>
      <w:szCs w:val="16"/>
    </w:rPr>
  </w:style>
  <w:style w:type="paragraph" w:customStyle="1" w:styleId="-3">
    <w:name w:val="Таблица - текст внутри"/>
    <w:basedOn w:val="af5"/>
    <w:qFormat/>
    <w:rsid w:val="00F355E8"/>
    <w:pPr>
      <w:spacing w:line="240" w:lineRule="auto"/>
      <w:jc w:val="center"/>
    </w:pPr>
  </w:style>
  <w:style w:type="paragraph" w:customStyle="1" w:styleId="afc">
    <w:name w:val="Список многоуровневый"/>
    <w:basedOn w:val="a"/>
    <w:qFormat/>
    <w:rsid w:val="00F355E8"/>
  </w:style>
  <w:style w:type="paragraph" w:styleId="afd">
    <w:name w:val="Bibliography"/>
    <w:basedOn w:val="a"/>
    <w:next w:val="a"/>
    <w:qFormat/>
    <w:rsid w:val="00F355E8"/>
  </w:style>
  <w:style w:type="paragraph" w:customStyle="1" w:styleId="afe">
    <w:name w:val="Верхний и нижний колонтитулы"/>
    <w:basedOn w:val="a"/>
    <w:qFormat/>
    <w:rsid w:val="00F355E8"/>
  </w:style>
  <w:style w:type="paragraph" w:customStyle="1" w:styleId="Header">
    <w:name w:val="Header"/>
    <w:basedOn w:val="a"/>
    <w:rsid w:val="00F355E8"/>
    <w:pPr>
      <w:tabs>
        <w:tab w:val="center" w:pos="4677"/>
        <w:tab w:val="right" w:pos="9355"/>
      </w:tabs>
      <w:spacing w:line="240" w:lineRule="auto"/>
    </w:pPr>
  </w:style>
  <w:style w:type="paragraph" w:customStyle="1" w:styleId="Footer">
    <w:name w:val="Footer"/>
    <w:basedOn w:val="a"/>
    <w:rsid w:val="00F355E8"/>
    <w:pPr>
      <w:tabs>
        <w:tab w:val="center" w:pos="4677"/>
        <w:tab w:val="right" w:pos="9355"/>
      </w:tabs>
      <w:spacing w:line="240" w:lineRule="auto"/>
    </w:pPr>
  </w:style>
  <w:style w:type="paragraph" w:customStyle="1" w:styleId="aff">
    <w:name w:val="После где"/>
    <w:basedOn w:val="af5"/>
    <w:qFormat/>
    <w:rsid w:val="00F355E8"/>
    <w:pPr>
      <w:ind w:left="369"/>
    </w:pPr>
  </w:style>
  <w:style w:type="paragraph" w:styleId="aff0">
    <w:name w:val="List Paragraph"/>
    <w:basedOn w:val="a"/>
    <w:qFormat/>
    <w:rsid w:val="00F355E8"/>
    <w:pPr>
      <w:ind w:left="720"/>
      <w:contextualSpacing/>
    </w:pPr>
  </w:style>
  <w:style w:type="paragraph" w:customStyle="1" w:styleId="aff1">
    <w:name w:val="Список источников"/>
    <w:basedOn w:val="aff0"/>
    <w:qFormat/>
    <w:rsid w:val="00F355E8"/>
    <w:pPr>
      <w:tabs>
        <w:tab w:val="left" w:pos="993"/>
      </w:tabs>
      <w:ind w:left="0"/>
    </w:pPr>
    <w:rPr>
      <w:lang w:val="en-US"/>
    </w:rPr>
  </w:style>
  <w:style w:type="paragraph" w:customStyle="1" w:styleId="TableofFigures0">
    <w:name w:val="Table of Figures"/>
    <w:basedOn w:val="a"/>
    <w:qFormat/>
    <w:rsid w:val="00F355E8"/>
    <w:pPr>
      <w:keepNext/>
      <w:spacing w:before="240"/>
      <w:ind w:firstLine="0"/>
      <w:jc w:val="center"/>
    </w:pPr>
    <w:rPr>
      <w:rFonts w:eastAsia="Calibri"/>
      <w:szCs w:val="16"/>
    </w:rPr>
  </w:style>
  <w:style w:type="paragraph" w:customStyle="1" w:styleId="aff2">
    <w:name w:val="Содержимое таблицы"/>
    <w:basedOn w:val="a"/>
    <w:qFormat/>
    <w:rsid w:val="00F355E8"/>
    <w:pPr>
      <w:suppressLineNumbers/>
    </w:pPr>
  </w:style>
  <w:style w:type="paragraph" w:customStyle="1" w:styleId="aff3">
    <w:name w:val="Заголовок таблицы"/>
    <w:basedOn w:val="aff2"/>
    <w:qFormat/>
    <w:rsid w:val="00F355E8"/>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5128</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2</cp:revision>
  <cp:lastPrinted>2016-08-31T12:08:00Z</cp:lastPrinted>
  <dcterms:created xsi:type="dcterms:W3CDTF">2024-04-25T09:06:00Z</dcterms:created>
  <dcterms:modified xsi:type="dcterms:W3CDTF">2024-04-25T09:06:00Z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9" name="ZOTERO_PREF_2">
    <vt:lpwstr>bbreviations" value="true"/&gt;&lt;pref name="delayCitationUpdates" value="true"/&gt;&lt;/prefs&gt;&lt;/data&gt;</vt:lpwstr>
  </property>
</Properties>
</file>