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Arial-BoldMT" w:cs="Arial"/>
          <w:b/>
          <w:bCs/>
          <w:color w:val="000000"/>
          <w:kern w:val="0"/>
          <w:sz w:val="46"/>
          <w:szCs w:val="46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46"/>
          <w:szCs w:val="46"/>
          <w:lang w:val="en-US" w:eastAsia="zh-CN" w:bidi="ar"/>
        </w:rPr>
        <w:t xml:space="preserve">Лаба 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ФИО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ru-RU" w:eastAsia="zh-CN" w:bidi="ar"/>
        </w:rPr>
        <w:t>Кривоносова Е.С., Черникова П.В.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(группа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ru-RU" w:eastAsia="zh-CN" w:bidi="ar"/>
        </w:rPr>
        <w:t>6112-100503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Arial-BoldMT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Topic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Age Estimation; Morphs; Facial Recognition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Arial-BoldMT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Описание предметной области </w:t>
      </w:r>
    </w:p>
    <w:p>
      <w:pPr>
        <w:rPr>
          <w:rFonts w:hint="default"/>
          <w:lang w:val="ru-RU" w:eastAsia="zh-CN"/>
        </w:rPr>
      </w:pPr>
    </w:p>
    <w:p>
      <w:pPr>
        <w:spacing w:line="360" w:lineRule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Данный топик охватывает исследования в области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ru-RU" w:eastAsia="zh-CN" w:bidi="ar"/>
        </w:rPr>
        <w:t>автоматического распознавания лиц, оценки возраста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default" w:ascii="Arial" w:hAnsi="Arial" w:cs="Arial"/>
          <w:sz w:val="22"/>
          <w:szCs w:val="22"/>
          <w:lang w:val="en-US" w:eastAsia="zh-CN"/>
        </w:rPr>
        <w:t>Автоматическая оценка возраста (AAE) привлекает внимание из-за широкого спектра возможных применений.</w:t>
      </w:r>
      <w:r>
        <w:rPr>
          <w:rFonts w:hint="default" w:ascii="Arial" w:hAnsi="Arial" w:cs="Arial"/>
          <w:sz w:val="22"/>
          <w:szCs w:val="22"/>
          <w:lang w:val="ru-RU" w:eastAsia="zh-CN"/>
        </w:rPr>
        <w:t xml:space="preserve"> </w:t>
      </w:r>
      <w:r>
        <w:rPr>
          <w:rFonts w:hint="default" w:ascii="Arial" w:hAnsi="Arial" w:cs="Arial"/>
          <w:sz w:val="22"/>
          <w:szCs w:val="22"/>
        </w:rPr>
        <w:t>Свёрточная нейронная сет</w:t>
      </w:r>
      <w:r>
        <w:rPr>
          <w:rFonts w:hint="default" w:ascii="Arial" w:hAnsi="Arial" w:cs="Arial"/>
          <w:sz w:val="22"/>
          <w:szCs w:val="22"/>
          <w:lang w:val="ru-RU"/>
        </w:rPr>
        <w:t>ь</w:t>
      </w:r>
      <w:r>
        <w:rPr>
          <w:rFonts w:hint="default" w:ascii="Arial" w:hAnsi="Arial" w:cs="Arial"/>
          <w:sz w:val="22"/>
          <w:szCs w:val="22"/>
          <w:lang w:val="en-US"/>
        </w:rPr>
        <w:t xml:space="preserve">(CNN)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– </w:t>
      </w:r>
      <w:r>
        <w:rPr>
          <w:rFonts w:hint="default" w:ascii="Arial" w:hAnsi="Arial" w:cs="Arial"/>
          <w:sz w:val="22"/>
          <w:szCs w:val="22"/>
        </w:rPr>
        <w:t>специальная архитектура искусственных нейронных сетей, нацеленная на эффективное распознавание образов, входит в состав технологий глубокого обучения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default" w:ascii="Arial" w:hAnsi="Arial"/>
          <w:b w:val="0"/>
          <w:bCs w:val="0"/>
          <w:sz w:val="22"/>
          <w:szCs w:val="22"/>
        </w:rPr>
        <w:t>Гистограмма ориентированных градиентов</w:t>
      </w:r>
      <w:r>
        <w:rPr>
          <w:rFonts w:hint="default" w:ascii="Arial" w:hAnsi="Arial" w:cs="Arial"/>
          <w:sz w:val="22"/>
          <w:szCs w:val="22"/>
        </w:rPr>
        <w:t>, HOG) — дескрипторы особых точек, которые используются в компьютерном зрении и обработке изображений с целью распознавания объектов. Данная техника основана на подсчете количества направлений градиента в локальных областях изображения.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Недостаток (Gap)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ru-RU" w:eastAsia="zh-CN" w:bidi="ar"/>
        </w:rPr>
        <w:t>Результаты экспериментов и методов не могут автоматически в точности определить возраст из-за большой вариативности внешнего вида и ряда других  внешних и внутренних факторов. Автоматическая оценка возраста включает определенные этапы: определение подходящего шаблона старения для конкретного лица и определение положения лица. Такие условия не будут работать для всех случаев. Например, тестирование на лицах разных национальностей и расовых лицах, будут давать наибольшую ошибку в тестах на пересечении национальностей.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Идея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ru-RU" w:eastAsia="zh-CN" w:bidi="ar"/>
        </w:rPr>
        <w:t xml:space="preserve">Для решения проблемы автоматической оценки возраста мы можем предложить улучшить алгоритмы </w:t>
      </w:r>
      <w:r>
        <w:rPr>
          <w:rFonts w:hint="default" w:ascii="Arial" w:hAnsi="Arial" w:cs="Arial"/>
          <w:sz w:val="22"/>
          <w:szCs w:val="22"/>
        </w:rPr>
        <w:t>и модел</w:t>
      </w:r>
      <w:r>
        <w:rPr>
          <w:rFonts w:hint="default" w:ascii="Arial" w:hAnsi="Arial" w:cs="Arial"/>
          <w:sz w:val="22"/>
          <w:szCs w:val="22"/>
          <w:lang w:val="ru-RU"/>
        </w:rPr>
        <w:t>и</w:t>
      </w:r>
      <w:r>
        <w:rPr>
          <w:rFonts w:hint="default" w:ascii="Arial" w:hAnsi="Arial" w:cs="Arial"/>
          <w:sz w:val="22"/>
          <w:szCs w:val="22"/>
        </w:rPr>
        <w:t xml:space="preserve"> машинного обучения</w:t>
      </w:r>
      <w:r>
        <w:rPr>
          <w:rFonts w:hint="default" w:ascii="Arial" w:hAnsi="Arial" w:cs="Arial"/>
          <w:sz w:val="22"/>
          <w:szCs w:val="22"/>
          <w:lang w:val="ru-RU"/>
        </w:rPr>
        <w:t xml:space="preserve">. </w:t>
      </w:r>
      <w:r>
        <w:rPr>
          <w:rFonts w:hint="default" w:ascii="Arial" w:hAnsi="Arial" w:cs="Arial"/>
          <w:sz w:val="22"/>
          <w:szCs w:val="22"/>
        </w:rPr>
        <w:t>Системы оценки возраста могут быть улучшены путем обучения моделей на большем и разнообразном наборе данных, включающих представителей разных национальностей. Это поможет снизить вероятность ошибок и повысить точность определения возраста.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Краткий текст обзора </w:t>
      </w:r>
    </w:p>
    <w:p>
      <w:pPr>
        <w:spacing w:line="360" w:lineRule="auto"/>
        <w:rPr>
          <w:rFonts w:hint="default" w:ascii="Arial" w:hAnsi="Arial" w:cs="Arial"/>
          <w:sz w:val="22"/>
          <w:szCs w:val="22"/>
          <w:lang w:val="ru-RU" w:eastAsia="zh-CN"/>
        </w:rPr>
      </w:pPr>
      <w:r>
        <w:rPr>
          <w:rFonts w:hint="default" w:ascii="Arial" w:hAnsi="Arial" w:cs="Arial"/>
          <w:sz w:val="22"/>
          <w:szCs w:val="22"/>
          <w:lang w:val="ru-RU" w:eastAsia="zh-CN"/>
        </w:rPr>
        <w:t xml:space="preserve">Проблема определения возраста является актуальной </w:t>
      </w:r>
      <w:r>
        <w:rPr>
          <w:rFonts w:hint="default" w:ascii="Arial" w:hAnsi="Arial" w:cs="Arial"/>
          <w:sz w:val="22"/>
          <w:szCs w:val="22"/>
        </w:rPr>
        <w:t>исследовательской темой, которой занимаются многие ученые. Существует несколько подходов к решению этой проблемы, но они все имеют свои недостатки.</w:t>
      </w:r>
      <w:r>
        <w:rPr>
          <w:rFonts w:hint="default" w:ascii="Arial" w:hAnsi="Arial" w:cs="Arial"/>
          <w:sz w:val="22"/>
          <w:szCs w:val="22"/>
          <w:lang w:val="ru-RU"/>
        </w:rPr>
        <w:t xml:space="preserve"> </w:t>
      </w:r>
      <w:r>
        <w:rPr>
          <w:rFonts w:hint="default" w:ascii="Arial" w:hAnsi="Arial" w:cs="Arial"/>
          <w:sz w:val="22"/>
          <w:szCs w:val="22"/>
        </w:rPr>
        <w:t>Один из недостатков состоит в том, что существующие методы определения возраста через распознавание лиц</w:t>
      </w:r>
      <w:r>
        <w:rPr>
          <w:rFonts w:hint="default" w:ascii="Arial" w:hAnsi="Arial" w:cs="Arial"/>
          <w:sz w:val="22"/>
          <w:szCs w:val="22"/>
          <w:lang w:val="en-US"/>
        </w:rPr>
        <w:t>[2],[4]</w:t>
      </w:r>
      <w:r>
        <w:rPr>
          <w:rFonts w:hint="default" w:ascii="Arial" w:hAnsi="Arial" w:cs="Arial"/>
          <w:sz w:val="22"/>
          <w:szCs w:val="22"/>
        </w:rPr>
        <w:t xml:space="preserve"> часто основаны на использовании шаблонов и морфов</w:t>
      </w:r>
      <w:r>
        <w:rPr>
          <w:rFonts w:hint="default" w:ascii="Arial" w:hAnsi="Arial" w:cs="Arial"/>
          <w:sz w:val="22"/>
          <w:szCs w:val="22"/>
          <w:lang w:val="en-US"/>
        </w:rPr>
        <w:t>[9],[10],[12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  <w:lang w:val="en-US"/>
        </w:rPr>
        <w:t>],[13]</w:t>
      </w:r>
      <w:r>
        <w:rPr>
          <w:rFonts w:hint="default" w:ascii="Arial" w:hAnsi="Arial" w:cs="Arial"/>
          <w:sz w:val="22"/>
          <w:szCs w:val="22"/>
        </w:rPr>
        <w:t>, которые могут быть не</w:t>
      </w:r>
      <w:r>
        <w:rPr>
          <w:rFonts w:hint="default" w:ascii="Arial" w:hAnsi="Arial" w:cs="Arial"/>
          <w:sz w:val="22"/>
          <w:szCs w:val="22"/>
          <w:lang w:val="ru-RU"/>
        </w:rPr>
        <w:t>подходящими</w:t>
      </w:r>
      <w:r>
        <w:rPr>
          <w:rFonts w:hint="default" w:ascii="Arial" w:hAnsi="Arial" w:cs="Arial"/>
          <w:sz w:val="22"/>
          <w:szCs w:val="22"/>
        </w:rPr>
        <w:t xml:space="preserve"> для разных национальностей</w:t>
      </w:r>
      <w:r>
        <w:rPr>
          <w:rFonts w:hint="default" w:ascii="Arial" w:hAnsi="Arial" w:cs="Arial"/>
          <w:sz w:val="22"/>
          <w:szCs w:val="22"/>
          <w:lang w:val="en-US"/>
        </w:rPr>
        <w:t>[8],[11]</w:t>
      </w:r>
      <w:r>
        <w:rPr>
          <w:rFonts w:hint="default" w:ascii="Arial" w:hAnsi="Arial" w:cs="Arial"/>
          <w:sz w:val="22"/>
          <w:szCs w:val="22"/>
        </w:rPr>
        <w:t>. Это может приводить к неточным результатам и ошибкам в определении возраста</w:t>
      </w:r>
      <w:r>
        <w:rPr>
          <w:rFonts w:hint="default" w:ascii="Arial" w:hAnsi="Arial" w:cs="Arial"/>
          <w:sz w:val="22"/>
          <w:szCs w:val="22"/>
          <w:lang w:val="en-US"/>
        </w:rPr>
        <w:t>[1],[3],[5]</w:t>
      </w:r>
      <w:r>
        <w:rPr>
          <w:rFonts w:hint="default" w:ascii="Arial" w:hAnsi="Arial" w:cs="Arial"/>
          <w:sz w:val="22"/>
          <w:szCs w:val="22"/>
          <w:lang w:val="ru-RU"/>
        </w:rPr>
        <w:t>-</w:t>
      </w:r>
      <w:r>
        <w:rPr>
          <w:rFonts w:hint="default" w:ascii="Arial" w:hAnsi="Arial" w:cs="Arial"/>
          <w:sz w:val="22"/>
          <w:szCs w:val="22"/>
          <w:lang w:val="en-US"/>
        </w:rPr>
        <w:t>[7].</w:t>
      </w:r>
      <w:r>
        <w:rPr>
          <w:rFonts w:hint="default" w:ascii="Arial" w:hAnsi="Arial" w:cs="Arial"/>
          <w:sz w:val="22"/>
          <w:szCs w:val="22"/>
          <w:lang w:val="ru-RU"/>
        </w:rPr>
        <w:t xml:space="preserve"> </w:t>
      </w:r>
      <w:r>
        <w:rPr>
          <w:rFonts w:hint="default" w:ascii="Arial" w:hAnsi="Arial" w:cs="Arial"/>
          <w:sz w:val="22"/>
          <w:szCs w:val="22"/>
        </w:rPr>
        <w:t>Анализ статей показывает, что существует потребность в разработке нового метода, который учитывает этот недостаток и обеспечивает более точную и надежную возрастную оценку.</w:t>
      </w:r>
      <w:r>
        <w:rPr>
          <w:rFonts w:hint="default" w:ascii="Arial" w:hAnsi="Arial" w:cs="Arial"/>
          <w:sz w:val="22"/>
          <w:szCs w:val="22"/>
          <w:lang w:val="ru-RU"/>
        </w:rPr>
        <w:t xml:space="preserve"> Исходя из этого недостатка, мы предлагаем разнообразить систему шаблонов, которые будут учитывать разнообразие национальностей и будет обеспечивать более точную возрастную оценку.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[1]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X. Geng, Z.-H. Zhou, и K. Smith-Miles, «Automatic Age Estimation Based on Facial Aging Patterns»,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IEEE Trans. Pattern Anal. Mach. Intell.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29, вып. 12, сс. 2234–2240, 2007,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"https://doi.org/10.1109/TPAMI.2007.70733"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10.1109/TPAMI.2007.70733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[2]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N. Hewahi, A. Olwan, N. Tubeel, S. EL-Asar, и Z. Abu-Sultan, «Age Estimation based on Neural Networks using Face Features»,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Age Estimation based on Neural Networks using Face Features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т. 1, вып. 2, сс. 61–67, 2010.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[3]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Unsang Park, Yiying Tong, и A. K. Jain, «Age-Invariant Face Recognition»,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IEEE Trans. Pattern Anal. Mach. Intell.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32, вып. 5, сс. 947–954, 2010,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"https://doi.org/10.1109/TPAMI.2010.14"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10.1109/TPAMI.2010.14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[4]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C. Fernández, I. Huerta, и A. Prati, «A Comparative Evaluation of Regression Learning Algorithms for Facial Age Estimation», в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Face and Facial Expression Recognition from Real World Videos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8912, Q. Ji, T. B. Moeslund, G. Hua, и K. Nasrollahi, Ред., в Lecture Notes in Computer Science, vol. 8912. , Cham: Springer International Publishing, 2015, сс. 133–144.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"https://doi.org/10.1007/978-3-319-13737-7_12"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10.1007/978-3-319-13737-7_12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[5]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I. Huerta, C. Fernández, и A. Prati, «Facial Age Estimation Through the Fusion of Texture and Local Appearance Descriptors», в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Computer Vision - ECCV 2014 Workshops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8926, L. Agapito, M. M. Bronstein, и C. Rother, Ред., в Lecture Notes in Computer Science, vol. 8926. , Cham: Springer International Publishing, 2015, сс. 667–681.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"https://doi.org/10.1007/978-3-319-16181-5_51"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10.1007/978-3-319-16181-5_51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[6]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K.-H. Liu, S. Yan, и C.-C. J. Kuo, «Age Estimation via Grouping and Decision Fusion»,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IEEE Trans.Inform.Forensic Secur.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10, вып. 11, сс. 2408–2423, 2015,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"https://doi.org/10.1109/TIFS.2015.2462732"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10.1109/TIFS.2015.2462732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[7]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G. Panis и A. Lanitis, «An Overview of Research Activities in Facial Age Estimation Using the FG-NET Aging Database», в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Computer Vision - ECCV 2014 Workshops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8926, L. Agapito, M. M. Bronstein, и C. Rother, Ред., в Lecture Notes in Computer Science, vol. 8926. , Cham: Springer International Publishing, 2015, сс. 737–750.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"https://doi.org/10.1007/978-3-319-16181-5_56"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10.1007/978-3-319-16181-5_56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[8]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R. R. Atallah, A. Kamsin, M. A. Ismail, S. A. Abdelrahman, и S. Zerdoumi, «Face Recognition and Age Estimation Implications of Changes in Facial Features: A Critical Review Study»,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IEEE Access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6, сс. 28290–28304, 2018,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"https://doi.org/10.1109/ACCESS.2018.2836924"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10.1109/ACCESS.2018.2836924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[9]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M. Duan, K. Li, и K. Li, «An Ensemble CNN2ELM for Age Estimation»,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IEEE Trans.Inform.Forensic Secur.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13, вып. 3, сс. 758–772, 2018,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"https://doi.org/10.1109/TIFS.2017.2766583"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10.1109/TIFS.2017.2766583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[10]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J. Wan, Z. Tan, Z. Lei, G. Guo, и S. Z. Li, «Auxiliary Demographic Information Assisted Age Estimation With Cascaded Structure»,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IEEE Trans. Cybern.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48, вып. 9, сс. 2531–2541, 2018,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"https://doi.org/10.1109/TCYB.2017.2741998"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10.1109/TCYB.2017.2741998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[11]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H. Liu, J. Lu, J. Feng, и J. Zhou, «Ordinal Deep Learning for Facial Age Estimation»,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IEEE Trans. Circuits Syst. Video Technol.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29, вып. 2, сс. 486–501, 2019,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"https://doi.org/10.1109/TCSVT.2017.2782709"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10.1109/TCSVT.2017.2782709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[12]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A. Othmani, A. R. Taleb, H. Abdelkawy, и A. Hadid, «Age estimation from faces using deep learning: A comparative analysis», </w:t>
      </w:r>
      <w:r>
        <w:rPr>
          <w:rFonts w:hint="default" w:ascii="Arial" w:hAnsi="Arial" w:eastAsia="SimSun" w:cs="Arial"/>
          <w:i/>
          <w:iCs/>
          <w:kern w:val="0"/>
          <w:sz w:val="22"/>
          <w:szCs w:val="22"/>
          <w:lang w:val="en-US" w:eastAsia="zh-CN" w:bidi="ar"/>
        </w:rPr>
        <w:t>Computer Vision and Image Understanding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т. 196, сс. 3–23, 2020, doi: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"https://doi.org/10.1016/j.cviu.2020.102961"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10.1016/j.cviu.2020.102961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2" w:lineRule="atLeast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[13]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S. Venkatesh, K. Raja, R. Ramachandra, и C. Busch, «On the Influence of Ageing on Face Morph Attacks: Vulnerability and Detection». arXiv, 2020 г. Просмотрено: 22 февраль 2024 г. [Онлайн]. Доступно на: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instrText xml:space="preserve"> HYPERLINK "http://arxiv.org/abs/2007.02684" </w:instrTex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2"/>
          <w:szCs w:val="22"/>
        </w:rPr>
        <w:t>http://arxiv.org/abs/2007.02684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fldChar w:fldCharType="end"/>
      </w:r>
    </w:p>
    <w:p>
      <w:pPr>
        <w:spacing w:line="360" w:lineRule="auto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726A2"/>
    <w:rsid w:val="4DC2401B"/>
    <w:rsid w:val="59D55DCD"/>
    <w:rsid w:val="621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2024-02-22T08:34:00Z</dcterms:created>
  <dc:creator>katri</dc:creator>
  <cp:lastModifiedBy>Katrin123 123</cp:lastModifiedBy>
  <dcterms:modified xsi:type="dcterms:W3CDTF">2024-03-21T08:27:58Z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056141523D314781A7B96EB3E9303E44_12</vt:lpwstr>
  </property>
</Properties>
</file>