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Николаев И.С. и Мась А.А. (группа 6112-100503D)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Facial Recognition; Eigenface; Linear Discriminant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В данном топике рассматриваются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исследования в области распознавания лиц, с особым акцентом на использование метода Eigenface и линейного дискриминантного анализа (LDA). Распознавание лиц включает в себя идентификацию 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или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верификацию личности человека на основе цифрового изображения или видео. Метод Eigenface использует принцип главных компонент (PCA) для сокращения размерности пространства изображений лиц, в то время как LDA стремится найти линейную комбинацию признаков, которая лучше всего разделяет два или более класса объектов.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Недостаток (Gap)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Существуют многочисленные исследования, демонстрирующие эффективность метода Eigenface и линейного дискриминантного анализа в распознавании лиц на стандартных наборах данных с четко определенными условиями съемки. Но при применении этих методов к реальным, не подготовленным ситуациям, где лица могут быть представлены в различных условиях освещения, расположения и с другими артефактами, их эффективность может снижаться из-за недостатка адаптивности к таким изменениям.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Идея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П</w:t>
      </w: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ри работе с изображениями лиц в изменённых условиях можно применить методы аугментации данных, такие как изменение яркости, повороты, добавление шума, отражений и другие техники, чтобы создать разнообразные варианты изображений лиц для обучения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Краткий текст обзора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lineRule="auto"/>
        <w:rPr>
          <w:rFonts w:ascii="Roboto" w:cs="Roboto" w:eastAsia="Roboto" w:hAnsi="Roboto"/>
          <w:color w:val="24292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Распознавание лиц является важной областью исследований в компьютерном зрении, привлекающей большое внимание из-за своего широкого спектра применений, начиная от безопасности и аутентификации до развлекательных и медицинских приложений. Среди ключевых методов, применяемых в этой области, выделяются Eigenface</w:t>
      </w:r>
      <w:hyperlink r:id="rId6">
        <w:r w:rsidDel="00000000" w:rsidR="00000000" w:rsidRPr="00000000">
          <w:rPr>
            <w:rFonts w:ascii="Roboto" w:cs="Roboto" w:eastAsia="Roboto" w:hAnsi="Roboto"/>
            <w:highlight w:val="white"/>
            <w:vertAlign w:val="baseline"/>
            <w:rtl w:val="0"/>
          </w:rPr>
          <w:t xml:space="preserve">[1]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rFonts w:ascii="Roboto" w:cs="Roboto" w:eastAsia="Roboto" w:hAnsi="Roboto"/>
            <w:highlight w:val="white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 и линейный дискриминантный анализ (LDA)</w:t>
      </w:r>
      <w:hyperlink r:id="rId8">
        <w:r w:rsidDel="00000000" w:rsidR="00000000" w:rsidRPr="00000000">
          <w:rPr>
            <w:rFonts w:ascii="Roboto" w:cs="Roboto" w:eastAsia="Roboto" w:hAnsi="Roboto"/>
            <w:highlight w:val="white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-</w:t>
      </w:r>
      <w:hyperlink r:id="rId9">
        <w:r w:rsidDel="00000000" w:rsidR="00000000" w:rsidRPr="00000000">
          <w:rPr>
            <w:rFonts w:ascii="Roboto" w:cs="Roboto" w:eastAsia="Roboto" w:hAnsi="Roboto"/>
            <w:highlight w:val="white"/>
            <w:vertAlign w:val="baseline"/>
            <w:rtl w:val="0"/>
          </w:rPr>
          <w:t xml:space="preserve">[5]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lineRule="auto"/>
        <w:rPr>
          <w:rFonts w:ascii="Roboto" w:cs="Roboto" w:eastAsia="Roboto" w:hAnsi="Roboto"/>
          <w:color w:val="24292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Метод Eigenface, основанный на анализе главных компонент (PCA), </w:t>
      </w:r>
      <w:hyperlink r:id="rId10">
        <w:r w:rsidDel="00000000" w:rsidR="00000000" w:rsidRPr="00000000">
          <w:rPr>
            <w:rFonts w:ascii="Roboto" w:cs="Roboto" w:eastAsia="Roboto" w:hAnsi="Roboto"/>
            <w:color w:val="24292f"/>
            <w:highlight w:val="white"/>
            <w:vertAlign w:val="baseline"/>
            <w:rtl w:val="0"/>
          </w:rPr>
          <w:t xml:space="preserve">[6]</w:t>
        </w:r>
      </w:hyperlink>
      <w:r w:rsidDel="00000000" w:rsidR="00000000" w:rsidRPr="00000000">
        <w:rPr>
          <w:vertAlign w:val="baseline"/>
          <w:rtl w:val="0"/>
        </w:rPr>
        <w:t xml:space="preserve">-</w:t>
      </w:r>
      <w:hyperlink r:id="rId11">
        <w:r w:rsidDel="00000000" w:rsidR="00000000" w:rsidRPr="00000000">
          <w:rPr>
            <w:rFonts w:ascii="Roboto" w:cs="Roboto" w:eastAsia="Roboto" w:hAnsi="Roboto"/>
            <w:color w:val="24292f"/>
            <w:highlight w:val="white"/>
            <w:vertAlign w:val="baseline"/>
            <w:rtl w:val="0"/>
          </w:rPr>
          <w:t xml:space="preserve">[8]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, позволяет представить изображения лиц в виде линейной комбинации главных компонент, что позволяет снизить размерность данных и выделить наиболее информативные признаки для распознавания лиц</w:t>
      </w:r>
      <w:hyperlink r:id="rId12">
        <w:r w:rsidDel="00000000" w:rsidR="00000000" w:rsidRPr="00000000">
          <w:rPr>
            <w:rFonts w:ascii="Roboto" w:cs="Roboto" w:eastAsia="Roboto" w:hAnsi="Roboto"/>
            <w:color w:val="24292f"/>
            <w:highlight w:val="white"/>
            <w:vertAlign w:val="baseline"/>
            <w:rtl w:val="0"/>
          </w:rPr>
          <w:t xml:space="preserve">[9]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. Этот метод демонстрировал высокую эффективность на стандартных наборах данных с четко определенными условиями съемки.</w:t>
      </w:r>
    </w:p>
    <w:p w:rsidR="00000000" w:rsidDel="00000000" w:rsidP="00000000" w:rsidRDefault="00000000" w:rsidRPr="00000000" w14:paraId="0000001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lineRule="auto"/>
        <w:rPr>
          <w:rFonts w:ascii="Roboto" w:cs="Roboto" w:eastAsia="Roboto" w:hAnsi="Roboto"/>
          <w:color w:val="24292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С другой стороны, линейный дискриминантный анализ (LDA) нацелен на максимизацию различия между классами объектов, что делает его мощным инструментом для разделения лиц разных людей на основе их уникальных характеристик</w:t>
      </w:r>
      <w:hyperlink r:id="rId13">
        <w:r w:rsidDel="00000000" w:rsidR="00000000" w:rsidRPr="00000000">
          <w:rPr>
            <w:rFonts w:ascii="Roboto" w:cs="Roboto" w:eastAsia="Roboto" w:hAnsi="Roboto"/>
            <w:color w:val="24292f"/>
            <w:highlight w:val="white"/>
            <w:vertAlign w:val="baseline"/>
            <w:rtl w:val="0"/>
          </w:rPr>
          <w:t xml:space="preserve">[3]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rFonts w:ascii="Roboto" w:cs="Roboto" w:eastAsia="Roboto" w:hAnsi="Roboto"/>
            <w:color w:val="24292f"/>
            <w:highlight w:val="white"/>
            <w:vertAlign w:val="baseline"/>
            <w:rtl w:val="0"/>
          </w:rPr>
          <w:t xml:space="preserve">[5]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. LDA учитывает не только внутриклассовую изменчивость, но и межклассовую разделимость, что позволяет повысить точность распознавания лиц</w:t>
      </w:r>
      <w:hyperlink r:id="rId15">
        <w:r w:rsidDel="00000000" w:rsidR="00000000" w:rsidRPr="00000000">
          <w:rPr>
            <w:rFonts w:ascii="Roboto" w:cs="Roboto" w:eastAsia="Roboto" w:hAnsi="Roboto"/>
            <w:color w:val="24292f"/>
            <w:highlight w:val="white"/>
            <w:vertAlign w:val="baseline"/>
            <w:rtl w:val="0"/>
          </w:rPr>
          <w:t xml:space="preserve">[3]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rFonts w:ascii="Roboto" w:cs="Roboto" w:eastAsia="Roboto" w:hAnsi="Roboto"/>
            <w:color w:val="24292f"/>
            <w:highlight w:val="white"/>
            <w:vertAlign w:val="baseline"/>
            <w:rtl w:val="0"/>
          </w:rPr>
          <w:t xml:space="preserve">[4]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, </w:t>
      </w:r>
      <w:hyperlink r:id="rId17">
        <w:r w:rsidDel="00000000" w:rsidR="00000000" w:rsidRPr="00000000">
          <w:rPr>
            <w:rFonts w:ascii="Roboto" w:cs="Roboto" w:eastAsia="Roboto" w:hAnsi="Roboto"/>
            <w:color w:val="24292f"/>
            <w:highlight w:val="white"/>
            <w:vertAlign w:val="baseline"/>
            <w:rtl w:val="0"/>
          </w:rPr>
          <w:t xml:space="preserve">[10]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lineRule="auto"/>
        <w:rPr>
          <w:rFonts w:ascii="Roboto" w:cs="Roboto" w:eastAsia="Roboto" w:hAnsi="Roboto"/>
          <w:color w:val="24292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Однако, несмотря на доказанную эффективность методов Eigenface и LDA на стандартных наборах данных, их применение к реальным сценариям может столкнуться с ограничениями. В реальных ситуациях лица могут представляться в различных условиях освещения, ракурса, выражения лица и других артефактов, что может снизить эффективность этих методов из-за их недостаточной адаптивности к таким изменениям.</w:t>
      </w:r>
    </w:p>
    <w:p w:rsidR="00000000" w:rsidDel="00000000" w:rsidP="00000000" w:rsidRDefault="00000000" w:rsidRPr="00000000" w14:paraId="0000002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lineRule="auto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Решить эту проблему можно с помощью аугментации данных. Аугментация данных, включающая изменение яркости, повороты, добавление шума, отражения и другие техники, позволяет создавать разнообразные варианты изображений лиц для обучения модели. Этот подход может значительно улучшить адаптивность моделей распознавания лиц к различным условиям съемки и повысить их эффективность в реальных условиях.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504.00000000000006" w:hanging="504.00000000000006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hyperlink r:id="rId18">
        <w:r w:rsidDel="00000000" w:rsidR="00000000" w:rsidRPr="00000000">
          <w:rPr>
            <w:shd w:fill="auto" w:val="clear"/>
            <w:vertAlign w:val="baseline"/>
            <w:rtl w:val="0"/>
          </w:rPr>
          <w:t xml:space="preserve">[1]</w:t>
          <w:tab/>
          <w:t xml:space="preserve">Xiaogang Wang и Xiaoou Tang, «Dual-space linear discriminant analysis for face recognition», в </w:t>
        </w:r>
      </w:hyperlink>
      <w:hyperlink r:id="rId19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Proceedings of the 2004 IEEE Computer Society Conference on Computer Vision and Pattern Recognition, 2004. CVPR 2004.</w:t>
        </w:r>
      </w:hyperlink>
      <w:hyperlink r:id="rId20">
        <w:r w:rsidDel="00000000" w:rsidR="00000000" w:rsidRPr="00000000">
          <w:rPr>
            <w:shd w:fill="auto" w:val="clear"/>
            <w:vertAlign w:val="baseline"/>
            <w:rtl w:val="0"/>
          </w:rPr>
          <w:t xml:space="preserve">, Washington, DC, USA: IEEE, 2004, сс. 564–569. doi: 10.1109/CVPR.2004.1315214.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hyperlink r:id="rId21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  <w:tab/>
          <w:t xml:space="preserve">J. Lu, K. N. </w:t>
        </w:r>
      </w:hyperlink>
      <w:hyperlink r:id="rId22">
        <w:r w:rsidDel="00000000" w:rsidR="00000000" w:rsidRPr="00000000">
          <w:rPr>
            <w:shd w:fill="auto" w:val="clear"/>
            <w:vertAlign w:val="baseline"/>
            <w:rtl w:val="0"/>
          </w:rPr>
          <w:t xml:space="preserve">Plataniotis</w:t>
        </w:r>
      </w:hyperlink>
      <w:hyperlink r:id="rId23">
        <w:r w:rsidDel="00000000" w:rsidR="00000000" w:rsidRPr="00000000">
          <w:rPr>
            <w:shd w:fill="auto" w:val="clear"/>
            <w:vertAlign w:val="baseline"/>
            <w:rtl w:val="0"/>
          </w:rPr>
          <w:t xml:space="preserve">, и A. N. Venetsanopoulos, «Regularization studies of linear discriminant analysis in small sample size scenarios with application to face recognition», </w:t>
        </w:r>
      </w:hyperlink>
      <w:hyperlink r:id="rId2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Pattern Recognit. Lett.</w:t>
        </w:r>
      </w:hyperlink>
      <w:hyperlink r:id="rId25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26, вып. 2, сс. 181–191, 2005, doi: 10.1016/j.patrec.2004.09.014.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hyperlink r:id="rId26">
        <w:r w:rsidDel="00000000" w:rsidR="00000000" w:rsidRPr="00000000">
          <w:rPr>
            <w:shd w:fill="auto" w:val="clear"/>
            <w:vertAlign w:val="baseline"/>
            <w:rtl w:val="0"/>
          </w:rPr>
          <w:t xml:space="preserve">[3]</w:t>
          <w:tab/>
          <w:t xml:space="preserve">X. Jiang, B. Mandal, и A. </w:t>
        </w:r>
      </w:hyperlink>
      <w:hyperlink r:id="rId27">
        <w:r w:rsidDel="00000000" w:rsidR="00000000" w:rsidRPr="00000000">
          <w:rPr>
            <w:shd w:fill="auto" w:val="clear"/>
            <w:vertAlign w:val="baseline"/>
            <w:rtl w:val="0"/>
          </w:rPr>
          <w:t xml:space="preserve">Kot</w:t>
        </w:r>
      </w:hyperlink>
      <w:hyperlink r:id="rId28">
        <w:r w:rsidDel="00000000" w:rsidR="00000000" w:rsidRPr="00000000">
          <w:rPr>
            <w:shd w:fill="auto" w:val="clear"/>
            <w:vertAlign w:val="baseline"/>
            <w:rtl w:val="0"/>
          </w:rPr>
          <w:t xml:space="preserve">, «Face Recognition Based on Discriminant Evaluation in the Whole </w:t>
        </w:r>
      </w:hyperlink>
      <w:hyperlink r:id="rId29">
        <w:r w:rsidDel="00000000" w:rsidR="00000000" w:rsidRPr="00000000">
          <w:rPr>
            <w:shd w:fill="auto" w:val="clear"/>
            <w:vertAlign w:val="baseline"/>
            <w:rtl w:val="0"/>
          </w:rPr>
          <w:t xml:space="preserve">Space»</w:t>
        </w:r>
      </w:hyperlink>
      <w:hyperlink r:id="rId30">
        <w:r w:rsidDel="00000000" w:rsidR="00000000" w:rsidRPr="00000000">
          <w:rPr>
            <w:shd w:fill="auto" w:val="clear"/>
            <w:vertAlign w:val="baseline"/>
            <w:rtl w:val="0"/>
          </w:rPr>
          <w:t xml:space="preserve">, в </w:t>
        </w:r>
      </w:hyperlink>
      <w:hyperlink r:id="rId31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2007 IEEE International Conference on Acoustics, Speech and Signal Processing - ICASSP ’07</w:t>
        </w:r>
      </w:hyperlink>
      <w:hyperlink r:id="rId32">
        <w:r w:rsidDel="00000000" w:rsidR="00000000" w:rsidRPr="00000000">
          <w:rPr>
            <w:shd w:fill="auto" w:val="clear"/>
            <w:vertAlign w:val="baseline"/>
            <w:rtl w:val="0"/>
          </w:rPr>
          <w:t xml:space="preserve">, Honolulu, HI, USA: IEEE, 2007, с. II-245-II–248. doi: 10.1109/ICASSP.2007.366218.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hyperlink r:id="rId33">
        <w:r w:rsidDel="00000000" w:rsidR="00000000" w:rsidRPr="00000000">
          <w:rPr>
            <w:shd w:fill="auto" w:val="clear"/>
            <w:vertAlign w:val="baseline"/>
            <w:rtl w:val="0"/>
          </w:rPr>
          <w:t xml:space="preserve">[4]</w:t>
          <w:tab/>
          <w:t xml:space="preserve">Wen Yi Zhao, «Discriminant component analysis for face recognition», в </w:t>
        </w:r>
      </w:hyperlink>
      <w:hyperlink r:id="rId3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Proceedings 15th International Conference on Pattern Recognition. ICPR-2000</w:t>
        </w:r>
      </w:hyperlink>
      <w:hyperlink r:id="rId35">
        <w:r w:rsidDel="00000000" w:rsidR="00000000" w:rsidRPr="00000000">
          <w:rPr>
            <w:shd w:fill="auto" w:val="clear"/>
            <w:vertAlign w:val="baseline"/>
            <w:rtl w:val="0"/>
          </w:rPr>
          <w:t xml:space="preserve">, Barcelona, Spain: IEEE Comput. Soc, 2000, сс. 818–821. doi: 10.1109/ICPR.2000.906201.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hyperlink r:id="rId36">
        <w:r w:rsidDel="00000000" w:rsidR="00000000" w:rsidRPr="00000000">
          <w:rPr>
            <w:shd w:fill="auto" w:val="clear"/>
            <w:vertAlign w:val="baseline"/>
            <w:rtl w:val="0"/>
          </w:rPr>
          <w:t xml:space="preserve">[5]</w:t>
          <w:tab/>
          <w:t xml:space="preserve">P. S. Hiremath и C. J. Prabhakar, «Face Recognition Technique Using Symbolic Linear Discriminant Analysis Method», в </w:t>
        </w:r>
      </w:hyperlink>
      <w:hyperlink r:id="rId37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Computer Vision, Graphics and Image Processing</w:t>
        </w:r>
      </w:hyperlink>
      <w:hyperlink r:id="rId38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4338, P. K. Kalra и S. Peleg, Ред., в Lecture Notes in Computer Science, vol. 4338. , Berlin, Heidelberg: Springer Berlin Heidelberg, 2006, сс. 641–649. doi: 10.1007/11949619_57.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hyperlink r:id="rId39">
        <w:r w:rsidDel="00000000" w:rsidR="00000000" w:rsidRPr="00000000">
          <w:rPr>
            <w:shd w:fill="auto" w:val="clear"/>
            <w:vertAlign w:val="baseline"/>
            <w:rtl w:val="0"/>
          </w:rPr>
          <w:t xml:space="preserve">[6]</w:t>
          <w:tab/>
          <w:t xml:space="preserve">D.-Q. Dai и P. C. Yuen, «Wavelet based discriminant analysis for face recognition», </w:t>
        </w:r>
      </w:hyperlink>
      <w:hyperlink r:id="rId40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Appl. Math. Comput.</w:t>
        </w:r>
      </w:hyperlink>
      <w:hyperlink r:id="rId41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175, вып. 1, сс. 307–318, 2006, doi: 10.1016/j.amc.2005.07.044.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hyperlink r:id="rId42">
        <w:r w:rsidDel="00000000" w:rsidR="00000000" w:rsidRPr="00000000">
          <w:rPr>
            <w:shd w:fill="auto" w:val="clear"/>
            <w:vertAlign w:val="baseline"/>
            <w:rtl w:val="0"/>
          </w:rPr>
          <w:t xml:space="preserve">[7]</w:t>
          <w:tab/>
          <w:t xml:space="preserve">C. Zhang и Q. Ruan, «Fusing the complete linear discriminant features by fuzzy integral for face recognition», в </w:t>
        </w:r>
      </w:hyperlink>
      <w:hyperlink r:id="rId43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2006 8th international Conference on Signal Processing</w:t>
        </w:r>
      </w:hyperlink>
      <w:hyperlink r:id="rId44">
        <w:r w:rsidDel="00000000" w:rsidR="00000000" w:rsidRPr="00000000">
          <w:rPr>
            <w:shd w:fill="auto" w:val="clear"/>
            <w:vertAlign w:val="baseline"/>
            <w:rtl w:val="0"/>
          </w:rPr>
          <w:t xml:space="preserve">, Guilin, China: IEEE, 2006, с. 4129178. doi: 10.1109/ICOSP.2006.345819.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hyperlink r:id="rId45">
        <w:r w:rsidDel="00000000" w:rsidR="00000000" w:rsidRPr="00000000">
          <w:rPr>
            <w:shd w:fill="auto" w:val="clear"/>
            <w:vertAlign w:val="baseline"/>
            <w:rtl w:val="0"/>
          </w:rPr>
          <w:t xml:space="preserve">[8]</w:t>
          <w:tab/>
          <w:t xml:space="preserve">Chengjun </w:t>
        </w:r>
      </w:hyperlink>
      <w:hyperlink r:id="rId46">
        <w:r w:rsidDel="00000000" w:rsidR="00000000" w:rsidRPr="00000000">
          <w:rPr>
            <w:shd w:fill="auto" w:val="clear"/>
            <w:vertAlign w:val="baseline"/>
            <w:rtl w:val="0"/>
          </w:rPr>
          <w:t xml:space="preserve">Liu и H.</w:t>
        </w:r>
      </w:hyperlink>
      <w:hyperlink r:id="rId47">
        <w:r w:rsidDel="00000000" w:rsidR="00000000" w:rsidRPr="00000000">
          <w:rPr>
            <w:shd w:fill="auto" w:val="clear"/>
            <w:vertAlign w:val="baseline"/>
            <w:rtl w:val="0"/>
          </w:rPr>
          <w:t xml:space="preserve"> Wechsler, «Gabor feature based classification using the enhanced fisher linear discriminant model for face recognition», </w:t>
        </w:r>
      </w:hyperlink>
      <w:hyperlink r:id="rId48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IEEE Trans. Image Process.</w:t>
        </w:r>
      </w:hyperlink>
      <w:hyperlink r:id="rId49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11, вып. 4, сс. 467–476, 2002, doi: 10.1109/TIP.2002.999679.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hyperlink r:id="rId50">
        <w:r w:rsidDel="00000000" w:rsidR="00000000" w:rsidRPr="00000000">
          <w:rPr>
            <w:shd w:fill="auto" w:val="clear"/>
            <w:vertAlign w:val="baseline"/>
            <w:rtl w:val="0"/>
          </w:rPr>
          <w:t xml:space="preserve">[9]</w:t>
          <w:tab/>
          <w:t xml:space="preserve">R. Nka, «Face Recognition Based on Principal Component Analysis and Linear Discriminant Analysis», </w:t>
        </w:r>
      </w:hyperlink>
      <w:hyperlink r:id="rId51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Int. J. Adv. Res. Electr. Electron. Instrum. Eng.</w:t>
        </w:r>
      </w:hyperlink>
      <w:hyperlink r:id="rId52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4, вып. 8, сс. 7266–7274, 2015, doi: 10.15662/ijareeie.2015.0408046.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hyperlink r:id="rId53">
        <w:r w:rsidDel="00000000" w:rsidR="00000000" w:rsidRPr="00000000">
          <w:rPr>
            <w:shd w:fill="auto" w:val="clear"/>
            <w:vertAlign w:val="baseline"/>
            <w:rtl w:val="0"/>
          </w:rPr>
          <w:t xml:space="preserve">[10]</w:t>
          <w:tab/>
          <w:t xml:space="preserve">S. Yeom, «A Linear Discriminant Analysis for Low Resolution Face Recognition», в </w:t>
        </w:r>
      </w:hyperlink>
      <w:hyperlink r:id="rId5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2008 Second International Conference on Future Generation Communication and Networking Symposia</w:t>
        </w:r>
      </w:hyperlink>
      <w:hyperlink r:id="rId55">
        <w:r w:rsidDel="00000000" w:rsidR="00000000" w:rsidRPr="00000000">
          <w:rPr>
            <w:shd w:fill="auto" w:val="clear"/>
            <w:vertAlign w:val="baseline"/>
            <w:rtl w:val="0"/>
          </w:rPr>
          <w:t xml:space="preserve">, Hinan, China: IEEE, 2008, сс. 230–233. doi: 10.1109/FGCNS.2008.59.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2xeswU" TargetMode="External"/><Relationship Id="rId42" Type="http://schemas.openxmlformats.org/officeDocument/2006/relationships/hyperlink" Target="https://www.zotero.org/google-docs/?2xeswU" TargetMode="External"/><Relationship Id="rId41" Type="http://schemas.openxmlformats.org/officeDocument/2006/relationships/hyperlink" Target="https://www.zotero.org/google-docs/?2xeswU" TargetMode="External"/><Relationship Id="rId44" Type="http://schemas.openxmlformats.org/officeDocument/2006/relationships/hyperlink" Target="https://www.zotero.org/google-docs/?2xeswU" TargetMode="External"/><Relationship Id="rId43" Type="http://schemas.openxmlformats.org/officeDocument/2006/relationships/hyperlink" Target="https://www.zotero.org/google-docs/?2xeswU" TargetMode="External"/><Relationship Id="rId46" Type="http://schemas.openxmlformats.org/officeDocument/2006/relationships/hyperlink" Target="https://www.zotero.org/google-docs/?2xeswU" TargetMode="External"/><Relationship Id="rId45" Type="http://schemas.openxmlformats.org/officeDocument/2006/relationships/hyperlink" Target="https://www.zotero.org/google-docs/?2xesw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Trw7DQ" TargetMode="External"/><Relationship Id="rId48" Type="http://schemas.openxmlformats.org/officeDocument/2006/relationships/hyperlink" Target="https://www.zotero.org/google-docs/?2xeswU" TargetMode="External"/><Relationship Id="rId47" Type="http://schemas.openxmlformats.org/officeDocument/2006/relationships/hyperlink" Target="https://www.zotero.org/google-docs/?2xeswU" TargetMode="External"/><Relationship Id="rId49" Type="http://schemas.openxmlformats.org/officeDocument/2006/relationships/hyperlink" Target="https://www.zotero.org/google-docs/?2xesw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n3Sfzb" TargetMode="External"/><Relationship Id="rId7" Type="http://schemas.openxmlformats.org/officeDocument/2006/relationships/hyperlink" Target="https://www.zotero.org/google-docs/?h36HIG" TargetMode="External"/><Relationship Id="rId8" Type="http://schemas.openxmlformats.org/officeDocument/2006/relationships/hyperlink" Target="https://www.zotero.org/google-docs/?2fnRug" TargetMode="External"/><Relationship Id="rId31" Type="http://schemas.openxmlformats.org/officeDocument/2006/relationships/hyperlink" Target="https://www.zotero.org/google-docs/?2xeswU" TargetMode="External"/><Relationship Id="rId30" Type="http://schemas.openxmlformats.org/officeDocument/2006/relationships/hyperlink" Target="https://www.zotero.org/google-docs/?2xeswU" TargetMode="External"/><Relationship Id="rId33" Type="http://schemas.openxmlformats.org/officeDocument/2006/relationships/hyperlink" Target="https://www.zotero.org/google-docs/?2xeswU" TargetMode="External"/><Relationship Id="rId32" Type="http://schemas.openxmlformats.org/officeDocument/2006/relationships/hyperlink" Target="https://www.zotero.org/google-docs/?2xeswU" TargetMode="External"/><Relationship Id="rId35" Type="http://schemas.openxmlformats.org/officeDocument/2006/relationships/hyperlink" Target="https://www.zotero.org/google-docs/?2xeswU" TargetMode="External"/><Relationship Id="rId34" Type="http://schemas.openxmlformats.org/officeDocument/2006/relationships/hyperlink" Target="https://www.zotero.org/google-docs/?2xeswU" TargetMode="External"/><Relationship Id="rId37" Type="http://schemas.openxmlformats.org/officeDocument/2006/relationships/hyperlink" Target="https://www.zotero.org/google-docs/?2xeswU" TargetMode="External"/><Relationship Id="rId36" Type="http://schemas.openxmlformats.org/officeDocument/2006/relationships/hyperlink" Target="https://www.zotero.org/google-docs/?2xeswU" TargetMode="External"/><Relationship Id="rId39" Type="http://schemas.openxmlformats.org/officeDocument/2006/relationships/hyperlink" Target="https://www.zotero.org/google-docs/?2xeswU" TargetMode="External"/><Relationship Id="rId38" Type="http://schemas.openxmlformats.org/officeDocument/2006/relationships/hyperlink" Target="https://www.zotero.org/google-docs/?2xeswU" TargetMode="External"/><Relationship Id="rId20" Type="http://schemas.openxmlformats.org/officeDocument/2006/relationships/hyperlink" Target="https://www.zotero.org/google-docs/?2xeswU" TargetMode="External"/><Relationship Id="rId22" Type="http://schemas.openxmlformats.org/officeDocument/2006/relationships/hyperlink" Target="https://www.zotero.org/google-docs/?2xeswU" TargetMode="External"/><Relationship Id="rId21" Type="http://schemas.openxmlformats.org/officeDocument/2006/relationships/hyperlink" Target="https://www.zotero.org/google-docs/?2xeswU" TargetMode="External"/><Relationship Id="rId24" Type="http://schemas.openxmlformats.org/officeDocument/2006/relationships/hyperlink" Target="https://www.zotero.org/google-docs/?2xeswU" TargetMode="External"/><Relationship Id="rId23" Type="http://schemas.openxmlformats.org/officeDocument/2006/relationships/hyperlink" Target="https://www.zotero.org/google-docs/?2xeswU" TargetMode="External"/><Relationship Id="rId26" Type="http://schemas.openxmlformats.org/officeDocument/2006/relationships/hyperlink" Target="https://www.zotero.org/google-docs/?2xeswU" TargetMode="External"/><Relationship Id="rId25" Type="http://schemas.openxmlformats.org/officeDocument/2006/relationships/hyperlink" Target="https://www.zotero.org/google-docs/?2xeswU" TargetMode="External"/><Relationship Id="rId28" Type="http://schemas.openxmlformats.org/officeDocument/2006/relationships/hyperlink" Target="https://www.zotero.org/google-docs/?2xeswU" TargetMode="External"/><Relationship Id="rId27" Type="http://schemas.openxmlformats.org/officeDocument/2006/relationships/hyperlink" Target="https://www.zotero.org/google-docs/?2xeswU" TargetMode="External"/><Relationship Id="rId29" Type="http://schemas.openxmlformats.org/officeDocument/2006/relationships/hyperlink" Target="https://www.zotero.org/google-docs/?2xeswU" TargetMode="External"/><Relationship Id="rId51" Type="http://schemas.openxmlformats.org/officeDocument/2006/relationships/hyperlink" Target="https://www.zotero.org/google-docs/?2xeswU" TargetMode="External"/><Relationship Id="rId50" Type="http://schemas.openxmlformats.org/officeDocument/2006/relationships/hyperlink" Target="https://www.zotero.org/google-docs/?2xeswU" TargetMode="External"/><Relationship Id="rId53" Type="http://schemas.openxmlformats.org/officeDocument/2006/relationships/hyperlink" Target="https://www.zotero.org/google-docs/?2xeswU" TargetMode="External"/><Relationship Id="rId52" Type="http://schemas.openxmlformats.org/officeDocument/2006/relationships/hyperlink" Target="https://www.zotero.org/google-docs/?2xeswU" TargetMode="External"/><Relationship Id="rId11" Type="http://schemas.openxmlformats.org/officeDocument/2006/relationships/hyperlink" Target="https://www.zotero.org/google-docs/?cJB44S" TargetMode="External"/><Relationship Id="rId55" Type="http://schemas.openxmlformats.org/officeDocument/2006/relationships/hyperlink" Target="https://www.zotero.org/google-docs/?2xeswU" TargetMode="External"/><Relationship Id="rId10" Type="http://schemas.openxmlformats.org/officeDocument/2006/relationships/hyperlink" Target="https://www.zotero.org/google-docs/?xeBVtp" TargetMode="External"/><Relationship Id="rId54" Type="http://schemas.openxmlformats.org/officeDocument/2006/relationships/hyperlink" Target="https://www.zotero.org/google-docs/?2xeswU" TargetMode="External"/><Relationship Id="rId13" Type="http://schemas.openxmlformats.org/officeDocument/2006/relationships/hyperlink" Target="https://www.zotero.org/google-docs/?7t9yab" TargetMode="External"/><Relationship Id="rId12" Type="http://schemas.openxmlformats.org/officeDocument/2006/relationships/hyperlink" Target="https://www.zotero.org/google-docs/?zjxNEW" TargetMode="External"/><Relationship Id="rId15" Type="http://schemas.openxmlformats.org/officeDocument/2006/relationships/hyperlink" Target="https://www.zotero.org/google-docs/?H8Cmtl" TargetMode="External"/><Relationship Id="rId14" Type="http://schemas.openxmlformats.org/officeDocument/2006/relationships/hyperlink" Target="https://www.zotero.org/google-docs/?1dEAC1" TargetMode="External"/><Relationship Id="rId17" Type="http://schemas.openxmlformats.org/officeDocument/2006/relationships/hyperlink" Target="https://www.zotero.org/google-docs/?FJxRqx" TargetMode="External"/><Relationship Id="rId16" Type="http://schemas.openxmlformats.org/officeDocument/2006/relationships/hyperlink" Target="https://www.zotero.org/google-docs/?1jm7HS" TargetMode="External"/><Relationship Id="rId19" Type="http://schemas.openxmlformats.org/officeDocument/2006/relationships/hyperlink" Target="https://www.zotero.org/google-docs/?2xeswU" TargetMode="External"/><Relationship Id="rId18" Type="http://schemas.openxmlformats.org/officeDocument/2006/relationships/hyperlink" Target="https://www.zotero.org/google-docs/?2xesw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