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ECFA" w14:textId="6AD278FD" w:rsidR="0056535C" w:rsidRDefault="0056535C">
      <w:pPr>
        <w:pStyle w:val="11"/>
        <w:rPr>
          <w:rFonts w:asciiTheme="minorHAnsi" w:eastAsiaTheme="minorEastAsia" w:hAnsiTheme="minorHAnsi" w:cstheme="minorBidi"/>
          <w:sz w:val="22"/>
          <w:szCs w:val="22"/>
        </w:rPr>
      </w:pPr>
      <w:r>
        <w:rPr>
          <w:lang w:val="en-US"/>
        </w:rPr>
        <w:fldChar w:fldCharType="begin"/>
      </w:r>
      <w:r>
        <w:rPr>
          <w:lang w:val="en-US"/>
        </w:rPr>
        <w:instrText xml:space="preserve"> TOC \o "1-3" \h \z \u </w:instrText>
      </w:r>
      <w:r>
        <w:rPr>
          <w:lang w:val="en-US"/>
        </w:rPr>
        <w:fldChar w:fldCharType="separate"/>
      </w:r>
      <w:hyperlink w:anchor="_Toc163132403" w:history="1">
        <w:r w:rsidRPr="004663FA">
          <w:rPr>
            <w:rStyle w:val="aff"/>
            <w:lang w:val="en-US"/>
          </w:rPr>
          <w:t>1</w:t>
        </w:r>
        <w:r>
          <w:rPr>
            <w:rFonts w:asciiTheme="minorHAnsi" w:eastAsiaTheme="minorEastAsia" w:hAnsiTheme="minorHAnsi" w:cstheme="minorBidi"/>
            <w:sz w:val="22"/>
            <w:szCs w:val="22"/>
          </w:rPr>
          <w:tab/>
        </w:r>
        <w:r w:rsidRPr="004663FA">
          <w:rPr>
            <w:rStyle w:val="aff"/>
            <w:lang w:val="en-US"/>
          </w:rPr>
          <w:t>Measuring network-layer discrimination</w:t>
        </w:r>
        <w:r>
          <w:rPr>
            <w:webHidden/>
          </w:rPr>
          <w:tab/>
        </w:r>
        <w:r>
          <w:rPr>
            <w:webHidden/>
          </w:rPr>
          <w:fldChar w:fldCharType="begin"/>
        </w:r>
        <w:r>
          <w:rPr>
            <w:webHidden/>
          </w:rPr>
          <w:instrText xml:space="preserve"> PAGEREF _Toc163132403 \h </w:instrText>
        </w:r>
        <w:r>
          <w:rPr>
            <w:webHidden/>
          </w:rPr>
        </w:r>
        <w:r>
          <w:rPr>
            <w:webHidden/>
          </w:rPr>
          <w:fldChar w:fldCharType="separate"/>
        </w:r>
        <w:r>
          <w:rPr>
            <w:webHidden/>
          </w:rPr>
          <w:t>2</w:t>
        </w:r>
        <w:r>
          <w:rPr>
            <w:webHidden/>
          </w:rPr>
          <w:fldChar w:fldCharType="end"/>
        </w:r>
      </w:hyperlink>
    </w:p>
    <w:p w14:paraId="19A6F044" w14:textId="537537AE" w:rsidR="0056535C" w:rsidRDefault="0056535C">
      <w:pPr>
        <w:pStyle w:val="21"/>
        <w:rPr>
          <w:rFonts w:asciiTheme="minorHAnsi" w:eastAsiaTheme="minorEastAsia" w:hAnsiTheme="minorHAnsi" w:cstheme="minorBidi"/>
          <w:sz w:val="22"/>
          <w:szCs w:val="22"/>
        </w:rPr>
      </w:pPr>
      <w:hyperlink w:anchor="_Toc163132404" w:history="1">
        <w:r w:rsidRPr="004663FA">
          <w:rPr>
            <w:rStyle w:val="aff"/>
            <w:lang w:val="en-US"/>
          </w:rPr>
          <w:t>1.1</w:t>
        </w:r>
        <w:r>
          <w:rPr>
            <w:rFonts w:asciiTheme="minorHAnsi" w:eastAsiaTheme="minorEastAsia" w:hAnsiTheme="minorHAnsi" w:cstheme="minorBidi"/>
            <w:sz w:val="22"/>
            <w:szCs w:val="22"/>
          </w:rPr>
          <w:tab/>
        </w:r>
        <w:r w:rsidRPr="004663FA">
          <w:rPr>
            <w:rStyle w:val="aff"/>
            <w:lang w:val="en-US"/>
          </w:rPr>
          <w:t>Overview of measurements and block detection</w:t>
        </w:r>
        <w:r>
          <w:rPr>
            <w:webHidden/>
          </w:rPr>
          <w:tab/>
        </w:r>
        <w:r>
          <w:rPr>
            <w:webHidden/>
          </w:rPr>
          <w:fldChar w:fldCharType="begin"/>
        </w:r>
        <w:r>
          <w:rPr>
            <w:webHidden/>
          </w:rPr>
          <w:instrText xml:space="preserve"> PAGEREF _Toc163132404 \h </w:instrText>
        </w:r>
        <w:r>
          <w:rPr>
            <w:webHidden/>
          </w:rPr>
        </w:r>
        <w:r>
          <w:rPr>
            <w:webHidden/>
          </w:rPr>
          <w:fldChar w:fldCharType="separate"/>
        </w:r>
        <w:r>
          <w:rPr>
            <w:webHidden/>
          </w:rPr>
          <w:t>2</w:t>
        </w:r>
        <w:r>
          <w:rPr>
            <w:webHidden/>
          </w:rPr>
          <w:fldChar w:fldCharType="end"/>
        </w:r>
      </w:hyperlink>
    </w:p>
    <w:p w14:paraId="345C1215" w14:textId="5AA4D9A4" w:rsidR="0056535C" w:rsidRDefault="0056535C">
      <w:pPr>
        <w:pStyle w:val="21"/>
        <w:rPr>
          <w:rFonts w:asciiTheme="minorHAnsi" w:eastAsiaTheme="minorEastAsia" w:hAnsiTheme="minorHAnsi" w:cstheme="minorBidi"/>
          <w:sz w:val="22"/>
          <w:szCs w:val="22"/>
        </w:rPr>
      </w:pPr>
      <w:hyperlink w:anchor="_Toc163132405" w:history="1">
        <w:r w:rsidRPr="004663FA">
          <w:rPr>
            <w:rStyle w:val="aff"/>
            <w:lang w:val="en-US"/>
          </w:rPr>
          <w:t>1.2</w:t>
        </w:r>
        <w:r>
          <w:rPr>
            <w:rFonts w:asciiTheme="minorHAnsi" w:eastAsiaTheme="minorEastAsia" w:hAnsiTheme="minorHAnsi" w:cstheme="minorBidi"/>
            <w:sz w:val="22"/>
            <w:szCs w:val="22"/>
          </w:rPr>
          <w:tab/>
        </w:r>
        <w:r w:rsidRPr="004663FA">
          <w:rPr>
            <w:rStyle w:val="aff"/>
            <w:lang w:val="en-US"/>
          </w:rPr>
          <w:t>Mitigating the Impact of Packet Loss</w:t>
        </w:r>
        <w:r>
          <w:rPr>
            <w:webHidden/>
          </w:rPr>
          <w:tab/>
        </w:r>
        <w:r>
          <w:rPr>
            <w:webHidden/>
          </w:rPr>
          <w:fldChar w:fldCharType="begin"/>
        </w:r>
        <w:r>
          <w:rPr>
            <w:webHidden/>
          </w:rPr>
          <w:instrText xml:space="preserve"> PAGEREF _Toc163132405 \h </w:instrText>
        </w:r>
        <w:r>
          <w:rPr>
            <w:webHidden/>
          </w:rPr>
        </w:r>
        <w:r>
          <w:rPr>
            <w:webHidden/>
          </w:rPr>
          <w:fldChar w:fldCharType="separate"/>
        </w:r>
        <w:r>
          <w:rPr>
            <w:webHidden/>
          </w:rPr>
          <w:t>3</w:t>
        </w:r>
        <w:r>
          <w:rPr>
            <w:webHidden/>
          </w:rPr>
          <w:fldChar w:fldCharType="end"/>
        </w:r>
      </w:hyperlink>
    </w:p>
    <w:p w14:paraId="4B2E7E01" w14:textId="4EE55941" w:rsidR="0056535C" w:rsidRDefault="0056535C">
      <w:pPr>
        <w:pStyle w:val="21"/>
        <w:rPr>
          <w:rFonts w:asciiTheme="minorHAnsi" w:eastAsiaTheme="minorEastAsia" w:hAnsiTheme="minorHAnsi" w:cstheme="minorBidi"/>
          <w:sz w:val="22"/>
          <w:szCs w:val="22"/>
        </w:rPr>
      </w:pPr>
      <w:hyperlink w:anchor="_Toc163132406" w:history="1">
        <w:r w:rsidRPr="004663FA">
          <w:rPr>
            <w:rStyle w:val="aff"/>
            <w:lang w:val="en-US"/>
          </w:rPr>
          <w:t>1.3</w:t>
        </w:r>
        <w:r>
          <w:rPr>
            <w:rFonts w:asciiTheme="minorHAnsi" w:eastAsiaTheme="minorEastAsia" w:hAnsiTheme="minorHAnsi" w:cstheme="minorBidi"/>
            <w:sz w:val="22"/>
            <w:szCs w:val="22"/>
          </w:rPr>
          <w:tab/>
        </w:r>
        <w:r w:rsidRPr="004663FA">
          <w:rPr>
            <w:rStyle w:val="aff"/>
            <w:lang w:val="en-US"/>
          </w:rPr>
          <w:t>Data</w:t>
        </w:r>
        <w:r>
          <w:rPr>
            <w:webHidden/>
          </w:rPr>
          <w:tab/>
        </w:r>
        <w:r>
          <w:rPr>
            <w:webHidden/>
          </w:rPr>
          <w:fldChar w:fldCharType="begin"/>
        </w:r>
        <w:r>
          <w:rPr>
            <w:webHidden/>
          </w:rPr>
          <w:instrText xml:space="preserve"> PAGEREF _Toc163132406 \h </w:instrText>
        </w:r>
        <w:r>
          <w:rPr>
            <w:webHidden/>
          </w:rPr>
        </w:r>
        <w:r>
          <w:rPr>
            <w:webHidden/>
          </w:rPr>
          <w:fldChar w:fldCharType="separate"/>
        </w:r>
        <w:r>
          <w:rPr>
            <w:webHidden/>
          </w:rPr>
          <w:t>4</w:t>
        </w:r>
        <w:r>
          <w:rPr>
            <w:webHidden/>
          </w:rPr>
          <w:fldChar w:fldCharType="end"/>
        </w:r>
      </w:hyperlink>
    </w:p>
    <w:p w14:paraId="51A4C60D" w14:textId="7A5F45EF" w:rsidR="0056535C" w:rsidRDefault="0056535C">
      <w:pPr>
        <w:pStyle w:val="21"/>
        <w:rPr>
          <w:rFonts w:asciiTheme="minorHAnsi" w:eastAsiaTheme="minorEastAsia" w:hAnsiTheme="minorHAnsi" w:cstheme="minorBidi"/>
          <w:sz w:val="22"/>
          <w:szCs w:val="22"/>
        </w:rPr>
      </w:pPr>
      <w:hyperlink w:anchor="_Toc163132407" w:history="1">
        <w:r w:rsidRPr="004663FA">
          <w:rPr>
            <w:rStyle w:val="aff"/>
            <w:lang w:val="en-US"/>
          </w:rPr>
          <w:t>1.4</w:t>
        </w:r>
        <w:r>
          <w:rPr>
            <w:rFonts w:asciiTheme="minorHAnsi" w:eastAsiaTheme="minorEastAsia" w:hAnsiTheme="minorHAnsi" w:cstheme="minorBidi"/>
            <w:sz w:val="22"/>
            <w:szCs w:val="22"/>
          </w:rPr>
          <w:tab/>
        </w:r>
        <w:r w:rsidRPr="004663FA">
          <w:rPr>
            <w:rStyle w:val="aff"/>
            <w:lang w:val="en-US"/>
          </w:rPr>
          <w:t>Assessing Network-Layer Discrimination</w:t>
        </w:r>
        <w:r>
          <w:rPr>
            <w:webHidden/>
          </w:rPr>
          <w:tab/>
        </w:r>
        <w:r>
          <w:rPr>
            <w:webHidden/>
          </w:rPr>
          <w:fldChar w:fldCharType="begin"/>
        </w:r>
        <w:r>
          <w:rPr>
            <w:webHidden/>
          </w:rPr>
          <w:instrText xml:space="preserve"> PAGEREF _Toc163132407 \h </w:instrText>
        </w:r>
        <w:r>
          <w:rPr>
            <w:webHidden/>
          </w:rPr>
        </w:r>
        <w:r>
          <w:rPr>
            <w:webHidden/>
          </w:rPr>
          <w:fldChar w:fldCharType="separate"/>
        </w:r>
        <w:r>
          <w:rPr>
            <w:webHidden/>
          </w:rPr>
          <w:t>4</w:t>
        </w:r>
        <w:r>
          <w:rPr>
            <w:webHidden/>
          </w:rPr>
          <w:fldChar w:fldCharType="end"/>
        </w:r>
      </w:hyperlink>
    </w:p>
    <w:p w14:paraId="394ECAD2" w14:textId="20DE74AC" w:rsidR="0056535C" w:rsidRDefault="0056535C">
      <w:pPr>
        <w:pStyle w:val="11"/>
        <w:rPr>
          <w:rFonts w:asciiTheme="minorHAnsi" w:eastAsiaTheme="minorEastAsia" w:hAnsiTheme="minorHAnsi" w:cstheme="minorBidi"/>
          <w:sz w:val="22"/>
          <w:szCs w:val="22"/>
        </w:rPr>
      </w:pPr>
      <w:hyperlink w:anchor="_Toc163132408" w:history="1">
        <w:r w:rsidRPr="004663FA">
          <w:rPr>
            <w:rStyle w:val="aff"/>
            <w:lang w:val="en-US"/>
          </w:rPr>
          <w:t>2</w:t>
        </w:r>
        <w:r>
          <w:rPr>
            <w:rFonts w:asciiTheme="minorHAnsi" w:eastAsiaTheme="minorEastAsia" w:hAnsiTheme="minorHAnsi" w:cstheme="minorBidi"/>
            <w:sz w:val="22"/>
            <w:szCs w:val="22"/>
          </w:rPr>
          <w:tab/>
        </w:r>
        <w:r w:rsidRPr="004663FA">
          <w:rPr>
            <w:rStyle w:val="aff"/>
            <w:lang w:val="en-US"/>
          </w:rPr>
          <w:t>Mathematical Analysis</w:t>
        </w:r>
        <w:r>
          <w:rPr>
            <w:webHidden/>
          </w:rPr>
          <w:tab/>
        </w:r>
        <w:r>
          <w:rPr>
            <w:webHidden/>
          </w:rPr>
          <w:fldChar w:fldCharType="begin"/>
        </w:r>
        <w:r>
          <w:rPr>
            <w:webHidden/>
          </w:rPr>
          <w:instrText xml:space="preserve"> PAGEREF _Toc163132408 \h </w:instrText>
        </w:r>
        <w:r>
          <w:rPr>
            <w:webHidden/>
          </w:rPr>
        </w:r>
        <w:r>
          <w:rPr>
            <w:webHidden/>
          </w:rPr>
          <w:fldChar w:fldCharType="separate"/>
        </w:r>
        <w:r>
          <w:rPr>
            <w:webHidden/>
          </w:rPr>
          <w:t>6</w:t>
        </w:r>
        <w:r>
          <w:rPr>
            <w:webHidden/>
          </w:rPr>
          <w:fldChar w:fldCharType="end"/>
        </w:r>
      </w:hyperlink>
    </w:p>
    <w:p w14:paraId="1EC7BBEC" w14:textId="455D4D4E" w:rsidR="0056535C" w:rsidRDefault="0056535C">
      <w:pPr>
        <w:pStyle w:val="21"/>
        <w:rPr>
          <w:rFonts w:asciiTheme="minorHAnsi" w:eastAsiaTheme="minorEastAsia" w:hAnsiTheme="minorHAnsi" w:cstheme="minorBidi"/>
          <w:sz w:val="22"/>
          <w:szCs w:val="22"/>
        </w:rPr>
      </w:pPr>
      <w:hyperlink w:anchor="_Toc163132409" w:history="1">
        <w:r w:rsidRPr="004663FA">
          <w:rPr>
            <w:rStyle w:val="aff"/>
            <w:lang w:val="en-US"/>
          </w:rPr>
          <w:t>2.1</w:t>
        </w:r>
        <w:r>
          <w:rPr>
            <w:rFonts w:asciiTheme="minorHAnsi" w:eastAsiaTheme="minorEastAsia" w:hAnsiTheme="minorHAnsi" w:cstheme="minorBidi"/>
            <w:sz w:val="22"/>
            <w:szCs w:val="22"/>
          </w:rPr>
          <w:tab/>
        </w:r>
        <w:r w:rsidRPr="004663FA">
          <w:rPr>
            <w:rStyle w:val="aff"/>
          </w:rPr>
          <w:t>Long-Lived Flows</w:t>
        </w:r>
        <w:r>
          <w:rPr>
            <w:webHidden/>
          </w:rPr>
          <w:tab/>
        </w:r>
        <w:r>
          <w:rPr>
            <w:webHidden/>
          </w:rPr>
          <w:fldChar w:fldCharType="begin"/>
        </w:r>
        <w:r>
          <w:rPr>
            <w:webHidden/>
          </w:rPr>
          <w:instrText xml:space="preserve"> PAGEREF _Toc163132409 \h </w:instrText>
        </w:r>
        <w:r>
          <w:rPr>
            <w:webHidden/>
          </w:rPr>
        </w:r>
        <w:r>
          <w:rPr>
            <w:webHidden/>
          </w:rPr>
          <w:fldChar w:fldCharType="separate"/>
        </w:r>
        <w:r>
          <w:rPr>
            <w:webHidden/>
          </w:rPr>
          <w:t>6</w:t>
        </w:r>
        <w:r>
          <w:rPr>
            <w:webHidden/>
          </w:rPr>
          <w:fldChar w:fldCharType="end"/>
        </w:r>
      </w:hyperlink>
    </w:p>
    <w:p w14:paraId="6D7378BE" w14:textId="6F811A35" w:rsidR="004C077D" w:rsidRDefault="0056535C" w:rsidP="00FE0434">
      <w:pPr>
        <w:pStyle w:val="1"/>
        <w:rPr>
          <w:lang w:val="en-US"/>
        </w:rPr>
      </w:pPr>
      <w:r>
        <w:rPr>
          <w:lang w:val="en-US"/>
        </w:rPr>
        <w:lastRenderedPageBreak/>
        <w:fldChar w:fldCharType="end"/>
      </w:r>
      <w:bookmarkStart w:id="0" w:name="_Toc163132403"/>
      <w:r w:rsidR="00E93056" w:rsidRPr="004C077D">
        <w:rPr>
          <w:lang w:val="en-US"/>
        </w:rPr>
        <w:t>Measuring network-layer discrimination</w:t>
      </w:r>
      <w:bookmarkEnd w:id="0"/>
      <w:r w:rsidR="00E93056" w:rsidRPr="004C077D">
        <w:rPr>
          <w:lang w:val="en-US"/>
        </w:rPr>
        <w:t xml:space="preserve"> </w:t>
      </w:r>
    </w:p>
    <w:p w14:paraId="6CFF0C05" w14:textId="0AB7F2F4" w:rsidR="004C077D" w:rsidRDefault="004C077D" w:rsidP="004C077D">
      <w:pPr>
        <w:rPr>
          <w:lang w:val="en-US"/>
        </w:rPr>
      </w:pPr>
      <w:r w:rsidRPr="004C077D">
        <w:rPr>
          <w:lang w:val="en-US"/>
        </w:rPr>
        <w:t>As we discuss in Section II, a straightforward technique for services to block Tor is to filter traffic from publicly listed exit nodes. To broadly assess this, we measure Tor filtering using ZMap probing from both Tor exit nodes and from control (non</w:t>
      </w:r>
      <w:r w:rsidR="00FE0434">
        <w:rPr>
          <w:lang w:val="en-US"/>
        </w:rPr>
        <w:t>-</w:t>
      </w:r>
      <w:r w:rsidRPr="004C077D">
        <w:rPr>
          <w:lang w:val="en-US"/>
        </w:rPr>
        <w:t xml:space="preserve">Tor) nodes to see how their access to remote addresses differs. For convenience we term these measurements as assessing ‘network-layer’ discrimination, though from a technical perspective they combine measurement of layer-3 and layer-4 blocking, since we restrict our measurements to attempts to connect to TCP port 80 services. </w:t>
      </w:r>
    </w:p>
    <w:p w14:paraId="04FC7FBC" w14:textId="3D21E79B" w:rsidR="004C077D" w:rsidRDefault="004C077D" w:rsidP="00FE0434">
      <w:pPr>
        <w:pStyle w:val="2"/>
        <w:rPr>
          <w:lang w:val="en-US"/>
        </w:rPr>
      </w:pPr>
      <w:bookmarkStart w:id="1" w:name="_Toc163132404"/>
      <w:r w:rsidRPr="004C077D">
        <w:rPr>
          <w:lang w:val="en-US"/>
        </w:rPr>
        <w:t>Overview of measurements and block detection</w:t>
      </w:r>
      <w:bookmarkEnd w:id="1"/>
    </w:p>
    <w:p w14:paraId="69D47D7B" w14:textId="3DE8CCFB" w:rsidR="00FE0434" w:rsidRDefault="004C077D" w:rsidP="004E517A">
      <w:pPr>
        <w:rPr>
          <w:lang w:val="en-US"/>
        </w:rPr>
      </w:pPr>
      <w:r w:rsidRPr="004C077D">
        <w:rPr>
          <w:lang w:val="en-US"/>
        </w:rPr>
        <w:t xml:space="preserve">We run our scans from Tor exit nodes and from two sets of control nodes: university nodes and a Tor middle node. We compare responses to our Tor scans with those from the baseline control scans and flag deviations as potentially reflecting discriminatory blocking. </w:t>
      </w:r>
      <w:r w:rsidRPr="00FE0434">
        <w:rPr>
          <w:lang w:val="en-US"/>
        </w:rPr>
        <w:t>Target hosts respond to ZMap probes</w:t>
      </w:r>
      <w:r w:rsidR="00FE0434">
        <w:rPr>
          <w:lang w:val="en-US"/>
        </w:rPr>
        <w:t xml:space="preserve"> </w:t>
      </w:r>
      <w:r w:rsidR="00FE0434" w:rsidRPr="00FE0434">
        <w:rPr>
          <w:lang w:val="en-US"/>
        </w:rPr>
        <w:t>(TCP SYNs) in one of three ways: a) sending a SYN-ACK, which we term a successful response; b) sending a RST, which we term an unsuccessful response; or c) not responding, which we also deem an unsuccessful response. ZMap, by default, only records successful responses; we modified it to record RSTs as well. We note that for an individual probe it is not possible to distinguish a lack of response from packet loss.</w:t>
      </w:r>
    </w:p>
    <w:p w14:paraId="17DFC139" w14:textId="4C71AAFE" w:rsidR="00FE0434" w:rsidRPr="00FE0434" w:rsidRDefault="00FE0434" w:rsidP="00FE0434">
      <w:pPr>
        <w:pStyle w:val="af0"/>
      </w:pPr>
      <w:r w:rsidRPr="00FE0434">
        <w:drawing>
          <wp:inline distT="0" distB="0" distL="0" distR="0" wp14:anchorId="0802AD8F" wp14:editId="56629C65">
            <wp:extent cx="3525173" cy="15697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9749" cy="1571758"/>
                    </a:xfrm>
                    <a:prstGeom prst="rect">
                      <a:avLst/>
                    </a:prstGeom>
                    <a:noFill/>
                    <a:ln w="9525">
                      <a:noFill/>
                      <a:miter lim="800000"/>
                      <a:headEnd/>
                      <a:tailEnd/>
                    </a:ln>
                  </pic:spPr>
                </pic:pic>
              </a:graphicData>
            </a:graphic>
          </wp:inline>
        </w:drawing>
      </w:r>
    </w:p>
    <w:p w14:paraId="267635E9" w14:textId="15C18341" w:rsidR="00FE3028" w:rsidRDefault="00283802" w:rsidP="004E517A">
      <w:pPr>
        <w:pStyle w:val="-0"/>
        <w:rPr>
          <w:lang w:val="en-US"/>
        </w:rPr>
      </w:pPr>
      <w:bookmarkStart w:id="2" w:name="_Ref163125595"/>
      <w:bookmarkStart w:id="3" w:name="_Ref98170820"/>
      <w:r>
        <w:rPr>
          <w:noProof/>
          <w:lang w:val="en-US"/>
        </w:rPr>
        <w:t>Figure</w:t>
      </w:r>
      <w:r w:rsidR="00FE0434" w:rsidRPr="00FE0434">
        <w:rPr>
          <w:noProof/>
          <w:lang w:val="en-US"/>
        </w:rPr>
        <w:t xml:space="preserve"> </w:t>
      </w:r>
      <w:r w:rsidR="00FE0434">
        <w:rPr>
          <w:noProof/>
        </w:rPr>
        <w:fldChar w:fldCharType="begin"/>
      </w:r>
      <w:r w:rsidR="00FE0434" w:rsidRPr="00FE0434">
        <w:rPr>
          <w:noProof/>
          <w:lang w:val="en-US"/>
        </w:rPr>
        <w:instrText xml:space="preserve"> SEQ </w:instrText>
      </w:r>
      <w:r w:rsidR="00FE0434">
        <w:rPr>
          <w:noProof/>
        </w:rPr>
        <w:instrText>Рисунок</w:instrText>
      </w:r>
      <w:r w:rsidR="00FE0434" w:rsidRPr="00FE0434">
        <w:rPr>
          <w:noProof/>
          <w:lang w:val="en-US"/>
        </w:rPr>
        <w:instrText xml:space="preserve"> \* ARABIC </w:instrText>
      </w:r>
      <w:r w:rsidR="00FE0434">
        <w:rPr>
          <w:noProof/>
        </w:rPr>
        <w:fldChar w:fldCharType="separate"/>
      </w:r>
      <w:r w:rsidR="00FE0434">
        <w:rPr>
          <w:noProof/>
          <w:lang w:val="en-US"/>
        </w:rPr>
        <w:t>1</w:t>
      </w:r>
      <w:r w:rsidR="00FE0434">
        <w:rPr>
          <w:noProof/>
        </w:rPr>
        <w:fldChar w:fldCharType="end"/>
      </w:r>
      <w:bookmarkEnd w:id="3"/>
      <w:r w:rsidR="00FE0434" w:rsidRPr="00FE0434">
        <w:rPr>
          <w:noProof/>
          <w:lang w:val="en-US"/>
        </w:rPr>
        <w:t> – </w:t>
      </w:r>
      <w:r w:rsidR="00FE0434" w:rsidRPr="00FE0434">
        <w:rPr>
          <w:lang w:val="en-US"/>
        </w:rPr>
        <w:t>Distribution of time until receiving a response packet since the last probe was sent for a full scan of IPv4.</w:t>
      </w:r>
      <w:bookmarkEnd w:id="2"/>
    </w:p>
    <w:p w14:paraId="534C139D" w14:textId="0B0C535E" w:rsidR="00283802" w:rsidRDefault="00283802" w:rsidP="004E517A">
      <w:pPr>
        <w:rPr>
          <w:lang w:val="en-US"/>
        </w:rPr>
      </w:pPr>
      <w:r w:rsidRPr="00283802">
        <w:rPr>
          <w:lang w:val="en-US"/>
        </w:rPr>
        <w:t xml:space="preserve">In addition, we need to configure a timeout for ZMap to deem that a packet did not receive a response. </w:t>
      </w:r>
      <w:r w:rsidR="00966201">
        <w:fldChar w:fldCharType="begin"/>
      </w:r>
      <w:r w:rsidR="00966201">
        <w:rPr>
          <w:lang w:val="en-US"/>
        </w:rPr>
        <w:instrText xml:space="preserve"> REF _Ref98170820 \h </w:instrText>
      </w:r>
      <w:r w:rsidR="004E517A" w:rsidRPr="004E517A">
        <w:rPr>
          <w:lang w:val="en-US"/>
        </w:rPr>
        <w:instrText xml:space="preserve"> \* MERGEFORMAT </w:instrText>
      </w:r>
      <w:r w:rsidR="00966201">
        <w:fldChar w:fldCharType="separate"/>
      </w:r>
      <w:r w:rsidR="00966201">
        <w:rPr>
          <w:noProof/>
          <w:lang w:val="en-US"/>
        </w:rPr>
        <w:t>Figur</w:t>
      </w:r>
      <w:r w:rsidR="00966201">
        <w:rPr>
          <w:noProof/>
          <w:lang w:val="en-US"/>
        </w:rPr>
        <w:t>e</w:t>
      </w:r>
      <w:r w:rsidR="00966201" w:rsidRPr="00FE0434">
        <w:rPr>
          <w:noProof/>
          <w:lang w:val="en-US"/>
        </w:rPr>
        <w:t xml:space="preserve"> </w:t>
      </w:r>
      <w:r w:rsidR="00966201">
        <w:rPr>
          <w:noProof/>
          <w:lang w:val="en-US"/>
        </w:rPr>
        <w:t>1</w:t>
      </w:r>
      <w:r w:rsidR="00966201">
        <w:fldChar w:fldCharType="end"/>
      </w:r>
      <w:r w:rsidR="00966201" w:rsidRPr="00966201">
        <w:rPr>
          <w:lang w:val="en-US"/>
        </w:rPr>
        <w:t xml:space="preserve"> </w:t>
      </w:r>
      <w:r w:rsidRPr="00283802">
        <w:rPr>
          <w:lang w:val="en-US"/>
        </w:rPr>
        <w:t xml:space="preserve">shows the distribution of the time measured between sending the last scan packet and receiving a response for a full scan of IPv4. To generate this plot, ZMap logged response packets for 25 minutes after sending the last scan packet. More than 95% of all replies (excluding RSTs), and 80% of RSTs arrive within the first 30 seconds, while the rest trickle in up until 500 seconds. Though unusual, late responses could arise due to backed-off timers in the case of SYN-ACKs, huge bufferbloat, or initial latency incurred by extensive setup requirements of </w:t>
      </w:r>
      <w:r w:rsidRPr="00283802">
        <w:rPr>
          <w:lang w:val="en-US"/>
        </w:rPr>
        <w:lastRenderedPageBreak/>
        <w:t>cellular wireless devices. Given this data, we chose a conservative cooldown value of 10 minutes for responses to come in.</w:t>
      </w:r>
    </w:p>
    <w:p w14:paraId="34F22C09" w14:textId="77777777" w:rsidR="007557D5" w:rsidRDefault="00FE3028" w:rsidP="007557D5">
      <w:pPr>
        <w:pStyle w:val="2"/>
        <w:rPr>
          <w:lang w:val="en-US"/>
        </w:rPr>
      </w:pPr>
      <w:bookmarkStart w:id="4" w:name="_Toc163132405"/>
      <w:r>
        <w:rPr>
          <w:lang w:val="en-US"/>
        </w:rPr>
        <w:t>M</w:t>
      </w:r>
      <w:r w:rsidRPr="00FE3028">
        <w:rPr>
          <w:lang w:val="en-US"/>
        </w:rPr>
        <w:t>itigating the Impact of Packet Loss</w:t>
      </w:r>
      <w:bookmarkEnd w:id="4"/>
      <w:r w:rsidRPr="00FE3028">
        <w:rPr>
          <w:lang w:val="en-US"/>
        </w:rPr>
        <w:t xml:space="preserve"> </w:t>
      </w:r>
    </w:p>
    <w:p w14:paraId="09DE47E3" w14:textId="77777777" w:rsidR="007557D5" w:rsidRDefault="00FE3028" w:rsidP="004E517A">
      <w:pPr>
        <w:rPr>
          <w:lang w:val="en-US"/>
        </w:rPr>
      </w:pPr>
      <w:r w:rsidRPr="00FE3028">
        <w:rPr>
          <w:lang w:val="en-US"/>
        </w:rPr>
        <w:t xml:space="preserve">As noted above, ZMap does not allow us to distinguish between a single non-response and a packet loss event. To account for this limitation, we take care to minimize measurement loss in our measurements and to account for potential packet loss in the network. </w:t>
      </w:r>
    </w:p>
    <w:p w14:paraId="1F8BCC95" w14:textId="5A134FA9" w:rsidR="00966201" w:rsidRPr="00781EFB" w:rsidRDefault="00966201" w:rsidP="00966201">
      <w:pPr>
        <w:pStyle w:val="-"/>
        <w:rPr>
          <w:lang w:val="en-US"/>
        </w:rPr>
      </w:pPr>
      <w:bookmarkStart w:id="5" w:name="_Ref98171327"/>
      <w:bookmarkStart w:id="6" w:name="_Ref163128797"/>
      <w:r w:rsidRPr="00781EFB">
        <w:rPr>
          <w:lang w:val="en-US"/>
        </w:rPr>
        <w:t>Table</w:t>
      </w:r>
      <w:r w:rsidRPr="00781EFB">
        <w:rPr>
          <w:lang w:val="en-US"/>
        </w:rPr>
        <w:t xml:space="preserve"> </w:t>
      </w:r>
      <w:r w:rsidRPr="00966201">
        <w:fldChar w:fldCharType="begin"/>
      </w:r>
      <w:r w:rsidRPr="00781EFB">
        <w:rPr>
          <w:lang w:val="en-US"/>
        </w:rPr>
        <w:instrText xml:space="preserve"> SEQ </w:instrText>
      </w:r>
      <w:r w:rsidRPr="00966201">
        <w:instrText>Таблица</w:instrText>
      </w:r>
      <w:r w:rsidRPr="00781EFB">
        <w:rPr>
          <w:lang w:val="en-US"/>
        </w:rPr>
        <w:instrText xml:space="preserve"> \* ARABIC </w:instrText>
      </w:r>
      <w:r w:rsidRPr="00966201">
        <w:fldChar w:fldCharType="separate"/>
      </w:r>
      <w:r w:rsidRPr="00781EFB">
        <w:rPr>
          <w:lang w:val="en-US"/>
        </w:rPr>
        <w:t>1</w:t>
      </w:r>
      <w:r w:rsidRPr="00966201">
        <w:fldChar w:fldCharType="end"/>
      </w:r>
      <w:bookmarkEnd w:id="5"/>
      <w:r w:rsidRPr="00781EFB">
        <w:rPr>
          <w:lang w:val="en-US"/>
        </w:rPr>
        <w:t> – Summary of control and exit node data.</w:t>
      </w:r>
      <w:bookmarkEnd w:id="6"/>
    </w:p>
    <w:tbl>
      <w:tblPr>
        <w:tblW w:w="61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09"/>
        <w:gridCol w:w="2089"/>
      </w:tblGrid>
      <w:tr w:rsidR="00966201" w:rsidRPr="00BF3639" w14:paraId="58AB5E74" w14:textId="77777777" w:rsidTr="00974E2C">
        <w:tc>
          <w:tcPr>
            <w:tcW w:w="6198" w:type="dxa"/>
            <w:gridSpan w:val="2"/>
          </w:tcPr>
          <w:p w14:paraId="5134263A" w14:textId="77777777" w:rsidR="00966201" w:rsidRPr="00966201" w:rsidRDefault="00966201" w:rsidP="00966201">
            <w:pPr>
              <w:pStyle w:val="-1"/>
            </w:pPr>
            <w:r w:rsidRPr="00966201">
              <w:t>Control nodes</w:t>
            </w:r>
          </w:p>
        </w:tc>
      </w:tr>
      <w:tr w:rsidR="00966201" w:rsidRPr="00BF3639" w14:paraId="17162F29" w14:textId="77777777" w:rsidTr="00974E2C">
        <w:tc>
          <w:tcPr>
            <w:tcW w:w="4109" w:type="dxa"/>
          </w:tcPr>
          <w:p w14:paraId="41536ABF" w14:textId="77777777" w:rsidR="00966201" w:rsidRPr="00BF3639" w:rsidRDefault="00966201" w:rsidP="00747595">
            <w:pPr>
              <w:pStyle w:val="-1"/>
            </w:pPr>
            <w:r>
              <w:t>Number of control nodes</w:t>
            </w:r>
          </w:p>
        </w:tc>
        <w:tc>
          <w:tcPr>
            <w:tcW w:w="2089" w:type="dxa"/>
          </w:tcPr>
          <w:p w14:paraId="3832FCBA" w14:textId="77777777" w:rsidR="00966201" w:rsidRPr="007557D5" w:rsidRDefault="00966201" w:rsidP="00747595">
            <w:pPr>
              <w:pStyle w:val="-1"/>
              <w:rPr>
                <w:lang w:val="en-US"/>
              </w:rPr>
            </w:pPr>
            <w:r>
              <w:rPr>
                <w:lang w:val="en-US"/>
              </w:rPr>
              <w:t>3</w:t>
            </w:r>
          </w:p>
        </w:tc>
      </w:tr>
      <w:tr w:rsidR="00966201" w:rsidRPr="00BF3639" w14:paraId="7DD8926D" w14:textId="77777777" w:rsidTr="00974E2C">
        <w:tc>
          <w:tcPr>
            <w:tcW w:w="4109" w:type="dxa"/>
          </w:tcPr>
          <w:p w14:paraId="491BE53A" w14:textId="77777777" w:rsidR="00966201" w:rsidRPr="00BF3639" w:rsidRDefault="00966201" w:rsidP="00747595">
            <w:pPr>
              <w:pStyle w:val="-1"/>
            </w:pPr>
            <w:r>
              <w:t>Number of IPv4 scans</w:t>
            </w:r>
          </w:p>
        </w:tc>
        <w:tc>
          <w:tcPr>
            <w:tcW w:w="2089" w:type="dxa"/>
          </w:tcPr>
          <w:p w14:paraId="4E35B7CA" w14:textId="77777777" w:rsidR="00966201" w:rsidRPr="00BF3639" w:rsidRDefault="00966201" w:rsidP="00747595">
            <w:pPr>
              <w:pStyle w:val="-1"/>
            </w:pPr>
            <w:r>
              <w:t>7 per control node</w:t>
            </w:r>
          </w:p>
        </w:tc>
      </w:tr>
      <w:tr w:rsidR="00966201" w:rsidRPr="00BF3639" w14:paraId="75E4F170" w14:textId="77777777" w:rsidTr="00974E2C">
        <w:tc>
          <w:tcPr>
            <w:tcW w:w="4109" w:type="dxa"/>
          </w:tcPr>
          <w:p w14:paraId="78765BD3" w14:textId="77777777" w:rsidR="00966201" w:rsidRPr="00BF3639" w:rsidRDefault="00966201" w:rsidP="00747595">
            <w:pPr>
              <w:pStyle w:val="-1"/>
            </w:pPr>
            <w:r>
              <w:rPr>
                <w:lang w:val="en-US"/>
              </w:rPr>
              <w:t>T</w:t>
            </w:r>
            <w:r>
              <w:t>ime span of scans</w:t>
            </w:r>
          </w:p>
        </w:tc>
        <w:tc>
          <w:tcPr>
            <w:tcW w:w="2089" w:type="dxa"/>
          </w:tcPr>
          <w:p w14:paraId="6FADB425" w14:textId="77777777" w:rsidR="00966201" w:rsidRPr="00BF3639" w:rsidRDefault="00966201" w:rsidP="00747595">
            <w:pPr>
              <w:pStyle w:val="-1"/>
            </w:pPr>
            <w:r>
              <w:t>Aug 7–13</w:t>
            </w:r>
          </w:p>
        </w:tc>
      </w:tr>
      <w:tr w:rsidR="00966201" w:rsidRPr="007557D5" w14:paraId="7D4EA086" w14:textId="77777777" w:rsidTr="00974E2C">
        <w:tc>
          <w:tcPr>
            <w:tcW w:w="4109" w:type="dxa"/>
          </w:tcPr>
          <w:p w14:paraId="6B0F5B95" w14:textId="77777777" w:rsidR="00966201" w:rsidRPr="007557D5" w:rsidRDefault="00966201" w:rsidP="00747595">
            <w:pPr>
              <w:pStyle w:val="-1"/>
              <w:rPr>
                <w:lang w:val="en-US"/>
              </w:rPr>
            </w:pPr>
            <w:r w:rsidRPr="007557D5">
              <w:rPr>
                <w:lang w:val="en-US"/>
              </w:rPr>
              <w:t>Scanned IP addresses per measurement</w:t>
            </w:r>
          </w:p>
        </w:tc>
        <w:tc>
          <w:tcPr>
            <w:tcW w:w="2089" w:type="dxa"/>
          </w:tcPr>
          <w:p w14:paraId="473953BF" w14:textId="77777777" w:rsidR="00966201" w:rsidRPr="007557D5" w:rsidRDefault="00966201" w:rsidP="00747595">
            <w:pPr>
              <w:pStyle w:val="-1"/>
              <w:rPr>
                <w:lang w:val="en-US"/>
              </w:rPr>
            </w:pPr>
            <w:r>
              <w:t>3,662,744,599</w:t>
            </w:r>
          </w:p>
        </w:tc>
      </w:tr>
      <w:tr w:rsidR="00966201" w:rsidRPr="007557D5" w14:paraId="6131C2CC" w14:textId="77777777" w:rsidTr="00974E2C">
        <w:tc>
          <w:tcPr>
            <w:tcW w:w="4109" w:type="dxa"/>
          </w:tcPr>
          <w:p w14:paraId="4A2A9962" w14:textId="2135781D" w:rsidR="00966201" w:rsidRPr="00966201" w:rsidRDefault="00966201" w:rsidP="00747595">
            <w:pPr>
              <w:pStyle w:val="-1"/>
              <w:rPr>
                <w:lang w:val="en-US"/>
              </w:rPr>
            </w:pPr>
            <w:r w:rsidRPr="00966201">
              <w:rPr>
                <w:lang w:val="en-US"/>
              </w:rPr>
              <w:t>Average hit-rate per measurement</w:t>
            </w:r>
          </w:p>
        </w:tc>
        <w:tc>
          <w:tcPr>
            <w:tcW w:w="2089" w:type="dxa"/>
          </w:tcPr>
          <w:p w14:paraId="5F4B275B" w14:textId="155AB3E4" w:rsidR="00966201" w:rsidRPr="00966201" w:rsidRDefault="00966201" w:rsidP="00747595">
            <w:pPr>
              <w:pStyle w:val="-1"/>
              <w:rPr>
                <w:lang w:val="en-US"/>
              </w:rPr>
            </w:pPr>
            <w:r>
              <w:t>1.91% (σ=0.01%)</w:t>
            </w:r>
          </w:p>
        </w:tc>
      </w:tr>
      <w:tr w:rsidR="00966201" w:rsidRPr="007557D5" w14:paraId="5B5D2058" w14:textId="77777777" w:rsidTr="00974E2C">
        <w:tc>
          <w:tcPr>
            <w:tcW w:w="4109" w:type="dxa"/>
          </w:tcPr>
          <w:p w14:paraId="51E7ABE2" w14:textId="48B3E3A3" w:rsidR="00966201" w:rsidRPr="007557D5" w:rsidRDefault="00966201" w:rsidP="00747595">
            <w:pPr>
              <w:pStyle w:val="-1"/>
              <w:rPr>
                <w:lang w:val="en-US"/>
              </w:rPr>
            </w:pPr>
            <w:r>
              <w:t>Average (estimated) network loss</w:t>
            </w:r>
          </w:p>
        </w:tc>
        <w:tc>
          <w:tcPr>
            <w:tcW w:w="2089" w:type="dxa"/>
          </w:tcPr>
          <w:p w14:paraId="3FB9F0F1" w14:textId="78A477F7" w:rsidR="00966201" w:rsidRPr="00966201" w:rsidRDefault="00966201" w:rsidP="00747595">
            <w:pPr>
              <w:pStyle w:val="-1"/>
              <w:rPr>
                <w:lang w:val="en-US"/>
              </w:rPr>
            </w:pPr>
            <w:r>
              <w:t>0.84% (σ=0.18%)</w:t>
            </w:r>
          </w:p>
        </w:tc>
      </w:tr>
      <w:tr w:rsidR="00966201" w:rsidRPr="007557D5" w14:paraId="6FF24B60" w14:textId="77777777" w:rsidTr="00974E2C">
        <w:tc>
          <w:tcPr>
            <w:tcW w:w="6198" w:type="dxa"/>
            <w:gridSpan w:val="2"/>
          </w:tcPr>
          <w:p w14:paraId="41AB9EA7" w14:textId="2F89BFEF" w:rsidR="00966201" w:rsidRPr="00966201" w:rsidRDefault="00966201" w:rsidP="00747595">
            <w:pPr>
              <w:pStyle w:val="-1"/>
              <w:rPr>
                <w:lang w:val="en-US"/>
              </w:rPr>
            </w:pPr>
            <w:r>
              <w:t>Tor exit nodes</w:t>
            </w:r>
          </w:p>
        </w:tc>
      </w:tr>
      <w:tr w:rsidR="00966201" w:rsidRPr="007557D5" w14:paraId="4CE4AFB1" w14:textId="77777777" w:rsidTr="00974E2C">
        <w:tc>
          <w:tcPr>
            <w:tcW w:w="4109" w:type="dxa"/>
          </w:tcPr>
          <w:p w14:paraId="4B9DC254" w14:textId="0E391E54" w:rsidR="00966201" w:rsidRPr="00966201" w:rsidRDefault="00966201" w:rsidP="00747595">
            <w:pPr>
              <w:pStyle w:val="-1"/>
              <w:rPr>
                <w:lang w:val="en-US"/>
              </w:rPr>
            </w:pPr>
            <w:r>
              <w:t>Number of exit nod</w:t>
            </w:r>
            <w:r>
              <w:rPr>
                <w:lang w:val="en-US"/>
              </w:rPr>
              <w:t>e</w:t>
            </w:r>
          </w:p>
        </w:tc>
        <w:tc>
          <w:tcPr>
            <w:tcW w:w="2089" w:type="dxa"/>
          </w:tcPr>
          <w:p w14:paraId="7E34DBE4" w14:textId="32F1C33A" w:rsidR="00966201" w:rsidRPr="00966201" w:rsidRDefault="00966201" w:rsidP="00747595">
            <w:pPr>
              <w:pStyle w:val="-1"/>
              <w:rPr>
                <w:lang w:val="en-US"/>
              </w:rPr>
            </w:pPr>
            <w:r>
              <w:t>4</w:t>
            </w:r>
          </w:p>
        </w:tc>
      </w:tr>
      <w:tr w:rsidR="00966201" w:rsidRPr="007557D5" w14:paraId="0B023C4E" w14:textId="77777777" w:rsidTr="00974E2C">
        <w:tc>
          <w:tcPr>
            <w:tcW w:w="4109" w:type="dxa"/>
          </w:tcPr>
          <w:p w14:paraId="3C618B89" w14:textId="2034FAEB" w:rsidR="00966201" w:rsidRPr="00966201" w:rsidRDefault="00966201" w:rsidP="00747595">
            <w:pPr>
              <w:pStyle w:val="-1"/>
              <w:rPr>
                <w:lang w:val="en-US"/>
              </w:rPr>
            </w:pPr>
            <w:r>
              <w:t>Number of scan</w:t>
            </w:r>
            <w:r>
              <w:rPr>
                <w:lang w:val="en-US"/>
              </w:rPr>
              <w:t>s</w:t>
            </w:r>
          </w:p>
        </w:tc>
        <w:tc>
          <w:tcPr>
            <w:tcW w:w="2089" w:type="dxa"/>
          </w:tcPr>
          <w:p w14:paraId="0532DAD8" w14:textId="0D878F3F" w:rsidR="00966201" w:rsidRPr="00966201" w:rsidRDefault="00966201" w:rsidP="00747595">
            <w:pPr>
              <w:pStyle w:val="-1"/>
              <w:rPr>
                <w:lang w:val="en-US"/>
              </w:rPr>
            </w:pPr>
            <w:r>
              <w:t>4 per exit node</w:t>
            </w:r>
          </w:p>
        </w:tc>
      </w:tr>
      <w:tr w:rsidR="00966201" w:rsidRPr="007557D5" w14:paraId="6E5E557A" w14:textId="77777777" w:rsidTr="00974E2C">
        <w:tc>
          <w:tcPr>
            <w:tcW w:w="4109" w:type="dxa"/>
          </w:tcPr>
          <w:p w14:paraId="5A5BAAB8" w14:textId="6ADDF7C6" w:rsidR="00966201" w:rsidRPr="007557D5" w:rsidRDefault="00966201" w:rsidP="00747595">
            <w:pPr>
              <w:pStyle w:val="-1"/>
              <w:rPr>
                <w:lang w:val="en-US"/>
              </w:rPr>
            </w:pPr>
            <w:r>
              <w:t>Time span of scans</w:t>
            </w:r>
          </w:p>
        </w:tc>
        <w:tc>
          <w:tcPr>
            <w:tcW w:w="2089" w:type="dxa"/>
          </w:tcPr>
          <w:p w14:paraId="09B13581" w14:textId="4922ACDF" w:rsidR="00966201" w:rsidRPr="00966201" w:rsidRDefault="00966201" w:rsidP="00747595">
            <w:pPr>
              <w:pStyle w:val="-1"/>
              <w:rPr>
                <w:lang w:val="en-US"/>
              </w:rPr>
            </w:pPr>
            <w:r>
              <w:t>Aug 10–13</w:t>
            </w:r>
          </w:p>
        </w:tc>
      </w:tr>
      <w:tr w:rsidR="00966201" w:rsidRPr="007557D5" w14:paraId="095A1565" w14:textId="77777777" w:rsidTr="00974E2C">
        <w:tc>
          <w:tcPr>
            <w:tcW w:w="4109" w:type="dxa"/>
          </w:tcPr>
          <w:p w14:paraId="44506326" w14:textId="31787D6F" w:rsidR="00966201" w:rsidRPr="00966201" w:rsidRDefault="00966201" w:rsidP="00747595">
            <w:pPr>
              <w:pStyle w:val="-1"/>
              <w:rPr>
                <w:lang w:val="en-US"/>
              </w:rPr>
            </w:pPr>
            <w:r w:rsidRPr="00966201">
              <w:rPr>
                <w:lang w:val="en-US"/>
              </w:rPr>
              <w:t>Average hit-rate per measurement</w:t>
            </w:r>
          </w:p>
        </w:tc>
        <w:tc>
          <w:tcPr>
            <w:tcW w:w="2089" w:type="dxa"/>
          </w:tcPr>
          <w:p w14:paraId="5AF87980" w14:textId="369653AD" w:rsidR="00966201" w:rsidRPr="00966201" w:rsidRDefault="00966201" w:rsidP="00747595">
            <w:pPr>
              <w:pStyle w:val="-1"/>
              <w:rPr>
                <w:lang w:val="en-US"/>
              </w:rPr>
            </w:pPr>
            <w:r>
              <w:t>1.87% (σ=0.03%)</w:t>
            </w:r>
          </w:p>
        </w:tc>
      </w:tr>
    </w:tbl>
    <w:p w14:paraId="2B3AD421" w14:textId="77777777" w:rsidR="00966201" w:rsidRPr="00FE3028" w:rsidRDefault="00966201" w:rsidP="00D31B96">
      <w:pPr>
        <w:ind w:firstLine="0"/>
        <w:rPr>
          <w:lang w:val="en-US"/>
        </w:rPr>
      </w:pPr>
    </w:p>
    <w:p w14:paraId="1CDB1E81" w14:textId="77777777" w:rsidR="004E517A" w:rsidRDefault="004E517A" w:rsidP="004E517A">
      <w:pPr>
        <w:pStyle w:val="2"/>
        <w:rPr>
          <w:lang w:val="en-US"/>
        </w:rPr>
      </w:pPr>
      <w:bookmarkStart w:id="7" w:name="_Toc163132406"/>
      <w:r w:rsidRPr="004E517A">
        <w:rPr>
          <w:lang w:val="en-US"/>
        </w:rPr>
        <w:t>Data</w:t>
      </w:r>
      <w:bookmarkEnd w:id="7"/>
      <w:r w:rsidRPr="004E517A">
        <w:rPr>
          <w:lang w:val="en-US"/>
        </w:rPr>
        <w:t xml:space="preserve"> </w:t>
      </w:r>
    </w:p>
    <w:p w14:paraId="4FB6096D" w14:textId="2016A83C" w:rsidR="00FE3028" w:rsidRDefault="004E517A" w:rsidP="004E517A">
      <w:pPr>
        <w:rPr>
          <w:lang w:val="en-US"/>
        </w:rPr>
      </w:pPr>
      <w:r w:rsidRPr="004E517A">
        <w:rPr>
          <w:lang w:val="en-US"/>
        </w:rPr>
        <w:t>We run our measurements from a set of three control nodes and a set of four Tor exit nodes. Two control nodes are located in US universities and one in a European university. The control node measurements serve a dual purpose: they allow us to calibrate and understand our measurement method and the data, and they serve as the baseline measurements against which we compare the Tor exit node measurements.</w:t>
      </w:r>
    </w:p>
    <w:p w14:paraId="1D220104" w14:textId="3D7EF212" w:rsidR="004E517A" w:rsidRPr="00BF3639" w:rsidRDefault="004E517A" w:rsidP="004E517A">
      <w:pPr>
        <w:pStyle w:val="af0"/>
        <w:rPr>
          <w:noProof/>
        </w:rPr>
      </w:pPr>
      <w:r w:rsidRPr="00BF3639">
        <w:rPr>
          <w:noProof/>
        </w:rPr>
        <w:drawing>
          <wp:inline distT="0" distB="0" distL="0" distR="0" wp14:anchorId="233E0FCE" wp14:editId="4573D1BE">
            <wp:extent cx="3246375" cy="1744980"/>
            <wp:effectExtent l="0" t="0" r="0" b="762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69865" cy="1757606"/>
                    </a:xfrm>
                    <a:prstGeom prst="rect">
                      <a:avLst/>
                    </a:prstGeom>
                    <a:noFill/>
                    <a:ln w="9525">
                      <a:noFill/>
                      <a:miter lim="800000"/>
                      <a:headEnd/>
                      <a:tailEnd/>
                    </a:ln>
                  </pic:spPr>
                </pic:pic>
              </a:graphicData>
            </a:graphic>
          </wp:inline>
        </w:drawing>
      </w:r>
    </w:p>
    <w:p w14:paraId="3C8DB3F8" w14:textId="41461250" w:rsidR="004E517A" w:rsidRPr="004E517A" w:rsidRDefault="004E517A" w:rsidP="00D31B96">
      <w:pPr>
        <w:pStyle w:val="-0"/>
        <w:rPr>
          <w:lang w:val="en-US"/>
        </w:rPr>
      </w:pPr>
      <w:bookmarkStart w:id="8" w:name="_Ref163128769"/>
      <w:r>
        <w:rPr>
          <w:noProof/>
          <w:lang w:val="en-US"/>
        </w:rPr>
        <w:t>Figure</w:t>
      </w:r>
      <w:r w:rsidRPr="00FE0434">
        <w:rPr>
          <w:noProof/>
          <w:lang w:val="en-US"/>
        </w:rPr>
        <w:t xml:space="preserve"> </w:t>
      </w:r>
      <w:r>
        <w:rPr>
          <w:noProof/>
        </w:rPr>
        <w:fldChar w:fldCharType="begin"/>
      </w:r>
      <w:r w:rsidRPr="00FE0434">
        <w:rPr>
          <w:noProof/>
          <w:lang w:val="en-US"/>
        </w:rPr>
        <w:instrText xml:space="preserve"> SEQ </w:instrText>
      </w:r>
      <w:r>
        <w:rPr>
          <w:noProof/>
        </w:rPr>
        <w:instrText>Рисунок</w:instrText>
      </w:r>
      <w:r w:rsidRPr="00FE0434">
        <w:rPr>
          <w:noProof/>
          <w:lang w:val="en-US"/>
        </w:rPr>
        <w:instrText xml:space="preserve"> \* ARABIC </w:instrText>
      </w:r>
      <w:r>
        <w:rPr>
          <w:noProof/>
        </w:rPr>
        <w:fldChar w:fldCharType="separate"/>
      </w:r>
      <w:r>
        <w:rPr>
          <w:noProof/>
          <w:lang w:val="en-US"/>
        </w:rPr>
        <w:t>2</w:t>
      </w:r>
      <w:r>
        <w:rPr>
          <w:noProof/>
        </w:rPr>
        <w:fldChar w:fldCharType="end"/>
      </w:r>
      <w:bookmarkEnd w:id="8"/>
      <w:r w:rsidRPr="00FE0434">
        <w:rPr>
          <w:noProof/>
          <w:lang w:val="en-US"/>
        </w:rPr>
        <w:t> – </w:t>
      </w:r>
      <w:r w:rsidRPr="004E517A">
        <w:rPr>
          <w:lang w:val="en-US"/>
        </w:rPr>
        <w:t>Number of new IP addresses each control node sees per day</w:t>
      </w:r>
      <w:r>
        <w:rPr>
          <w:lang w:val="en-US"/>
        </w:rPr>
        <w:t>.</w:t>
      </w:r>
    </w:p>
    <w:p w14:paraId="2CF5B0AB" w14:textId="3CDA2005" w:rsidR="00D31B96" w:rsidRDefault="00D31B96" w:rsidP="004E517A">
      <w:pPr>
        <w:rPr>
          <w:lang w:val="en-US"/>
        </w:rPr>
      </w:pPr>
      <w:r w:rsidRPr="00D31B96">
        <w:rPr>
          <w:lang w:val="en-US"/>
        </w:rPr>
        <w:lastRenderedPageBreak/>
        <w:t xml:space="preserve">Once fully developed and debugged, for our final analysis we gathered 37 full IPv4 scans over a period of 7 days, conducting 16 from four Tor exit nodes. </w:t>
      </w:r>
      <w:r>
        <w:fldChar w:fldCharType="begin"/>
      </w:r>
      <w:r>
        <w:rPr>
          <w:lang w:val="en-US"/>
        </w:rPr>
        <w:instrText xml:space="preserve"> REF _Ref163128797 \h </w:instrText>
      </w:r>
      <w:r>
        <w:fldChar w:fldCharType="separate"/>
      </w:r>
      <w:r w:rsidRPr="00D31B96">
        <w:rPr>
          <w:lang w:val="en-US"/>
        </w:rPr>
        <w:t>Table</w:t>
      </w:r>
      <w:r w:rsidRPr="00D31B96">
        <w:rPr>
          <w:lang w:val="en-US"/>
        </w:rPr>
        <w:t xml:space="preserve"> 1 </w:t>
      </w:r>
      <w:r>
        <w:fldChar w:fldCharType="end"/>
      </w:r>
      <w:r w:rsidRPr="00D31B96">
        <w:rPr>
          <w:lang w:val="en-US"/>
        </w:rPr>
        <w:t xml:space="preserve"> shows the breakdown of the measurements run from the control and Tor exit nodes. We now turn to analyzing the final data to understand temporal churn—how the footprint changes across scans spanning multiple days—and spatial churn—how our view of the global web footprint set changes across the three control locations. </w:t>
      </w:r>
    </w:p>
    <w:p w14:paraId="2040BB99" w14:textId="5DD87F8B" w:rsidR="004E517A" w:rsidRDefault="00D31B96" w:rsidP="004E517A">
      <w:pPr>
        <w:rPr>
          <w:lang w:val="en-US"/>
        </w:rPr>
      </w:pPr>
      <w:r w:rsidRPr="00D31B96">
        <w:rPr>
          <w:lang w:val="en-US"/>
        </w:rPr>
        <w:t xml:space="preserve">For the same location, we see significant differences in the number of IP addresses that successfully respond, even between consecutive days, ranging up to 17%. </w:t>
      </w:r>
      <w:r>
        <w:fldChar w:fldCharType="begin"/>
      </w:r>
      <w:r>
        <w:rPr>
          <w:lang w:val="en-US"/>
        </w:rPr>
        <w:instrText xml:space="preserve"> REF _Ref163128769 \h </w:instrText>
      </w:r>
      <w:r>
        <w:fldChar w:fldCharType="separate"/>
      </w:r>
      <w:r>
        <w:rPr>
          <w:noProof/>
          <w:lang w:val="en-US"/>
        </w:rPr>
        <w:t>Figure</w:t>
      </w:r>
      <w:r w:rsidRPr="00FE0434">
        <w:rPr>
          <w:noProof/>
          <w:lang w:val="en-US"/>
        </w:rPr>
        <w:t xml:space="preserve"> </w:t>
      </w:r>
      <w:r>
        <w:rPr>
          <w:noProof/>
          <w:lang w:val="en-US"/>
        </w:rPr>
        <w:t>2</w:t>
      </w:r>
      <w:r>
        <w:fldChar w:fldCharType="end"/>
      </w:r>
      <w:r w:rsidRPr="00D31B96">
        <w:rPr>
          <w:lang w:val="en-US"/>
        </w:rPr>
        <w:t xml:space="preserve"> </w:t>
      </w:r>
      <w:r w:rsidRPr="00D31B96">
        <w:rPr>
          <w:lang w:val="en-US"/>
        </w:rPr>
        <w:t>shows the number of new IP addresses that each site successfully contacts per day. Using the first day as the baseline, this value somewhat gradually drops from a peak of about 7 million on the second day to about 4 million on day 7. The slow convergence rate indicates that temporal churn remains high even for the same location, and that obtaining a true underlying web footprint for a given location may not be well-defined. Temporal churn is likely caused by nodes that only come online occasionally; however we do not investigate the reasons in this paper</w:t>
      </w:r>
      <w:r w:rsidRPr="00D31B96">
        <w:rPr>
          <w:lang w:val="en-US"/>
        </w:rPr>
        <w:t>.</w:t>
      </w:r>
    </w:p>
    <w:p w14:paraId="6D74547F" w14:textId="77777777" w:rsidR="00D31B96" w:rsidRDefault="00D31B96" w:rsidP="00D31B96">
      <w:pPr>
        <w:pStyle w:val="2"/>
        <w:rPr>
          <w:lang w:val="en-US"/>
        </w:rPr>
      </w:pPr>
      <w:bookmarkStart w:id="9" w:name="_Toc163132407"/>
      <w:r w:rsidRPr="00D31B96">
        <w:rPr>
          <w:rStyle w:val="20"/>
          <w:lang w:val="en-US"/>
        </w:rPr>
        <w:t>Assessing Network-Layer Discrimination</w:t>
      </w:r>
      <w:bookmarkEnd w:id="9"/>
      <w:r w:rsidRPr="00D31B96">
        <w:rPr>
          <w:lang w:val="en-US"/>
        </w:rPr>
        <w:t xml:space="preserve"> </w:t>
      </w:r>
    </w:p>
    <w:p w14:paraId="14149408" w14:textId="708A126C" w:rsidR="00D31B96" w:rsidRDefault="00D31B96" w:rsidP="00D31B96">
      <w:pPr>
        <w:rPr>
          <w:lang w:val="en-US"/>
        </w:rPr>
      </w:pPr>
      <w:r w:rsidRPr="00D31B96">
        <w:rPr>
          <w:lang w:val="en-US"/>
        </w:rPr>
        <w:t>Having gained confidence in our measurement methodology, we now turn to analyzing the resulting data. We conducted the scans from four high-bandwidth Tor exit nodes for 4 days (Aug. 10–13, 2015) (</w:t>
      </w:r>
      <w:r w:rsidR="000D6673">
        <w:fldChar w:fldCharType="begin"/>
      </w:r>
      <w:r w:rsidR="000D6673">
        <w:rPr>
          <w:lang w:val="en-US"/>
        </w:rPr>
        <w:instrText xml:space="preserve"> REF _Ref163129701 \h </w:instrText>
      </w:r>
      <w:r w:rsidR="000D6673">
        <w:fldChar w:fldCharType="separate"/>
      </w:r>
      <w:r w:rsidR="000D6673" w:rsidRPr="00D31B96">
        <w:rPr>
          <w:lang w:val="en-US"/>
        </w:rPr>
        <w:t xml:space="preserve">Table </w:t>
      </w:r>
      <w:r w:rsidR="000D6673">
        <w:rPr>
          <w:noProof/>
          <w:lang w:val="en-US"/>
        </w:rPr>
        <w:t>2</w:t>
      </w:r>
      <w:r w:rsidR="000D6673">
        <w:fldChar w:fldCharType="end"/>
      </w:r>
      <w:r w:rsidRPr="00D31B96">
        <w:rPr>
          <w:lang w:val="en-US"/>
        </w:rPr>
        <w:t>). These represent 3% of aggregate Tor exit bandwidth. We note that each exit node hosts 2–3 Tor processes on the same interface. As our 100 Mbps scans use the same IP address as the Tor exit node, we turned off all but one Tor process on these machines for the duration of the experiment to minimize load on the interface and potential packet loss on the interface and/or the outgoing link. These preventive measures helped reduce our reported pcap loss on the exit nodes to 0.001% of the typical number of responses seen per scan. We also chose Tor instances that use the same IP address for incoming and outgoing Tor traffic to allow our scans to trigger even ‘lazy’ blacklists.1 For three of the exit nodes, we displayed our scan notice page on port 8080 instead of the usual port 80, as the latter already displayed a separate Tor abuse complaint page</w:t>
      </w:r>
    </w:p>
    <w:p w14:paraId="747FA728" w14:textId="373DEB01" w:rsidR="00D31B96" w:rsidRPr="00D31B96" w:rsidRDefault="00D31B96" w:rsidP="00D31B96">
      <w:pPr>
        <w:pStyle w:val="-"/>
        <w:rPr>
          <w:lang w:val="en-US"/>
        </w:rPr>
      </w:pPr>
      <w:bookmarkStart w:id="10" w:name="_Ref163129701"/>
      <w:r w:rsidRPr="00D31B96">
        <w:rPr>
          <w:lang w:val="en-US"/>
        </w:rPr>
        <w:t xml:space="preserve">Table </w:t>
      </w:r>
      <w:r w:rsidRPr="00966201">
        <w:fldChar w:fldCharType="begin"/>
      </w:r>
      <w:r w:rsidRPr="00D31B96">
        <w:rPr>
          <w:lang w:val="en-US"/>
        </w:rPr>
        <w:instrText xml:space="preserve"> SEQ </w:instrText>
      </w:r>
      <w:r w:rsidRPr="00966201">
        <w:instrText>Таблица</w:instrText>
      </w:r>
      <w:r w:rsidRPr="00D31B96">
        <w:rPr>
          <w:lang w:val="en-US"/>
        </w:rPr>
        <w:instrText xml:space="preserve"> \* ARABIC </w:instrText>
      </w:r>
      <w:r w:rsidRPr="00966201">
        <w:fldChar w:fldCharType="separate"/>
      </w:r>
      <w:r>
        <w:rPr>
          <w:noProof/>
          <w:lang w:val="en-US"/>
        </w:rPr>
        <w:t>2</w:t>
      </w:r>
      <w:r w:rsidRPr="00966201">
        <w:fldChar w:fldCharType="end"/>
      </w:r>
      <w:bookmarkEnd w:id="10"/>
      <w:r w:rsidRPr="00D31B96">
        <w:rPr>
          <w:lang w:val="en-US"/>
        </w:rPr>
        <w:t> – Description of Tor exit nodes from which IPv4 scans were conducted.</w:t>
      </w:r>
    </w:p>
    <w:tbl>
      <w:tblPr>
        <w:tblW w:w="63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6"/>
        <w:gridCol w:w="1496"/>
        <w:gridCol w:w="1423"/>
        <w:gridCol w:w="2143"/>
      </w:tblGrid>
      <w:tr w:rsidR="00974E2C" w:rsidRPr="00BF3639" w14:paraId="1225E499" w14:textId="50098F00" w:rsidTr="00974E2C">
        <w:tc>
          <w:tcPr>
            <w:tcW w:w="1316" w:type="dxa"/>
          </w:tcPr>
          <w:p w14:paraId="4CED9398" w14:textId="406F0760" w:rsidR="00974E2C" w:rsidRPr="00966201" w:rsidRDefault="00974E2C" w:rsidP="00747595">
            <w:pPr>
              <w:pStyle w:val="-1"/>
            </w:pPr>
            <w:r>
              <w:t>Exit Node</w:t>
            </w:r>
          </w:p>
        </w:tc>
        <w:tc>
          <w:tcPr>
            <w:tcW w:w="1496" w:type="dxa"/>
          </w:tcPr>
          <w:p w14:paraId="3A314E06" w14:textId="4C5F9547" w:rsidR="00974E2C" w:rsidRPr="00974E2C" w:rsidRDefault="00974E2C" w:rsidP="00747595">
            <w:pPr>
              <w:pStyle w:val="-1"/>
              <w:rPr>
                <w:lang w:val="en-US"/>
              </w:rPr>
            </w:pPr>
            <w:r>
              <w:rPr>
                <w:lang w:val="en-US"/>
              </w:rPr>
              <w:t>Location</w:t>
            </w:r>
          </w:p>
        </w:tc>
        <w:tc>
          <w:tcPr>
            <w:tcW w:w="1423" w:type="dxa"/>
          </w:tcPr>
          <w:p w14:paraId="603CA8D5" w14:textId="7ABDF3A2" w:rsidR="00974E2C" w:rsidRPr="00974E2C" w:rsidRDefault="00974E2C" w:rsidP="00747595">
            <w:pPr>
              <w:pStyle w:val="-1"/>
              <w:rPr>
                <w:lang w:val="en-US"/>
              </w:rPr>
            </w:pPr>
            <w:r>
              <w:rPr>
                <w:lang w:val="en-US"/>
              </w:rPr>
              <w:t>Uptime</w:t>
            </w:r>
          </w:p>
        </w:tc>
        <w:tc>
          <w:tcPr>
            <w:tcW w:w="2143" w:type="dxa"/>
          </w:tcPr>
          <w:p w14:paraId="19BFCCFE" w14:textId="1817B5BE" w:rsidR="00974E2C" w:rsidRPr="00966201" w:rsidRDefault="00974E2C" w:rsidP="00747595">
            <w:pPr>
              <w:pStyle w:val="-1"/>
            </w:pPr>
            <w:r>
              <w:t>Bandwidth (MB/s)</w:t>
            </w:r>
          </w:p>
        </w:tc>
      </w:tr>
      <w:tr w:rsidR="00974E2C" w:rsidRPr="00BF3639" w14:paraId="0367BCF6" w14:textId="6E27E584" w:rsidTr="00974E2C">
        <w:tc>
          <w:tcPr>
            <w:tcW w:w="1316" w:type="dxa"/>
          </w:tcPr>
          <w:p w14:paraId="52BF86AA" w14:textId="69E79EC3" w:rsidR="00974E2C" w:rsidRPr="00BF3639" w:rsidRDefault="00974E2C" w:rsidP="00747595">
            <w:pPr>
              <w:pStyle w:val="-1"/>
            </w:pPr>
            <w:r>
              <w:t>Axigy1</w:t>
            </w:r>
          </w:p>
        </w:tc>
        <w:tc>
          <w:tcPr>
            <w:tcW w:w="1496" w:type="dxa"/>
          </w:tcPr>
          <w:p w14:paraId="44A47ACC" w14:textId="2EF5C211" w:rsidR="00974E2C" w:rsidRDefault="00974E2C" w:rsidP="00747595">
            <w:pPr>
              <w:pStyle w:val="-1"/>
              <w:rPr>
                <w:lang w:val="en-US"/>
              </w:rPr>
            </w:pPr>
            <w:r>
              <w:rPr>
                <w:lang w:val="en-US"/>
              </w:rPr>
              <w:t>USA</w:t>
            </w:r>
          </w:p>
        </w:tc>
        <w:tc>
          <w:tcPr>
            <w:tcW w:w="1423" w:type="dxa"/>
          </w:tcPr>
          <w:p w14:paraId="189E13BB" w14:textId="53227609" w:rsidR="00974E2C" w:rsidRPr="007557D5" w:rsidRDefault="00974E2C" w:rsidP="00747595">
            <w:pPr>
              <w:pStyle w:val="-1"/>
              <w:rPr>
                <w:lang w:val="en-US"/>
              </w:rPr>
            </w:pPr>
            <w:r>
              <w:rPr>
                <w:lang w:val="en-US"/>
              </w:rPr>
              <w:t>35 days</w:t>
            </w:r>
          </w:p>
        </w:tc>
        <w:tc>
          <w:tcPr>
            <w:tcW w:w="2143" w:type="dxa"/>
          </w:tcPr>
          <w:p w14:paraId="0B9CF078" w14:textId="5560855C" w:rsidR="00974E2C" w:rsidRDefault="00974E2C" w:rsidP="00747595">
            <w:pPr>
              <w:pStyle w:val="-1"/>
              <w:rPr>
                <w:lang w:val="en-US"/>
              </w:rPr>
            </w:pPr>
            <w:r>
              <w:t>31.09</w:t>
            </w:r>
          </w:p>
        </w:tc>
      </w:tr>
      <w:tr w:rsidR="00974E2C" w:rsidRPr="00BF3639" w14:paraId="67A3C2E7" w14:textId="1EC1D448" w:rsidTr="00974E2C">
        <w:tc>
          <w:tcPr>
            <w:tcW w:w="1316" w:type="dxa"/>
          </w:tcPr>
          <w:p w14:paraId="3DC8DC8B" w14:textId="7479622E" w:rsidR="00974E2C" w:rsidRPr="00974E2C" w:rsidRDefault="00974E2C" w:rsidP="00747595">
            <w:pPr>
              <w:pStyle w:val="-1"/>
              <w:rPr>
                <w:lang w:val="en-US"/>
              </w:rPr>
            </w:pPr>
            <w:r>
              <w:rPr>
                <w:lang w:val="en-US"/>
              </w:rPr>
              <w:t>Axigy2</w:t>
            </w:r>
          </w:p>
        </w:tc>
        <w:tc>
          <w:tcPr>
            <w:tcW w:w="1496" w:type="dxa"/>
          </w:tcPr>
          <w:p w14:paraId="43E9B224" w14:textId="0CBE54F6" w:rsidR="00974E2C" w:rsidRPr="00974E2C" w:rsidRDefault="00974E2C" w:rsidP="00747595">
            <w:pPr>
              <w:pStyle w:val="-1"/>
              <w:rPr>
                <w:lang w:val="en-US"/>
              </w:rPr>
            </w:pPr>
            <w:r>
              <w:rPr>
                <w:lang w:val="en-US"/>
              </w:rPr>
              <w:t>USA</w:t>
            </w:r>
          </w:p>
        </w:tc>
        <w:tc>
          <w:tcPr>
            <w:tcW w:w="1423" w:type="dxa"/>
          </w:tcPr>
          <w:p w14:paraId="5DC19CA8" w14:textId="372E0F36" w:rsidR="00974E2C" w:rsidRPr="00974E2C" w:rsidRDefault="00974E2C" w:rsidP="00747595">
            <w:pPr>
              <w:pStyle w:val="-1"/>
              <w:rPr>
                <w:lang w:val="en-US"/>
              </w:rPr>
            </w:pPr>
            <w:r>
              <w:rPr>
                <w:lang w:val="en-US"/>
              </w:rPr>
              <w:t>76 days</w:t>
            </w:r>
          </w:p>
        </w:tc>
        <w:tc>
          <w:tcPr>
            <w:tcW w:w="2143" w:type="dxa"/>
          </w:tcPr>
          <w:p w14:paraId="0CF999D6" w14:textId="05791E20" w:rsidR="00974E2C" w:rsidRDefault="00974E2C" w:rsidP="00747595">
            <w:pPr>
              <w:pStyle w:val="-1"/>
            </w:pPr>
            <w:r>
              <w:t>31.46</w:t>
            </w:r>
          </w:p>
        </w:tc>
      </w:tr>
      <w:tr w:rsidR="00974E2C" w:rsidRPr="00BF3639" w14:paraId="63B5FD59" w14:textId="5E8F6BC0" w:rsidTr="00974E2C">
        <w:tc>
          <w:tcPr>
            <w:tcW w:w="1316" w:type="dxa"/>
          </w:tcPr>
          <w:p w14:paraId="10790B03" w14:textId="16E4262D" w:rsidR="00974E2C" w:rsidRPr="00974E2C" w:rsidRDefault="00974E2C" w:rsidP="00747595">
            <w:pPr>
              <w:pStyle w:val="-1"/>
              <w:rPr>
                <w:lang w:val="en-US"/>
              </w:rPr>
            </w:pPr>
            <w:r>
              <w:rPr>
                <w:lang w:val="en-US"/>
              </w:rPr>
              <w:t>NForce2</w:t>
            </w:r>
          </w:p>
        </w:tc>
        <w:tc>
          <w:tcPr>
            <w:tcW w:w="1496" w:type="dxa"/>
          </w:tcPr>
          <w:p w14:paraId="4E9AD4AA" w14:textId="3E610D39" w:rsidR="00974E2C" w:rsidRPr="00974E2C" w:rsidRDefault="00974E2C" w:rsidP="00747595">
            <w:pPr>
              <w:pStyle w:val="-1"/>
              <w:rPr>
                <w:lang w:val="en-US"/>
              </w:rPr>
            </w:pPr>
            <w:r>
              <w:rPr>
                <w:lang w:val="en-US"/>
              </w:rPr>
              <w:t>Netherlands</w:t>
            </w:r>
          </w:p>
        </w:tc>
        <w:tc>
          <w:tcPr>
            <w:tcW w:w="1423" w:type="dxa"/>
          </w:tcPr>
          <w:p w14:paraId="0EA82592" w14:textId="41A1F326" w:rsidR="00974E2C" w:rsidRPr="00974E2C" w:rsidRDefault="00974E2C" w:rsidP="00747595">
            <w:pPr>
              <w:pStyle w:val="-1"/>
              <w:rPr>
                <w:lang w:val="en-US"/>
              </w:rPr>
            </w:pPr>
            <w:r>
              <w:rPr>
                <w:lang w:val="en-US"/>
              </w:rPr>
              <w:t>35 days</w:t>
            </w:r>
          </w:p>
        </w:tc>
        <w:tc>
          <w:tcPr>
            <w:tcW w:w="2143" w:type="dxa"/>
          </w:tcPr>
          <w:p w14:paraId="3F2589C1" w14:textId="51C412EE" w:rsidR="00974E2C" w:rsidRDefault="00974E2C" w:rsidP="00747595">
            <w:pPr>
              <w:pStyle w:val="-1"/>
            </w:pPr>
            <w:r>
              <w:t>31.46</w:t>
            </w:r>
          </w:p>
        </w:tc>
      </w:tr>
      <w:tr w:rsidR="00974E2C" w:rsidRPr="007557D5" w14:paraId="51585113" w14:textId="1E228543" w:rsidTr="00974E2C">
        <w:tc>
          <w:tcPr>
            <w:tcW w:w="1316" w:type="dxa"/>
          </w:tcPr>
          <w:p w14:paraId="57C518B8" w14:textId="299EDCEB" w:rsidR="00974E2C" w:rsidRPr="007557D5" w:rsidRDefault="00974E2C" w:rsidP="00747595">
            <w:pPr>
              <w:pStyle w:val="-1"/>
              <w:rPr>
                <w:lang w:val="en-US"/>
              </w:rPr>
            </w:pPr>
            <w:r>
              <w:rPr>
                <w:lang w:val="en-US"/>
              </w:rPr>
              <w:t>Voxility1</w:t>
            </w:r>
          </w:p>
        </w:tc>
        <w:tc>
          <w:tcPr>
            <w:tcW w:w="1496" w:type="dxa"/>
          </w:tcPr>
          <w:p w14:paraId="5A765A41" w14:textId="1496D2AC" w:rsidR="00974E2C" w:rsidRPr="00974E2C" w:rsidRDefault="00974E2C" w:rsidP="00747595">
            <w:pPr>
              <w:pStyle w:val="-1"/>
              <w:rPr>
                <w:lang w:val="en-US"/>
              </w:rPr>
            </w:pPr>
            <w:r>
              <w:rPr>
                <w:lang w:val="en-US"/>
              </w:rPr>
              <w:t>Romania</w:t>
            </w:r>
          </w:p>
        </w:tc>
        <w:tc>
          <w:tcPr>
            <w:tcW w:w="1423" w:type="dxa"/>
          </w:tcPr>
          <w:p w14:paraId="3F523F6F" w14:textId="1E0431CB" w:rsidR="00974E2C" w:rsidRPr="007557D5" w:rsidRDefault="00974E2C" w:rsidP="00747595">
            <w:pPr>
              <w:pStyle w:val="-1"/>
              <w:rPr>
                <w:lang w:val="en-US"/>
              </w:rPr>
            </w:pPr>
            <w:r>
              <w:rPr>
                <w:lang w:val="en-US"/>
              </w:rPr>
              <w:t>1 day 17 hr</w:t>
            </w:r>
          </w:p>
        </w:tc>
        <w:tc>
          <w:tcPr>
            <w:tcW w:w="2143" w:type="dxa"/>
          </w:tcPr>
          <w:p w14:paraId="2D5F0E25" w14:textId="796D8935" w:rsidR="00974E2C" w:rsidRDefault="00974E2C" w:rsidP="00747595">
            <w:pPr>
              <w:pStyle w:val="-1"/>
            </w:pPr>
            <w:r>
              <w:t>16.99</w:t>
            </w:r>
          </w:p>
        </w:tc>
      </w:tr>
    </w:tbl>
    <w:p w14:paraId="06C33DCD" w14:textId="2B44EC49" w:rsidR="00D31B96" w:rsidRDefault="00D31B96" w:rsidP="00D31B96">
      <w:pPr>
        <w:rPr>
          <w:lang w:val="en-US"/>
        </w:rPr>
      </w:pPr>
    </w:p>
    <w:p w14:paraId="08502EDB" w14:textId="77777777" w:rsidR="00781EFB" w:rsidRDefault="0056535C" w:rsidP="00D31B96">
      <w:pPr>
        <w:rPr>
          <w:lang w:val="en-US"/>
        </w:rPr>
      </w:pPr>
      <w:r w:rsidRPr="0056535C">
        <w:rPr>
          <w:lang w:val="en-US"/>
        </w:rPr>
        <w:lastRenderedPageBreak/>
        <w:t xml:space="preserve">Up through July 20, 2015, the raw OONI http requests data consist of 2,505 reports, 2,574,326 (Tor, non-Tor) request pairs, and 102,865 distinct URLs. We applied a number of restrictions to the raw data to obtain a subset useful for our analysis: </w:t>
      </w:r>
    </w:p>
    <w:p w14:paraId="4545B0B4" w14:textId="49534276" w:rsidR="00781EFB" w:rsidRDefault="0056535C" w:rsidP="00781EFB">
      <w:pPr>
        <w:pStyle w:val="a0"/>
      </w:pPr>
      <w:r w:rsidRPr="0056535C">
        <w:t>We discarded reports before September 2014. Reports from after this date (82% of the total) occur more regu</w:t>
      </w:r>
      <w:r w:rsidRPr="0056535C">
        <w:t>larly than those from before it</w:t>
      </w:r>
      <w:r w:rsidR="00D318B5">
        <w:t>;</w:t>
      </w:r>
    </w:p>
    <w:p w14:paraId="0E297607" w14:textId="46EF7B43" w:rsidR="0056535C" w:rsidRDefault="00781EFB" w:rsidP="00781EFB">
      <w:pPr>
        <w:pStyle w:val="a0"/>
      </w:pPr>
      <w:r w:rsidRPr="00781EFB">
        <w:t>We discarded URLs with a small number (</w:t>
      </w:r>
      <w:r>
        <w:t>less than 100</w:t>
      </w:r>
      <w:r w:rsidRPr="00781EFB">
        <w:t>) of request pairs. The great majority of distinct URLs were tested only a handful of times and thus not appropriate for our analysis. Though only 2% of URLs occur often enough, they account for 89% of all request pairs</w:t>
      </w:r>
      <w:r w:rsidR="00D318B5">
        <w:t>;</w:t>
      </w:r>
    </w:p>
    <w:p w14:paraId="75734405" w14:textId="6C588251" w:rsidR="00781EFB" w:rsidRPr="00781EFB" w:rsidRDefault="00781EFB" w:rsidP="00781EFB">
      <w:pPr>
        <w:pStyle w:val="a0"/>
      </w:pPr>
      <w:r w:rsidRPr="00781EFB">
        <w:t>We discarded request pairs where one or both responses were missing. A response to an http requests probe is supposed to be either an HTTP response (i.e., with a status code such as 200), or else an indication of timeout or rejection. About 20% of request pairs are anomalous and are missing a response data structure, but they are concentrated in a tiny fraction of reports and URLs</w:t>
      </w:r>
      <w:r w:rsidR="00D318B5">
        <w:t>.</w:t>
      </w:r>
    </w:p>
    <w:p w14:paraId="3FE1B9C0" w14:textId="380C8ED0" w:rsidR="008F1DBF" w:rsidRDefault="008F1DBF" w:rsidP="008F1DBF">
      <w:pPr>
        <w:pStyle w:val="1"/>
        <w:rPr>
          <w:lang w:val="en-US"/>
        </w:rPr>
      </w:pPr>
      <w:bookmarkStart w:id="11" w:name="_Toc163132408"/>
      <w:r w:rsidRPr="008F1DBF">
        <w:rPr>
          <w:lang w:val="en-US"/>
        </w:rPr>
        <w:lastRenderedPageBreak/>
        <w:t>Mathematical Analysis</w:t>
      </w:r>
      <w:bookmarkEnd w:id="11"/>
      <w:r w:rsidRPr="008F1DBF">
        <w:rPr>
          <w:lang w:val="en-US"/>
        </w:rPr>
        <w:t xml:space="preserve"> </w:t>
      </w:r>
    </w:p>
    <w:p w14:paraId="7AB441A5" w14:textId="60A80EFB" w:rsidR="008F1DBF" w:rsidRDefault="008F1DBF" w:rsidP="008F1DBF">
      <w:pPr>
        <w:pStyle w:val="2"/>
        <w:rPr>
          <w:lang w:val="en-US"/>
        </w:rPr>
      </w:pPr>
      <w:bookmarkStart w:id="12" w:name="_Toc163132409"/>
      <w:r>
        <w:t>Long-Lived Flows</w:t>
      </w:r>
      <w:bookmarkEnd w:id="12"/>
      <w:r w:rsidRPr="008F1DBF">
        <w:rPr>
          <w:lang w:val="en-US"/>
        </w:rPr>
        <w:t xml:space="preserve"> </w:t>
      </w:r>
    </w:p>
    <w:p w14:paraId="5F4A0398" w14:textId="13C249A4" w:rsidR="00D31B96" w:rsidRDefault="008F1DBF" w:rsidP="008F1DBF">
      <w:pPr>
        <w:rPr>
          <w:lang w:val="en-US"/>
        </w:rPr>
      </w:pPr>
      <w:r w:rsidRPr="008F1DBF">
        <w:rPr>
          <w:lang w:val="en-US"/>
        </w:rPr>
        <w:t xml:space="preserve">We first consider a simplified model, in which all flows start at the same known time </w:t>
      </w:r>
      <m:oMath>
        <m:r>
          <w:rPr>
            <w:rFonts w:ascii="Cambria Math" w:hAnsi="Cambria Math"/>
            <w:lang w:val="en-US"/>
          </w:rPr>
          <m:t>s</m:t>
        </m:r>
      </m:oMath>
      <w:r w:rsidRPr="008F1DBF">
        <w:rPr>
          <w:lang w:val="en-US"/>
        </w:rPr>
        <w:t xml:space="preserve"> and have the same known duration </w:t>
      </w:r>
      <m:oMath>
        <m:r>
          <w:rPr>
            <w:rFonts w:ascii="Cambria Math" w:hAnsi="Cambria Math"/>
            <w:lang w:val="en-US"/>
          </w:rPr>
          <m:t>l</m:t>
        </m:r>
      </m:oMath>
      <w:r w:rsidRPr="008F1DBF">
        <w:rPr>
          <w:lang w:val="en-US"/>
        </w:rPr>
        <w:t xml:space="preserve"> (basically, </w:t>
      </w:r>
      <m:oMath>
        <m:r>
          <w:rPr>
            <w:rFonts w:ascii="Cambria Math" w:hAnsi="Cambria Math"/>
            <w:lang w:val="en-US"/>
          </w:rPr>
          <m:t>[s, s+l]</m:t>
        </m:r>
      </m:oMath>
      <w:r w:rsidRPr="008F1DBF">
        <w:rPr>
          <w:lang w:val="en-US"/>
        </w:rPr>
        <w:t xml:space="preserve"> is our observation window). The only factor distinguishing the flows is their (unknown) rate </w:t>
      </w:r>
      <m:oMath>
        <m:r>
          <w:rPr>
            <w:rFonts w:ascii="Cambria Math" w:hAnsi="Cambria Math"/>
            <w:lang w:val="en-US"/>
          </w:rPr>
          <m:t>r</m:t>
        </m:r>
      </m:oMath>
      <w:r w:rsidRPr="008F1DBF">
        <w:rPr>
          <w:lang w:val="en-US"/>
        </w:rPr>
        <w:t xml:space="preserve">. </w:t>
      </w:r>
      <w:r>
        <w:rPr>
          <w:lang w:val="en-US"/>
        </w:rPr>
        <w:t>W</w:t>
      </w:r>
      <w:r w:rsidRPr="008F1DBF">
        <w:rPr>
          <w:lang w:val="en-US"/>
        </w:rPr>
        <w:t>e get:</w:t>
      </w:r>
    </w:p>
    <w:tbl>
      <w:tblPr>
        <w:tblW w:w="9248" w:type="dxa"/>
        <w:tblInd w:w="108" w:type="dxa"/>
        <w:tblLook w:val="04A0" w:firstRow="1" w:lastRow="0" w:firstColumn="1" w:lastColumn="0" w:noHBand="0" w:noVBand="1"/>
      </w:tblPr>
      <w:tblGrid>
        <w:gridCol w:w="8539"/>
        <w:gridCol w:w="709"/>
      </w:tblGrid>
      <w:tr w:rsidR="00FC2B8C" w:rsidRPr="00BF3639" w14:paraId="7723A1EE" w14:textId="77777777" w:rsidTr="00747595">
        <w:tc>
          <w:tcPr>
            <w:tcW w:w="8539" w:type="dxa"/>
            <w:vAlign w:val="center"/>
          </w:tcPr>
          <w:p w14:paraId="17509F08" w14:textId="493AF23B" w:rsidR="00FC2B8C" w:rsidRPr="00FC2B8C" w:rsidRDefault="00FC2B8C" w:rsidP="00747595">
            <w:pPr>
              <w:pStyle w:val="a9"/>
              <w:rPr>
                <w:i/>
                <w:lang w:val="en-US"/>
              </w:rPr>
            </w:pPr>
            <m:oMathPara>
              <m:oMath>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y</m:t>
                    </m:r>
                  </m:e>
                </m:d>
                <m:r>
                  <m:rPr>
                    <m:sty m:val="p"/>
                  </m:rPr>
                  <w:rPr>
                    <w:rFonts w:ascii="Cambria Math" w:hAnsi="Cambria Math" w:cs="Cambria Math"/>
                  </w:rPr>
                  <m:t>=</m:t>
                </m:r>
                <m:r>
                  <m:rPr>
                    <m:sty m:val="p"/>
                  </m:rPr>
                  <w:rPr>
                    <w:rFonts w:ascii="Cambria Math" w:hAnsi="Cambria Math" w:cs="Cambria Math"/>
                  </w:rPr>
                  <m:t xml:space="preserve"> </m:t>
                </m:r>
                <m:nary>
                  <m:naryPr>
                    <m:limLoc m:val="subSup"/>
                    <m:ctrlPr>
                      <w:rPr>
                        <w:rFonts w:ascii="Cambria Math" w:hAnsi="Cambria Math" w:cs="Cambria Math"/>
                      </w:rPr>
                    </m:ctrlPr>
                  </m:naryPr>
                  <m:sub>
                    <m:r>
                      <w:rPr>
                        <w:rFonts w:ascii="Cambria Math" w:hAnsi="Cambria Math" w:cs="Cambria Math"/>
                      </w:rPr>
                      <m:t>r</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r</m:t>
                        </m:r>
                      </m:e>
                    </m:d>
                    <m:r>
                      <m:rPr>
                        <m:sty m:val="p"/>
                      </m:rPr>
                      <w:rPr>
                        <w:rFonts w:ascii="Cambria Math" w:hAnsi="Cambria Math"/>
                      </w:rPr>
                      <m:t>P</m:t>
                    </m:r>
                    <m:d>
                      <m:dPr>
                        <m:ctrlPr>
                          <w:rPr>
                            <w:rFonts w:ascii="Cambria Math" w:hAnsi="Cambria Math"/>
                          </w:rPr>
                        </m:ctrlPr>
                      </m:dPr>
                      <m:e>
                        <m:r>
                          <m:rPr>
                            <m:sty m:val="p"/>
                          </m:rPr>
                          <w:rPr>
                            <w:rFonts w:ascii="Cambria Math" w:hAnsi="Cambria Math"/>
                          </w:rPr>
                          <m:t>r</m:t>
                        </m:r>
                      </m:e>
                    </m:d>
                  </m:e>
                </m:nary>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r</m:t>
                    </m:r>
                  </m:sub>
                  <m:sup/>
                  <m:e>
                    <m:sSup>
                      <m:sSupPr>
                        <m:ctrlPr>
                          <w:rPr>
                            <w:rFonts w:ascii="Cambria Math" w:hAnsi="Cambria Math"/>
                            <w:i/>
                          </w:rPr>
                        </m:ctrlPr>
                      </m:sSupPr>
                      <m:e>
                        <m:r>
                          <w:rPr>
                            <w:rFonts w:ascii="Cambria Math" w:hAnsi="Cambria Math"/>
                          </w:rPr>
                          <m:t>e</m:t>
                        </m:r>
                      </m:e>
                      <m:sup>
                        <m:r>
                          <w:rPr>
                            <w:rFonts w:ascii="Cambria Math" w:hAnsi="Cambria Math"/>
                          </w:rPr>
                          <m:t>-rql</m:t>
                        </m:r>
                      </m:sup>
                    </m:sSup>
                  </m:e>
                </m:nary>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rq </m:t>
                        </m:r>
                        <m:box>
                          <m:boxPr>
                            <m:diff m:val="1"/>
                            <m:ctrlPr>
                              <w:rPr>
                                <w:rFonts w:ascii="Cambria Math" w:hAnsi="Cambria Math"/>
                              </w:rPr>
                            </m:ctrlPr>
                          </m:boxPr>
                          <m:e>
                            <m:r>
                              <m:rPr>
                                <m:sty m:val="p"/>
                              </m:rPr>
                              <w:rPr>
                                <w:rFonts w:ascii="Cambria Math" w:hAnsi="Cambria Math"/>
                              </w:rPr>
                              <m:t>d</m:t>
                            </m:r>
                            <m:r>
                              <m:rPr>
                                <m:sty m:val="p"/>
                              </m:rPr>
                              <w:rPr>
                                <w:rFonts w:ascii="Cambria Math" w:hAnsi="Cambria Math"/>
                              </w:rPr>
                              <m:t>t</m:t>
                            </m:r>
                          </m:e>
                        </m:box>
                      </m:e>
                    </m:d>
                  </m:e>
                  <m:sup>
                    <m:sSub>
                      <m:sSubPr>
                        <m:ctrlPr>
                          <w:rPr>
                            <w:rFonts w:ascii="Cambria Math" w:hAnsi="Cambria Math"/>
                            <w:i/>
                          </w:rPr>
                        </m:ctrlPr>
                      </m:sSubPr>
                      <m:e>
                        <m:r>
                          <w:rPr>
                            <w:rFonts w:ascii="Cambria Math" w:hAnsi="Cambria Math"/>
                          </w:rPr>
                          <m:t>n</m:t>
                        </m:r>
                      </m:e>
                      <m:sub>
                        <m:r>
                          <w:rPr>
                            <w:rFonts w:ascii="Cambria Math" w:hAnsi="Cambria Math"/>
                          </w:rPr>
                          <m:t>y</m:t>
                        </m:r>
                      </m:sub>
                    </m:sSub>
                  </m:sup>
                </m:sSup>
                <m:r>
                  <m:rPr>
                    <m:sty m:val="p"/>
                  </m:rPr>
                  <w:rPr>
                    <w:rFonts w:ascii="Cambria Math" w:hAnsi="Cambria Math"/>
                  </w:rPr>
                  <m:t xml:space="preserve"> P</m:t>
                </m:r>
                <m:d>
                  <m:dPr>
                    <m:ctrlPr>
                      <w:rPr>
                        <w:rFonts w:ascii="Cambria Math" w:hAnsi="Cambria Math"/>
                      </w:rPr>
                    </m:ctrlPr>
                  </m:dPr>
                  <m:e>
                    <m:r>
                      <m:rPr>
                        <m:sty m:val="p"/>
                      </m:rPr>
                      <w:rPr>
                        <w:rFonts w:ascii="Cambria Math" w:hAnsi="Cambria Math"/>
                      </w:rPr>
                      <m:t>r</m:t>
                    </m:r>
                  </m:e>
                </m:d>
                <m:r>
                  <w:rPr>
                    <w:rFonts w:ascii="Cambria Math" w:hAnsi="Cambria Math"/>
                  </w:rPr>
                  <m:t>,</m:t>
                </m:r>
              </m:oMath>
            </m:oMathPara>
          </w:p>
        </w:tc>
        <w:tc>
          <w:tcPr>
            <w:tcW w:w="709" w:type="dxa"/>
            <w:vAlign w:val="center"/>
          </w:tcPr>
          <w:p w14:paraId="0AF1BE71" w14:textId="77777777" w:rsidR="00FC2B8C" w:rsidRPr="00BF3639" w:rsidRDefault="00FC2B8C" w:rsidP="00747595">
            <w:pPr>
              <w:pStyle w:val="-1"/>
            </w:pPr>
            <w:bookmarkStart w:id="13" w:name="_Ref98172175"/>
            <w:r>
              <w:t>(</w:t>
            </w:r>
            <w:r>
              <w:fldChar w:fldCharType="begin"/>
            </w:r>
            <w:r>
              <w:instrText xml:space="preserve"> SEQ Формула \* ARABIC </w:instrText>
            </w:r>
            <w:r>
              <w:fldChar w:fldCharType="separate"/>
            </w:r>
            <w:r>
              <w:rPr>
                <w:noProof/>
              </w:rPr>
              <w:t>1</w:t>
            </w:r>
            <w:r>
              <w:rPr>
                <w:noProof/>
              </w:rPr>
              <w:fldChar w:fldCharType="end"/>
            </w:r>
            <w:r>
              <w:t>)</w:t>
            </w:r>
            <w:bookmarkEnd w:id="13"/>
          </w:p>
        </w:tc>
      </w:tr>
    </w:tbl>
    <w:p w14:paraId="21B8A60B" w14:textId="315A3D46" w:rsidR="00FC2B8C" w:rsidRPr="00FC2B8C" w:rsidRDefault="00FC2B8C" w:rsidP="00FC2B8C">
      <w:pPr>
        <w:pStyle w:val="ab"/>
        <w:rPr>
          <w:lang w:val="en-US"/>
        </w:rPr>
      </w:pPr>
      <w:r>
        <w:rPr>
          <w:lang w:val="en-US"/>
        </w:rPr>
        <w:t>where</w:t>
      </w:r>
      <w:r w:rsidRPr="00FC2B8C">
        <w:rPr>
          <w:lang w:val="en-US"/>
        </w:rPr>
        <w:t> </w:t>
      </w:r>
      <m:oMath>
        <m:r>
          <w:rPr>
            <w:rFonts w:ascii="Cambria Math" w:hAnsi="Cambria Math"/>
          </w:rPr>
          <m:t>P</m:t>
        </m:r>
        <m:r>
          <w:rPr>
            <w:rFonts w:ascii="Cambria Math" w:hAnsi="Cambria Math"/>
            <w:lang w:val="en-US"/>
          </w:rPr>
          <m:t>(</m:t>
        </m:r>
        <m:r>
          <w:rPr>
            <w:rFonts w:ascii="Cambria Math" w:hAnsi="Cambria Math"/>
          </w:rPr>
          <m:t>r</m:t>
        </m:r>
        <m:r>
          <w:rPr>
            <w:rFonts w:ascii="Cambria Math" w:hAnsi="Cambria Math"/>
            <w:lang w:val="en-US"/>
          </w:rPr>
          <m:t>)</m:t>
        </m:r>
      </m:oMath>
      <w:r w:rsidRPr="00FC2B8C">
        <w:rPr>
          <w:lang w:val="en-US"/>
        </w:rPr>
        <w:t xml:space="preserve"> – our prior information about the rate </w:t>
      </w:r>
      <m:oMath>
        <m:r>
          <w:rPr>
            <w:rFonts w:ascii="Cambria Math" w:hAnsi="Cambria Math"/>
            <w:lang w:val="en-US"/>
          </w:rPr>
          <m:t>r</m:t>
        </m:r>
      </m:oMath>
      <w:r>
        <w:rPr>
          <w:lang w:val="en-US"/>
        </w:rPr>
        <w:t>.</w:t>
      </w:r>
    </w:p>
    <w:p w14:paraId="5F2B3301" w14:textId="75A32265" w:rsidR="00FC2B8C" w:rsidRDefault="00FC2B8C" w:rsidP="00E93056">
      <w:pPr>
        <w:rPr>
          <w:lang w:val="en-US"/>
        </w:rPr>
      </w:pPr>
      <w:r w:rsidRPr="00FC2B8C">
        <w:rPr>
          <w:lang w:val="en-US"/>
        </w:rPr>
        <w:t xml:space="preserve">Since </w:t>
      </w:r>
      <m:oMath>
        <m:r>
          <w:rPr>
            <w:rFonts w:ascii="Cambria Math" w:hAnsi="Cambria Math"/>
            <w:lang w:val="en-US"/>
          </w:rPr>
          <m:t>r</m:t>
        </m:r>
      </m:oMath>
      <w:r>
        <w:rPr>
          <w:lang w:val="en-US"/>
        </w:rPr>
        <w:t xml:space="preserve"> </w:t>
      </w:r>
      <w:r w:rsidRPr="00FC2B8C">
        <w:rPr>
          <w:lang w:val="en-US"/>
        </w:rPr>
        <w:t xml:space="preserve">is a positive parameter, we express our complete lack of prior knowledge by using the scale-invariant Jeffrey’s ignorance prior </w:t>
      </w:r>
      <m:oMath>
        <m:r>
          <w:rPr>
            <w:rFonts w:ascii="Cambria Math" w:hAnsi="Cambria Math"/>
            <w:lang w:val="en-US"/>
          </w:rPr>
          <m:t xml:space="preserve">P(r) </m:t>
        </m:r>
        <m:r>
          <w:rPr>
            <w:rFonts w:ascii="Cambria Math" w:hAnsi="Cambria Math" w:cs="Cambria Math"/>
            <w:lang w:val="en-US"/>
          </w:rPr>
          <m:t>∼</m:t>
        </m:r>
        <m:r>
          <w:rPr>
            <w:rFonts w:ascii="Cambria Math" w:hAnsi="Cambria Math"/>
            <w:lang w:val="en-US"/>
          </w:rPr>
          <m:t xml:space="preserve"> r -1 dr </m:t>
        </m:r>
      </m:oMath>
      <w:r w:rsidR="00E93056">
        <w:rPr>
          <w:lang w:val="en-US"/>
        </w:rPr>
        <w:t>.</w:t>
      </w:r>
      <w:r w:rsidRPr="00FC2B8C">
        <w:rPr>
          <w:lang w:val="en-US"/>
        </w:rPr>
        <w:t xml:space="preserve"> This basically says that </w:t>
      </w:r>
      <m:oMath>
        <m:r>
          <w:rPr>
            <w:rFonts w:ascii="Cambria Math" w:hAnsi="Cambria Math"/>
            <w:lang w:val="en-US"/>
          </w:rPr>
          <m:t>log r</m:t>
        </m:r>
      </m:oMath>
      <w:r w:rsidRPr="00FC2B8C">
        <w:rPr>
          <w:lang w:val="en-US"/>
        </w:rPr>
        <w:t xml:space="preserve"> is distributed uniformly: the probability of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[a, b]</m:t>
        </m:r>
      </m:oMath>
      <w:r w:rsidRPr="00FC2B8C">
        <w:rPr>
          <w:lang w:val="en-US"/>
        </w:rPr>
        <w:t xml:space="preserve"> is proportional to </w:t>
      </w:r>
      <m:oMath>
        <m:r>
          <w:rPr>
            <w:rFonts w:ascii="Cambria Math" w:hAnsi="Cambria Math"/>
            <w:lang w:val="en-US"/>
          </w:rPr>
          <m:t>log(b/a)</m:t>
        </m:r>
      </m:oMath>
      <w:r w:rsidRPr="00FC2B8C">
        <w:rPr>
          <w:lang w:val="en-US"/>
        </w:rPr>
        <w:t xml:space="preserve">. </w:t>
      </w:r>
      <w:r w:rsidRPr="00E93056">
        <w:rPr>
          <w:lang w:val="en-US"/>
        </w:rPr>
        <w:t xml:space="preserve">For example,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[1, 10]</m:t>
        </m:r>
      </m:oMath>
      <w:r w:rsidRPr="00E93056">
        <w:rPr>
          <w:lang w:val="en-US"/>
        </w:rPr>
        <w:t xml:space="preserve"> and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[10, 100]</m:t>
        </m:r>
      </m:oMath>
      <w:r w:rsidR="00E93056">
        <w:rPr>
          <w:lang w:val="en-US"/>
        </w:rPr>
        <w:t xml:space="preserve"> </w:t>
      </w:r>
      <w:r w:rsidRPr="00E93056">
        <w:rPr>
          <w:lang w:val="en-US"/>
        </w:rPr>
        <w:t>have the same probability.</w:t>
      </w:r>
    </w:p>
    <w:tbl>
      <w:tblPr>
        <w:tblW w:w="9248" w:type="dxa"/>
        <w:tblInd w:w="108" w:type="dxa"/>
        <w:tblLook w:val="04A0" w:firstRow="1" w:lastRow="0" w:firstColumn="1" w:lastColumn="0" w:noHBand="0" w:noVBand="1"/>
      </w:tblPr>
      <w:tblGrid>
        <w:gridCol w:w="8539"/>
        <w:gridCol w:w="709"/>
      </w:tblGrid>
      <w:tr w:rsidR="00E93056" w:rsidRPr="00BF3639" w14:paraId="4A263D28" w14:textId="77777777" w:rsidTr="00747595">
        <w:tc>
          <w:tcPr>
            <w:tcW w:w="8539" w:type="dxa"/>
            <w:vAlign w:val="center"/>
          </w:tcPr>
          <w:p w14:paraId="4CEEB8E0" w14:textId="772E5312" w:rsidR="00E93056" w:rsidRPr="00FC2B8C" w:rsidRDefault="00E93056" w:rsidP="00747595">
            <w:pPr>
              <w:pStyle w:val="a9"/>
              <w:rPr>
                <w:i/>
                <w:lang w:val="en-US"/>
              </w:rPr>
            </w:pPr>
            <m:oMathPara>
              <m:oMath>
                <m:r>
                  <m:rPr>
                    <m:sty m:val="p"/>
                  </m:rPr>
                  <w:rPr>
                    <w:rFonts w:ascii="Cambria Math" w:hAnsi="Cambria Math" w:cs="Cambria Math"/>
                    <w:lang w:val="en-US"/>
                  </w:rPr>
                  <m:t>P</m:t>
                </m:r>
                <m:d>
                  <m:dPr>
                    <m:ctrlPr>
                      <w:rPr>
                        <w:rFonts w:ascii="Cambria Math" w:hAnsi="Cambria Math" w:cs="Cambria Math"/>
                      </w:rPr>
                    </m:ctrlPr>
                  </m:dPr>
                  <m:e>
                    <m:r>
                      <m:rPr>
                        <m:sty m:val="p"/>
                      </m:rPr>
                      <w:rPr>
                        <w:rFonts w:ascii="Cambria Math" w:hAnsi="Cambria Math" w:cs="Cambria Math"/>
                        <w:lang w:val="en-US"/>
                      </w:rPr>
                      <m:t>y</m:t>
                    </m:r>
                  </m:e>
                </m:d>
                <m:r>
                  <w:rPr>
                    <w:rFonts w:ascii="Cambria Math" w:hAnsi="Cambria Math"/>
                    <w:lang w:val="en-US"/>
                  </w:rPr>
                  <m:t>=</m:t>
                </m:r>
                <m:r>
                  <m:rPr>
                    <m:sty m:val="p"/>
                  </m:rPr>
                  <w:rPr>
                    <w:rFonts w:ascii="Cambria Math" w:hAnsi="Cambria Math" w:cs="Cambria Math"/>
                    <w:lang w:val="en-US"/>
                  </w:rPr>
                  <m:t xml:space="preserve"> </m:t>
                </m:r>
                <m:nary>
                  <m:naryPr>
                    <m:limLoc m:val="subSup"/>
                    <m:ctrlPr>
                      <w:rPr>
                        <w:rFonts w:ascii="Cambria Math" w:hAnsi="Cambria Math" w:cs="Cambria Math"/>
                      </w:rPr>
                    </m:ctrlPr>
                  </m:naryPr>
                  <m:sub>
                    <m:r>
                      <w:rPr>
                        <w:rFonts w:ascii="Cambria Math" w:hAnsi="Cambria Math" w:cs="Cambria Math"/>
                      </w:rPr>
                      <m:t>r</m:t>
                    </m:r>
                  </m:sub>
                  <m:sup/>
                  <m:e>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rq dt</m:t>
                            </m:r>
                            <m:ctrlPr>
                              <w:rPr>
                                <w:rFonts w:ascii="Cambria Math" w:hAnsi="Cambria Math"/>
                              </w:rPr>
                            </m:ctrlP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-rql</m:t>
                        </m:r>
                      </m:sup>
                    </m:sSup>
                    <m:r>
                      <w:rPr>
                        <w:rFonts w:ascii="Cambria Math" w:hAnsi="Cambria Math"/>
                        <w:lang w:val="en-US"/>
                      </w:rPr>
                      <m:t>P(r)</m:t>
                    </m:r>
                  </m:e>
                </m:nary>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 xml:space="preserve">q </m:t>
                    </m:r>
                    <m:box>
                      <m:boxPr>
                        <m:diff m:val="1"/>
                        <m:ctrlPr>
                          <w:rPr>
                            <w:rFonts w:ascii="Cambria Math" w:hAnsi="Cambria Math"/>
                            <w:lang w:val="en-US"/>
                          </w:rPr>
                        </m:ctrlPr>
                      </m:boxPr>
                      <m:e>
                        <m:r>
                          <m:rPr>
                            <m:sty m:val="p"/>
                          </m:rPr>
                          <w:rPr>
                            <w:rFonts w:ascii="Cambria Math" w:hAnsi="Cambria Math"/>
                            <w:lang w:val="en-US"/>
                          </w:rPr>
                          <m:t>d</m:t>
                        </m:r>
                        <m:r>
                          <m:rPr>
                            <m:sty m:val="p"/>
                          </m:rPr>
                          <w:rPr>
                            <w:rFonts w:ascii="Cambria Math" w:hAnsi="Cambria Math"/>
                            <w:lang w:val="en-US"/>
                          </w:rPr>
                          <m:t>t</m:t>
                        </m:r>
                      </m:e>
                    </m:box>
                  </m:e>
                </m:d>
                <m:nary>
                  <m:naryPr>
                    <m:limLoc m:val="subSup"/>
                    <m:ctrlPr>
                      <w:rPr>
                        <w:rFonts w:ascii="Cambria Math" w:hAnsi="Cambria Math"/>
                      </w:rPr>
                    </m:ctrlPr>
                  </m:naryPr>
                  <m:sub>
                    <m:r>
                      <w:rPr>
                        <w:rFonts w:ascii="Cambria Math" w:hAnsi="Cambria Math"/>
                      </w:rPr>
                      <m:t>r</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-rql</m:t>
                        </m:r>
                      </m:sup>
                    </m:sSup>
                  </m:e>
                </m:nary>
                <m:box>
                  <m:boxPr>
                    <m:diff m:val="1"/>
                    <m:ctrlPr>
                      <w:rPr>
                        <w:rFonts w:ascii="Cambria Math" w:hAnsi="Cambria Math"/>
                        <w:lang w:val="en-US"/>
                      </w:rPr>
                    </m:ctrlPr>
                  </m:boxPr>
                  <m:e>
                    <m:r>
                      <m:rPr>
                        <m:sty m:val="p"/>
                      </m:rPr>
                      <w:rPr>
                        <w:rFonts w:ascii="Cambria Math" w:hAnsi="Cambria Math"/>
                        <w:lang w:val="en-US"/>
                      </w:rPr>
                      <m:t>d</m:t>
                    </m:r>
                    <m:r>
                      <m:rPr>
                        <m:sty m:val="p"/>
                      </m:rPr>
                      <w:rPr>
                        <w:rFonts w:ascii="Cambria Math" w:hAnsi="Cambria Math"/>
                        <w:lang w:val="en-US"/>
                      </w:rPr>
                      <m:t>r</m:t>
                    </m:r>
                  </m:e>
                </m:box>
                <m:r>
                  <w:rPr>
                    <w:rFonts w:ascii="Cambria Math" w:hAnsi="Cambria Math"/>
                    <w:lang w:val="en-US"/>
                  </w:rPr>
                  <m:t xml:space="preserve">= </m:t>
                </m:r>
                <m:f>
                  <m:fPr>
                    <m:ctrlPr>
                      <w:rPr>
                        <w:rFonts w:ascii="Cambria Math" w:hAnsi="Cambria Math"/>
                        <w:i/>
                        <w:lang w:val="en-US"/>
                      </w:rPr>
                    </m:ctrlPr>
                  </m:fPr>
                  <m:num>
                    <m:box>
                      <m:boxPr>
                        <m:diff m:val="1"/>
                        <m:ctrlPr>
                          <w:rPr>
                            <w:rFonts w:ascii="Cambria Math" w:hAnsi="Cambria Math"/>
                            <w:i/>
                            <w:lang w:val="en-US"/>
                          </w:rPr>
                        </m:ctrlPr>
                      </m:box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e>
                    </m:box>
                  </m:num>
                  <m:den>
                    <m:sSup>
                      <m:sSupPr>
                        <m:ctrlPr>
                          <w:rPr>
                            <w:rFonts w:ascii="Cambria Math" w:hAnsi="Cambria Math"/>
                            <w:i/>
                            <w:lang w:val="en-US"/>
                          </w:rPr>
                        </m:ctrlPr>
                      </m:sSupPr>
                      <m:e>
                        <m:r>
                          <w:rPr>
                            <w:rFonts w:ascii="Cambria Math" w:hAnsi="Cambria Math"/>
                            <w:lang w:val="en-US"/>
                          </w:rPr>
                          <m:t>l</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den>
                </m:f>
                <m:r>
                  <w:rPr>
                    <w:rFonts w:ascii="Cambria Math" w:hAnsi="Cambria Math"/>
                    <w:lang w:val="en-US"/>
                  </w:rPr>
                  <m:t>.</m:t>
                </m:r>
              </m:oMath>
            </m:oMathPara>
          </w:p>
        </w:tc>
        <w:tc>
          <w:tcPr>
            <w:tcW w:w="709" w:type="dxa"/>
            <w:vAlign w:val="center"/>
          </w:tcPr>
          <w:p w14:paraId="7D37362C" w14:textId="4FC21934" w:rsidR="00E93056" w:rsidRPr="00BF3639" w:rsidRDefault="00E93056" w:rsidP="00747595">
            <w:pPr>
              <w:pStyle w:val="-1"/>
            </w:pPr>
            <w:r>
              <w:t>(</w:t>
            </w:r>
            <w:r>
              <w:fldChar w:fldCharType="begin"/>
            </w:r>
            <w:r>
              <w:instrText xml:space="preserve"> SEQ Формула \* ARABIC </w:instrText>
            </w:r>
            <w:r>
              <w:fldChar w:fldCharType="separate"/>
            </w:r>
            <w:r>
              <w:rPr>
                <w:noProof/>
              </w:rPr>
              <w:t>2</w:t>
            </w:r>
            <w:r>
              <w:rPr>
                <w:noProof/>
              </w:rPr>
              <w:fldChar w:fldCharType="end"/>
            </w:r>
            <w:r>
              <w:t>)</w:t>
            </w:r>
          </w:p>
        </w:tc>
      </w:tr>
    </w:tbl>
    <w:p w14:paraId="3EF80BEF" w14:textId="7975F814" w:rsidR="00E93056" w:rsidRPr="002A2E03" w:rsidRDefault="002A2E03" w:rsidP="00E93056">
      <w:pPr>
        <w:rPr>
          <w:lang w:val="en-US"/>
        </w:rPr>
      </w:pPr>
      <w:r w:rsidRPr="002A2E03">
        <w:rPr>
          <w:lang w:val="en-US"/>
        </w:rPr>
        <w:t xml:space="preserve">We used </w:t>
      </w:r>
      <m:oMath>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a-1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-bz</m:t>
                </m:r>
              </m:sup>
            </m:sSup>
            <m:box>
              <m:boxPr>
                <m:diff m:val="1"/>
                <m:ctrlPr>
                  <w:rPr>
                    <w:rFonts w:ascii="Cambria Math" w:hAnsi="Cambria Math"/>
                    <w:i/>
                    <w:lang w:val="en-US"/>
                  </w:rPr>
                </m:ctrlPr>
              </m:boxPr>
              <m:e>
                <m:r>
                  <w:rPr>
                    <w:rFonts w:ascii="Cambria Math" w:hAnsi="Cambria Math"/>
                    <w:lang w:val="en-US"/>
                  </w:rPr>
                  <m:t>dy</m:t>
                </m:r>
              </m:e>
            </m:box>
          </m:e>
        </m:nary>
        <m:r>
          <w:rPr>
            <w:rFonts w:ascii="Cambria Math" w:hAnsi="Cambria Math"/>
            <w:lang w:val="en-US"/>
          </w:rPr>
          <m:t xml:space="preserve"> =</m:t>
        </m:r>
        <m:f>
          <m:fPr>
            <m:ctrlPr>
              <w:rPr>
                <w:rFonts w:ascii="Cambria Math" w:hAnsi="Cambria Math"/>
                <w:i/>
                <w:lang w:val="en-US"/>
              </w:rPr>
            </m:ctrlPr>
          </m:fPr>
          <m:num>
            <m:r>
              <w:rPr>
                <w:rFonts w:ascii="Cambria Math" w:hAnsi="Cambria Math"/>
              </w:rPr>
              <m:t>Γ</m:t>
            </m:r>
            <m:d>
              <m:dPr>
                <m:ctrlPr>
                  <w:rPr>
                    <w:rFonts w:ascii="Cambria Math" w:hAnsi="Cambria Math"/>
                    <w:i/>
                    <w:lang w:val="en-US"/>
                  </w:rPr>
                </m:ctrlPr>
              </m:dPr>
              <m:e>
                <m:r>
                  <w:rPr>
                    <w:rFonts w:ascii="Cambria Math" w:hAnsi="Cambria Math"/>
                    <w:lang w:val="en-US"/>
                  </w:rPr>
                  <m:t>a</m:t>
                </m:r>
              </m:e>
            </m:d>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a</m:t>
                </m:r>
              </m:sup>
            </m:sSup>
          </m:den>
        </m:f>
      </m:oMath>
      <w:r w:rsidRPr="002A2E03">
        <w:rPr>
          <w:lang w:val="en-US"/>
        </w:rPr>
        <w:t xml:space="preserve">; for integer </w:t>
      </w:r>
      <m:oMath>
        <m:r>
          <w:rPr>
            <w:rFonts w:ascii="Cambria Math" w:hAnsi="Cambria Math"/>
            <w:lang w:val="en-US"/>
          </w:rPr>
          <m:t>n</m:t>
        </m:r>
      </m:oMath>
      <w:r w:rsidRPr="002A2E03">
        <w:rPr>
          <w:lang w:val="en-US"/>
        </w:rPr>
        <w:t xml:space="preserve"> we have </w:t>
      </w:r>
      <m:oMath>
        <m:r>
          <w:rPr>
            <w:rFonts w:ascii="Cambria Math" w:hAnsi="Cambria Math"/>
          </w:rPr>
          <m:t>Γ</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 xml:space="preserve">n </m:t>
            </m:r>
            <m:r>
              <w:rPr>
                <w:rFonts w:ascii="Cambria Math" w:hAnsi="Cambria Math"/>
                <w:lang w:val="en-US"/>
              </w:rPr>
              <m:t>–</m:t>
            </m:r>
            <m:r>
              <w:rPr>
                <w:rFonts w:ascii="Cambria Math" w:hAnsi="Cambria Math"/>
                <w:lang w:val="en-US"/>
              </w:rPr>
              <m:t xml:space="preserve"> 1</m:t>
            </m:r>
          </m:e>
        </m:d>
        <m:r>
          <w:rPr>
            <w:rFonts w:ascii="Cambria Math" w:hAnsi="Cambria Math"/>
            <w:lang w:val="en-US"/>
          </w:rPr>
          <m:t>!</m:t>
        </m:r>
      </m:oMath>
      <w:r>
        <w:rPr>
          <w:lang w:val="en-US"/>
        </w:rPr>
        <w:t>.</w:t>
      </w:r>
    </w:p>
    <w:p w14:paraId="2D1C4ACD" w14:textId="6DD698B0" w:rsidR="002A2E03" w:rsidRDefault="002A2E03" w:rsidP="002A2E03">
      <w:pPr>
        <w:rPr>
          <w:lang w:val="en-US"/>
        </w:rPr>
      </w:pPr>
      <w:r w:rsidRPr="002A2E03">
        <w:rPr>
          <w:lang w:val="en-US"/>
        </w:rPr>
        <w:t>Similarly,</w:t>
      </w:r>
    </w:p>
    <w:tbl>
      <w:tblPr>
        <w:tblW w:w="9248" w:type="dxa"/>
        <w:tblInd w:w="108" w:type="dxa"/>
        <w:tblLook w:val="04A0" w:firstRow="1" w:lastRow="0" w:firstColumn="1" w:lastColumn="0" w:noHBand="0" w:noVBand="1"/>
      </w:tblPr>
      <w:tblGrid>
        <w:gridCol w:w="8539"/>
        <w:gridCol w:w="709"/>
      </w:tblGrid>
      <w:tr w:rsidR="002A2E03" w:rsidRPr="00BF3639" w14:paraId="2D16D966" w14:textId="77777777" w:rsidTr="00747595">
        <w:tc>
          <w:tcPr>
            <w:tcW w:w="8539" w:type="dxa"/>
            <w:vAlign w:val="center"/>
          </w:tcPr>
          <w:p w14:paraId="506214F0" w14:textId="4752E450" w:rsidR="002A2E03" w:rsidRPr="00FC2B8C" w:rsidRDefault="002A2E03" w:rsidP="00747595">
            <w:pPr>
              <w:pStyle w:val="a9"/>
              <w:rPr>
                <w:i/>
                <w:lang w:val="en-US"/>
              </w:rPr>
            </w:pPr>
            <m:oMathPara>
              <m:oMath>
                <m:r>
                  <m:rPr>
                    <m:sty m:val="p"/>
                  </m:rPr>
                  <w:rPr>
                    <w:rFonts w:ascii="Cambria Math" w:hAnsi="Cambria Math" w:cs="Cambria Math"/>
                    <w:lang w:val="en-US"/>
                  </w:rPr>
                  <m:t>P</m:t>
                </m:r>
                <m:d>
                  <m:dPr>
                    <m:ctrlPr>
                      <w:rPr>
                        <w:rFonts w:ascii="Cambria Math" w:hAnsi="Cambria Math" w:cs="Cambria Math"/>
                      </w:rPr>
                    </m:ctrlPr>
                  </m:dPr>
                  <m:e>
                    <m:r>
                      <m:rPr>
                        <m:sty m:val="p"/>
                      </m:rPr>
                      <w:rPr>
                        <w:rFonts w:ascii="Cambria Math" w:hAnsi="Cambria Math" w:cs="Cambria Math"/>
                        <w:lang w:val="en-US"/>
                      </w:rPr>
                      <m:t>x,</m:t>
                    </m:r>
                    <m:r>
                      <m:rPr>
                        <m:sty m:val="p"/>
                      </m:rPr>
                      <w:rPr>
                        <w:rFonts w:ascii="Cambria Math" w:hAnsi="Cambria Math" w:cs="Cambria Math"/>
                        <w:lang w:val="en-US"/>
                      </w:rPr>
                      <m:t>y</m:t>
                    </m:r>
                  </m:e>
                </m:d>
                <m:r>
                  <w:rPr>
                    <w:rFonts w:ascii="Cambria Math" w:hAnsi="Cambria Math"/>
                    <w:lang w:val="en-US"/>
                  </w:rPr>
                  <m:t>=</m:t>
                </m:r>
                <m:r>
                  <m:rPr>
                    <m:sty m:val="p"/>
                  </m:rPr>
                  <w:rPr>
                    <w:rFonts w:ascii="Cambria Math" w:hAnsi="Cambria Math" w:cs="Cambria Math"/>
                    <w:lang w:val="en-US"/>
                  </w:rPr>
                  <m:t xml:space="preserve"> </m:t>
                </m:r>
                <m:nary>
                  <m:naryPr>
                    <m:limLoc m:val="subSup"/>
                    <m:ctrlPr>
                      <w:rPr>
                        <w:rFonts w:ascii="Cambria Math" w:hAnsi="Cambria Math" w:cs="Cambria Math"/>
                      </w:rPr>
                    </m:ctrlPr>
                  </m:naryPr>
                  <m:sub>
                    <m:r>
                      <w:rPr>
                        <w:rFonts w:ascii="Cambria Math" w:hAnsi="Cambria Math" w:cs="Cambria Math"/>
                      </w:rPr>
                      <m:t>t</m:t>
                    </m:r>
                  </m:sub>
                  <m:sup/>
                  <m:e>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rq dt</m:t>
                            </m:r>
                            <m:ctrlPr>
                              <w:rPr>
                                <w:rFonts w:ascii="Cambria Math" w:hAnsi="Cambria Math"/>
                              </w:rPr>
                            </m:ctrlP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2</m:t>
                        </m:r>
                        <m:r>
                          <w:rPr>
                            <w:rFonts w:ascii="Cambria Math" w:hAnsi="Cambria Math"/>
                            <w:lang w:val="en-US"/>
                          </w:rPr>
                          <m:t>rql</m:t>
                        </m:r>
                      </m:sup>
                    </m:sSup>
                    <m:r>
                      <w:rPr>
                        <w:rFonts w:ascii="Cambria Math" w:hAnsi="Cambria Math"/>
                        <w:lang w:val="en-US"/>
                      </w:rPr>
                      <m:t>P(r)</m:t>
                    </m:r>
                  </m:e>
                </m:nary>
                <m:r>
                  <m:rPr>
                    <m:sty m:val="p"/>
                  </m:rPr>
                  <w:rPr>
                    <w:rFonts w:ascii="Cambria Math" w:hAnsi="Cambria Math"/>
                    <w:lang w:val="en-US"/>
                  </w:rPr>
                  <m:t>=</m:t>
                </m:r>
                <m:f>
                  <m:fPr>
                    <m:ctrlPr>
                      <w:rPr>
                        <w:rFonts w:ascii="Cambria Math" w:hAnsi="Cambria Math"/>
                        <w:i/>
                        <w:lang w:val="en-US"/>
                      </w:rPr>
                    </m:ctrlPr>
                  </m:fPr>
                  <m:num>
                    <m:box>
                      <m:boxPr>
                        <m:diff m:val="1"/>
                        <m:ctrlPr>
                          <w:rPr>
                            <w:rFonts w:ascii="Cambria Math" w:hAnsi="Cambria Math"/>
                            <w:i/>
                            <w:lang w:val="en-US"/>
                          </w:rPr>
                        </m:ctrlPr>
                      </m:box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e>
                    </m:box>
                  </m:num>
                  <m:den>
                    <m:sSup>
                      <m:sSupPr>
                        <m:ctrlPr>
                          <w:rPr>
                            <w:rFonts w:ascii="Cambria Math" w:hAnsi="Cambria Math"/>
                            <w:i/>
                            <w:lang w:val="en-US"/>
                          </w:rPr>
                        </m:ctrlPr>
                      </m:sSupPr>
                      <m:e>
                        <m:r>
                          <w:rPr>
                            <w:rFonts w:ascii="Cambria Math" w:hAnsi="Cambria Math"/>
                            <w:lang w:val="en-US"/>
                          </w:rPr>
                          <m:t>(2</m:t>
                        </m:r>
                        <m:r>
                          <w:rPr>
                            <w:rFonts w:ascii="Cambria Math" w:hAnsi="Cambria Math"/>
                            <w:lang w:val="en-US"/>
                          </w:rPr>
                          <m:t>l</m:t>
                        </m:r>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den>
                </m:f>
                <m:r>
                  <w:rPr>
                    <w:rFonts w:ascii="Cambria Math" w:hAnsi="Cambria Math"/>
                    <w:lang w:val="en-US"/>
                  </w:rPr>
                  <m:t>.</m:t>
                </m:r>
              </m:oMath>
            </m:oMathPara>
          </w:p>
        </w:tc>
        <w:tc>
          <w:tcPr>
            <w:tcW w:w="709" w:type="dxa"/>
            <w:vAlign w:val="center"/>
          </w:tcPr>
          <w:p w14:paraId="5DCA1866" w14:textId="649E5346" w:rsidR="002A2E03" w:rsidRPr="00BF3639" w:rsidRDefault="002A2E03" w:rsidP="00747595">
            <w:pPr>
              <w:pStyle w:val="-1"/>
            </w:pPr>
            <w:r>
              <w:t>(</w:t>
            </w:r>
            <w:r>
              <w:fldChar w:fldCharType="begin"/>
            </w:r>
            <w:r>
              <w:instrText xml:space="preserve"> SEQ Формула \* ARABIC </w:instrText>
            </w:r>
            <w:r>
              <w:fldChar w:fldCharType="separate"/>
            </w:r>
            <w:r>
              <w:rPr>
                <w:noProof/>
              </w:rPr>
              <w:t>3</w:t>
            </w:r>
            <w:r>
              <w:rPr>
                <w:noProof/>
              </w:rPr>
              <w:fldChar w:fldCharType="end"/>
            </w:r>
            <w:r>
              <w:t>)</w:t>
            </w:r>
          </w:p>
        </w:tc>
      </w:tr>
    </w:tbl>
    <w:p w14:paraId="56D7BC1F" w14:textId="77777777" w:rsidR="00781EFB" w:rsidRDefault="00781EFB" w:rsidP="00781EFB">
      <w:pPr>
        <w:rPr>
          <w:lang w:val="en-US"/>
        </w:rPr>
      </w:pPr>
      <w:r w:rsidRPr="00781EFB">
        <w:rPr>
          <w:lang w:val="en-US"/>
        </w:rPr>
        <w:t xml:space="preserve">Lack of source/destination addresses in NDN helps privacy, since NDN packets carry information only about what is requested but not who is requesting it. However, a closer look reveals that this is insufficient. In particular, NDN design introduces three important privacy challenges: </w:t>
      </w:r>
    </w:p>
    <w:p w14:paraId="44D2FAD4" w14:textId="37BE6DBF" w:rsidR="00781EFB" w:rsidRDefault="00781EFB" w:rsidP="00781EFB">
      <w:pPr>
        <w:pStyle w:val="a"/>
      </w:pPr>
      <w:r w:rsidRPr="00781EFB">
        <w:t>Name privacy: NDN content names are incentivized to be semantically related to the content itself. Similar to HTTP headers, names reveal significantly more information about content than IP addresses. Moreover, an observer can easily determine when two requests refer to the same (even encrypted) content</w:t>
      </w:r>
      <w:r w:rsidR="00D318B5">
        <w:t>;</w:t>
      </w:r>
    </w:p>
    <w:p w14:paraId="6DE99DE4" w14:textId="3058BC5B" w:rsidR="00781EFB" w:rsidRDefault="00781EFB" w:rsidP="00781EFB">
      <w:pPr>
        <w:pStyle w:val="a"/>
      </w:pPr>
      <w:r w:rsidRPr="00781EFB">
        <w:t xml:space="preserve">Content privacy: NDN allows any entity that knows a name to retrieve corresponding content. Encryption in NDN is used to enforce access control and is not applied to publicly </w:t>
      </w:r>
      <w:r w:rsidRPr="00781EFB">
        <w:lastRenderedPageBreak/>
        <w:t>available content. Thus, consumers wanting to retrieve public content cannot rely on encryption to hide what they access</w:t>
      </w:r>
      <w:r w:rsidR="00D318B5">
        <w:t>;</w:t>
      </w:r>
    </w:p>
    <w:p w14:paraId="3FDF92F5" w14:textId="671C7817" w:rsidR="00781EFB" w:rsidRDefault="00781EFB" w:rsidP="00781EFB">
      <w:pPr>
        <w:pStyle w:val="a"/>
      </w:pPr>
      <w:r w:rsidRPr="00781EFB">
        <w:t>Cache privacy: as with current web proxies, network neighbors may learn about each others’ content access using timing information to identify cache hits</w:t>
      </w:r>
      <w:r w:rsidR="00D318B5">
        <w:t>;</w:t>
      </w:r>
    </w:p>
    <w:p w14:paraId="5CAC7B37" w14:textId="25972D3B" w:rsidR="002A2E03" w:rsidRPr="002A2E03" w:rsidRDefault="00781EFB" w:rsidP="00781EFB">
      <w:pPr>
        <w:pStyle w:val="a"/>
      </w:pPr>
      <w:r w:rsidRPr="00781EFB">
        <w:t>Signature privacy: since digital signatures in NDN content packets are required to be publicly verifiable, identity of a content signer may leak sensitive informatio</w:t>
      </w:r>
      <w:r w:rsidR="00D318B5">
        <w:t>n</w:t>
      </w:r>
      <w:r w:rsidR="00EA031F">
        <w:t>.</w:t>
      </w:r>
    </w:p>
    <w:sectPr w:rsidR="002A2E03" w:rsidRPr="002A2E03"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DCCC" w14:textId="77777777" w:rsidR="000D69AE" w:rsidRDefault="000D69AE" w:rsidP="00CE1201">
      <w:r>
        <w:separator/>
      </w:r>
    </w:p>
  </w:endnote>
  <w:endnote w:type="continuationSeparator" w:id="0">
    <w:p w14:paraId="08765355" w14:textId="77777777" w:rsidR="000D69AE" w:rsidRDefault="000D69AE"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0D69AE">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FD11" w14:textId="77777777" w:rsidR="000D69AE" w:rsidRDefault="000D69AE" w:rsidP="00CE1201">
      <w:r>
        <w:separator/>
      </w:r>
    </w:p>
  </w:footnote>
  <w:footnote w:type="continuationSeparator" w:id="0">
    <w:p w14:paraId="0CB57612" w14:textId="77777777" w:rsidR="000D69AE" w:rsidRDefault="000D69AE"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D6673"/>
    <w:rsid w:val="000D69AE"/>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83802"/>
    <w:rsid w:val="002900AA"/>
    <w:rsid w:val="00295B35"/>
    <w:rsid w:val="002A267C"/>
    <w:rsid w:val="002A2E03"/>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077D"/>
    <w:rsid w:val="004C3867"/>
    <w:rsid w:val="004E517A"/>
    <w:rsid w:val="00506AA0"/>
    <w:rsid w:val="00521C5D"/>
    <w:rsid w:val="00522630"/>
    <w:rsid w:val="005250B9"/>
    <w:rsid w:val="00543E51"/>
    <w:rsid w:val="00544C99"/>
    <w:rsid w:val="005507AF"/>
    <w:rsid w:val="00550CD3"/>
    <w:rsid w:val="00564C3C"/>
    <w:rsid w:val="0056535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557D5"/>
    <w:rsid w:val="00760102"/>
    <w:rsid w:val="00776014"/>
    <w:rsid w:val="00781EFB"/>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F1DBF"/>
    <w:rsid w:val="00900E44"/>
    <w:rsid w:val="00913393"/>
    <w:rsid w:val="00927085"/>
    <w:rsid w:val="00927D24"/>
    <w:rsid w:val="0094143C"/>
    <w:rsid w:val="00942FCB"/>
    <w:rsid w:val="00944AB4"/>
    <w:rsid w:val="00947C12"/>
    <w:rsid w:val="00966201"/>
    <w:rsid w:val="00967CB7"/>
    <w:rsid w:val="00974E2C"/>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E4CE1"/>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8B5"/>
    <w:rsid w:val="00D31B6E"/>
    <w:rsid w:val="00D31B96"/>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93056"/>
    <w:rsid w:val="00EA031F"/>
    <w:rsid w:val="00EA76F5"/>
    <w:rsid w:val="00EF050E"/>
    <w:rsid w:val="00EF439B"/>
    <w:rsid w:val="00F01044"/>
    <w:rsid w:val="00F12337"/>
    <w:rsid w:val="00F16106"/>
    <w:rsid w:val="00F168D9"/>
    <w:rsid w:val="00F43A84"/>
    <w:rsid w:val="00F54DD9"/>
    <w:rsid w:val="00F668C6"/>
    <w:rsid w:val="00F82014"/>
    <w:rsid w:val="00F82D30"/>
    <w:rsid w:val="00FB0217"/>
    <w:rsid w:val="00FC2B8C"/>
    <w:rsid w:val="00FD38A9"/>
    <w:rsid w:val="00FE0434"/>
    <w:rsid w:val="00FE3028"/>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155</TotalTime>
  <Pages>7</Pages>
  <Words>1572</Words>
  <Characters>8962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Отюбрин Рома</cp:lastModifiedBy>
  <cp:revision>6</cp:revision>
  <cp:lastPrinted>2016-08-31T12:08:00Z</cp:lastPrinted>
  <dcterms:created xsi:type="dcterms:W3CDTF">2024-04-04T07:41:00Z</dcterms:created>
  <dcterms:modified xsi:type="dcterms:W3CDTF">2024-04-04T10:28:00Z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