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stheme="minorBidi"/>
          <w:szCs w:val="22"/>
          <w:lang w:eastAsia="en-US"/>
        </w:rPr>
        <w:id w:val="454766136"/>
        <w:docPartObj>
          <w:docPartGallery w:val="Table of Contents"/>
          <w:docPartUnique/>
        </w:docPartObj>
      </w:sdtPr>
      <w:sdtEndPr>
        <w:rPr>
          <w:rFonts w:eastAsia="Times New Roman" w:cs="Times New Roman"/>
          <w:b/>
          <w:bCs/>
          <w:caps w:val="0"/>
          <w:szCs w:val="24"/>
          <w:lang w:eastAsia="ru-RU"/>
        </w:rPr>
      </w:sdtEndPr>
      <w:sdtContent>
        <w:p w:rsidR="00CA4D2C" w:rsidRPr="008901FA" w:rsidRDefault="00CA4D2C" w:rsidP="00E177E6">
          <w:pPr>
            <w:pStyle w:val="af4"/>
            <w:ind w:firstLine="4253"/>
            <w:jc w:val="both"/>
            <w:rPr>
              <w:szCs w:val="24"/>
              <w:lang w:val="en-US"/>
            </w:rPr>
          </w:pPr>
          <w:r w:rsidRPr="00CA4D2C">
            <w:rPr>
              <w:rStyle w:val="12"/>
            </w:rPr>
            <w:t>CATALOG</w:t>
          </w:r>
        </w:p>
        <w:p w:rsidR="00CA4D2C" w:rsidRDefault="00CA4D2C">
          <w:pPr>
            <w:pStyle w:val="11"/>
            <w:rPr>
              <w:rFonts w:asciiTheme="minorHAnsi" w:eastAsiaTheme="minorEastAsia" w:hAnsiTheme="minorHAnsi" w:cstheme="minorBidi"/>
              <w:sz w:val="22"/>
              <w:szCs w:val="22"/>
            </w:rPr>
          </w:pPr>
          <w:r w:rsidRPr="005D00C9">
            <w:fldChar w:fldCharType="begin"/>
          </w:r>
          <w:r>
            <w:instrText xml:space="preserve"> TOC \o "1-3" \h \z \u </w:instrText>
          </w:r>
          <w:r w:rsidRPr="005D00C9">
            <w:fldChar w:fldCharType="separate"/>
          </w:r>
          <w:hyperlink w:anchor="_Toc163718135" w:history="1">
            <w:r w:rsidRPr="00326992">
              <w:rPr>
                <w:rStyle w:val="aff"/>
              </w:rPr>
              <w:t>1</w:t>
            </w:r>
            <w:r>
              <w:rPr>
                <w:rFonts w:asciiTheme="minorHAnsi" w:eastAsiaTheme="minorEastAsia" w:hAnsiTheme="minorHAnsi" w:cstheme="minorBidi"/>
                <w:sz w:val="22"/>
                <w:szCs w:val="22"/>
              </w:rPr>
              <w:tab/>
            </w:r>
            <w:r w:rsidRPr="00326992">
              <w:rPr>
                <w:rStyle w:val="aff"/>
              </w:rPr>
              <w:t>Introduction</w:t>
            </w:r>
            <w:r>
              <w:rPr>
                <w:webHidden/>
              </w:rPr>
              <w:tab/>
            </w:r>
            <w:r>
              <w:rPr>
                <w:webHidden/>
              </w:rPr>
              <w:fldChar w:fldCharType="begin"/>
            </w:r>
            <w:r>
              <w:rPr>
                <w:webHidden/>
              </w:rPr>
              <w:instrText xml:space="preserve"> PAGEREF _Toc163718135 \h </w:instrText>
            </w:r>
            <w:r>
              <w:rPr>
                <w:webHidden/>
              </w:rPr>
            </w:r>
            <w:r>
              <w:rPr>
                <w:webHidden/>
              </w:rPr>
              <w:fldChar w:fldCharType="separate"/>
            </w:r>
            <w:r>
              <w:rPr>
                <w:webHidden/>
              </w:rPr>
              <w:t>2</w:t>
            </w:r>
            <w:r>
              <w:rPr>
                <w:webHidden/>
              </w:rPr>
              <w:fldChar w:fldCharType="end"/>
            </w:r>
          </w:hyperlink>
        </w:p>
        <w:p w:rsidR="00CA4D2C" w:rsidRDefault="00CA4D2C">
          <w:pPr>
            <w:pStyle w:val="21"/>
            <w:rPr>
              <w:rFonts w:asciiTheme="minorHAnsi" w:eastAsiaTheme="minorEastAsia" w:hAnsiTheme="minorHAnsi" w:cstheme="minorBidi"/>
              <w:sz w:val="22"/>
              <w:szCs w:val="22"/>
            </w:rPr>
          </w:pPr>
          <w:hyperlink w:anchor="_Toc163718136" w:history="1">
            <w:r w:rsidRPr="00326992">
              <w:rPr>
                <w:rStyle w:val="aff"/>
              </w:rPr>
              <w:t>1.1</w:t>
            </w:r>
            <w:r>
              <w:rPr>
                <w:rFonts w:asciiTheme="minorHAnsi" w:eastAsiaTheme="minorEastAsia" w:hAnsiTheme="minorHAnsi" w:cstheme="minorBidi"/>
                <w:sz w:val="22"/>
                <w:szCs w:val="22"/>
              </w:rPr>
              <w:tab/>
            </w:r>
            <w:r w:rsidRPr="00326992">
              <w:rPr>
                <w:rStyle w:val="aff"/>
              </w:rPr>
              <w:t>General evolution</w:t>
            </w:r>
            <w:r>
              <w:rPr>
                <w:webHidden/>
              </w:rPr>
              <w:tab/>
            </w:r>
            <w:r>
              <w:rPr>
                <w:webHidden/>
              </w:rPr>
              <w:fldChar w:fldCharType="begin"/>
            </w:r>
            <w:r>
              <w:rPr>
                <w:webHidden/>
              </w:rPr>
              <w:instrText xml:space="preserve"> PAGEREF _Toc163718136 \h </w:instrText>
            </w:r>
            <w:r>
              <w:rPr>
                <w:webHidden/>
              </w:rPr>
            </w:r>
            <w:r>
              <w:rPr>
                <w:webHidden/>
              </w:rPr>
              <w:fldChar w:fldCharType="separate"/>
            </w:r>
            <w:r>
              <w:rPr>
                <w:webHidden/>
              </w:rPr>
              <w:t>2</w:t>
            </w:r>
            <w:r>
              <w:rPr>
                <w:webHidden/>
              </w:rPr>
              <w:fldChar w:fldCharType="end"/>
            </w:r>
          </w:hyperlink>
        </w:p>
        <w:p w:rsidR="00CA4D2C" w:rsidRDefault="00CA4D2C">
          <w:pPr>
            <w:pStyle w:val="21"/>
            <w:rPr>
              <w:rFonts w:asciiTheme="minorHAnsi" w:eastAsiaTheme="minorEastAsia" w:hAnsiTheme="minorHAnsi" w:cstheme="minorBidi"/>
              <w:sz w:val="22"/>
              <w:szCs w:val="22"/>
            </w:rPr>
          </w:pPr>
          <w:hyperlink w:anchor="_Toc163718137" w:history="1">
            <w:r w:rsidRPr="00326992">
              <w:rPr>
                <w:rStyle w:val="aff"/>
              </w:rPr>
              <w:t>1.2</w:t>
            </w:r>
            <w:r>
              <w:rPr>
                <w:rFonts w:asciiTheme="minorHAnsi" w:eastAsiaTheme="minorEastAsia" w:hAnsiTheme="minorHAnsi" w:cstheme="minorBidi"/>
                <w:sz w:val="22"/>
                <w:szCs w:val="22"/>
              </w:rPr>
              <w:tab/>
            </w:r>
            <w:r w:rsidRPr="00326992">
              <w:rPr>
                <w:rStyle w:val="aff"/>
              </w:rPr>
              <w:t>Literature evolution</w:t>
            </w:r>
            <w:r>
              <w:rPr>
                <w:webHidden/>
              </w:rPr>
              <w:tab/>
            </w:r>
            <w:r>
              <w:rPr>
                <w:webHidden/>
              </w:rPr>
              <w:fldChar w:fldCharType="begin"/>
            </w:r>
            <w:r>
              <w:rPr>
                <w:webHidden/>
              </w:rPr>
              <w:instrText xml:space="preserve"> PAGEREF _Toc163718137 \h </w:instrText>
            </w:r>
            <w:r>
              <w:rPr>
                <w:webHidden/>
              </w:rPr>
            </w:r>
            <w:r>
              <w:rPr>
                <w:webHidden/>
              </w:rPr>
              <w:fldChar w:fldCharType="separate"/>
            </w:r>
            <w:r>
              <w:rPr>
                <w:webHidden/>
              </w:rPr>
              <w:t>3</w:t>
            </w:r>
            <w:r>
              <w:rPr>
                <w:webHidden/>
              </w:rPr>
              <w:fldChar w:fldCharType="end"/>
            </w:r>
          </w:hyperlink>
        </w:p>
        <w:p w:rsidR="00CA4D2C" w:rsidRDefault="00CA4D2C">
          <w:pPr>
            <w:pStyle w:val="21"/>
            <w:rPr>
              <w:rFonts w:asciiTheme="minorHAnsi" w:eastAsiaTheme="minorEastAsia" w:hAnsiTheme="minorHAnsi" w:cstheme="minorBidi"/>
              <w:sz w:val="22"/>
              <w:szCs w:val="22"/>
            </w:rPr>
          </w:pPr>
          <w:hyperlink w:anchor="_Toc163718138" w:history="1">
            <w:r w:rsidRPr="00326992">
              <w:rPr>
                <w:rStyle w:val="aff"/>
              </w:rPr>
              <w:t>1.3</w:t>
            </w:r>
            <w:r>
              <w:rPr>
                <w:rFonts w:asciiTheme="minorHAnsi" w:eastAsiaTheme="minorEastAsia" w:hAnsiTheme="minorHAnsi" w:cstheme="minorBidi"/>
                <w:sz w:val="22"/>
                <w:szCs w:val="22"/>
              </w:rPr>
              <w:tab/>
            </w:r>
            <w:r w:rsidRPr="00326992">
              <w:rPr>
                <w:rStyle w:val="aff"/>
              </w:rPr>
              <w:t>Organization of the article</w:t>
            </w:r>
            <w:r>
              <w:rPr>
                <w:webHidden/>
              </w:rPr>
              <w:tab/>
            </w:r>
            <w:r>
              <w:rPr>
                <w:webHidden/>
              </w:rPr>
              <w:fldChar w:fldCharType="begin"/>
            </w:r>
            <w:r>
              <w:rPr>
                <w:webHidden/>
              </w:rPr>
              <w:instrText xml:space="preserve"> PAGEREF _Toc163718138 \h </w:instrText>
            </w:r>
            <w:r>
              <w:rPr>
                <w:webHidden/>
              </w:rPr>
            </w:r>
            <w:r>
              <w:rPr>
                <w:webHidden/>
              </w:rPr>
              <w:fldChar w:fldCharType="separate"/>
            </w:r>
            <w:r>
              <w:rPr>
                <w:webHidden/>
              </w:rPr>
              <w:t>6</w:t>
            </w:r>
            <w:r>
              <w:rPr>
                <w:webHidden/>
              </w:rPr>
              <w:fldChar w:fldCharType="end"/>
            </w:r>
          </w:hyperlink>
        </w:p>
        <w:p w:rsidR="00CA4D2C" w:rsidRDefault="00CA4D2C" w:rsidP="00CA4D2C">
          <w:r>
            <w:rPr>
              <w:b/>
              <w:bCs/>
            </w:rPr>
            <w:fldChar w:fldCharType="end"/>
          </w:r>
        </w:p>
      </w:sdtContent>
    </w:sdt>
    <w:p w:rsidR="00CA4D2C" w:rsidRDefault="00CA4D2C" w:rsidP="00CA4D2C">
      <w:pPr>
        <w:rPr>
          <w:lang w:val="en-US"/>
        </w:rPr>
      </w:pPr>
      <w:r>
        <w:rPr>
          <w:lang w:val="en-US"/>
        </w:rPr>
        <w:br w:type="page"/>
      </w:r>
    </w:p>
    <w:p w:rsidR="00CA4D2C" w:rsidRPr="00E177E6" w:rsidRDefault="00CA4D2C" w:rsidP="00E177E6">
      <w:pPr>
        <w:pStyle w:val="1"/>
      </w:pPr>
      <w:bookmarkStart w:id="0" w:name="_Toc163718135"/>
      <w:proofErr w:type="spellStart"/>
      <w:r w:rsidRPr="00E177E6">
        <w:lastRenderedPageBreak/>
        <w:t>Introduction</w:t>
      </w:r>
      <w:bookmarkEnd w:id="0"/>
      <w:proofErr w:type="spellEnd"/>
    </w:p>
    <w:p w:rsidR="00CA4D2C" w:rsidRPr="00E177E6" w:rsidRDefault="00CA4D2C" w:rsidP="00E177E6">
      <w:pPr>
        <w:pStyle w:val="2"/>
      </w:pPr>
      <w:r w:rsidRPr="00E177E6">
        <w:t xml:space="preserve"> </w:t>
      </w:r>
      <w:bookmarkStart w:id="1" w:name="_Toc163718136"/>
      <w:proofErr w:type="spellStart"/>
      <w:r w:rsidRPr="00E177E6">
        <w:t>General</w:t>
      </w:r>
      <w:proofErr w:type="spellEnd"/>
      <w:r w:rsidRPr="00E177E6">
        <w:t xml:space="preserve"> </w:t>
      </w:r>
      <w:proofErr w:type="spellStart"/>
      <w:r w:rsidRPr="00E177E6">
        <w:t>evolution</w:t>
      </w:r>
      <w:bookmarkEnd w:id="1"/>
      <w:proofErr w:type="spellEnd"/>
    </w:p>
    <w:p w:rsidR="00CA4D2C" w:rsidRDefault="00CA4D2C" w:rsidP="00E177E6">
      <w:pPr>
        <w:rPr>
          <w:lang w:val="en-US"/>
        </w:rPr>
      </w:pPr>
      <w:r w:rsidRPr="00352B47">
        <w:rPr>
          <w:lang w:val="en-US"/>
        </w:rPr>
        <w:t xml:space="preserve">We live in the information century, and Internet is one of its main drivers. This constitutes grounds for the following minor exercise. In September 2013, more than six million entries were found in Google when searching for the words ‘‘Unmanned Aerial Vehicles,’’ and almost twelve million when searching for its acronym, UAV. Using Google Trends, one sees that Internet usage of the word UAV in 2013 has </w:t>
      </w:r>
      <w:proofErr w:type="gramStart"/>
      <w:r w:rsidRPr="00352B47">
        <w:rPr>
          <w:lang w:val="en-US"/>
        </w:rPr>
        <w:t>diminished</w:t>
      </w:r>
      <w:r w:rsidR="009E2A80">
        <w:rPr>
          <w:lang w:val="en-US"/>
        </w:rPr>
        <w:t xml:space="preserve"> </w:t>
      </w:r>
      <w:r w:rsidRPr="00352B47">
        <w:rPr>
          <w:lang w:val="en-US"/>
        </w:rPr>
        <w:t xml:space="preserve"> to</w:t>
      </w:r>
      <w:proofErr w:type="gramEnd"/>
      <w:r w:rsidRPr="00352B47">
        <w:rPr>
          <w:lang w:val="en-US"/>
        </w:rPr>
        <w:t xml:space="preserve"> almost half of the amount registered in 2005. Yet, this might be partially explained by the new, popular term ‘‘drone.’’ As a matter of fact, there has been a clear rise in the use of this word since </w:t>
      </w:r>
      <w:proofErr w:type="gramStart"/>
      <w:r w:rsidRPr="00352B47">
        <w:rPr>
          <w:lang w:val="en-US"/>
        </w:rPr>
        <w:t>2009,</w:t>
      </w:r>
      <w:proofErr w:type="gramEnd"/>
      <w:r w:rsidRPr="00352B47">
        <w:rPr>
          <w:lang w:val="en-US"/>
        </w:rPr>
        <w:t xml:space="preserve"> reaching around ten times its 2005 level in 2013 (the maximum peak was achieved in </w:t>
      </w:r>
      <w:fldSimple w:instr=" REF _Ref163718839 \h  \* MERGEFORMAT ">
        <w:r w:rsidR="009E2A80">
          <w:rPr>
            <w:noProof/>
            <w:lang w:val="en-US"/>
          </w:rPr>
          <w:t>Figure</w:t>
        </w:r>
        <w:r w:rsidR="009E2A80" w:rsidRPr="009E2A80">
          <w:rPr>
            <w:noProof/>
            <w:lang w:val="en-US"/>
          </w:rPr>
          <w:t xml:space="preserve"> 1</w:t>
        </w:r>
      </w:fldSimple>
      <w:r w:rsidR="009E2A80">
        <w:rPr>
          <w:lang w:val="en-US"/>
        </w:rPr>
        <w:t xml:space="preserve"> </w:t>
      </w:r>
      <w:r w:rsidRPr="00352B47">
        <w:rPr>
          <w:lang w:val="en-US"/>
        </w:rPr>
        <w:t>December 2011, when the US government asked Iran to return a lost drone). This analysis is a simple, non-quantitative, yet fairly illustrative approximation to measuring the impact of UAS in current times.</w:t>
      </w:r>
    </w:p>
    <w:p w:rsidR="00CA4D2C" w:rsidRDefault="00CA4D2C" w:rsidP="009E2A80">
      <w:pPr>
        <w:pStyle w:val="af0"/>
        <w:rPr>
          <w:noProof/>
          <w:lang w:val="en-US"/>
        </w:rPr>
      </w:pPr>
      <w:r w:rsidRPr="006B3F7B">
        <w:rPr>
          <w:noProof/>
        </w:rPr>
        <w:drawing>
          <wp:inline distT="0" distB="0" distL="0" distR="0">
            <wp:extent cx="3439005" cy="3315163"/>
            <wp:effectExtent l="0" t="0" r="9525" b="0"/>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439005" cy="3315163"/>
                    </a:xfrm>
                    <a:prstGeom prst="rect">
                      <a:avLst/>
                    </a:prstGeom>
                  </pic:spPr>
                </pic:pic>
              </a:graphicData>
            </a:graphic>
          </wp:inline>
        </w:drawing>
      </w:r>
      <w:bookmarkStart w:id="2" w:name="_Ref98170820"/>
      <w:r w:rsidRPr="007A018E">
        <w:rPr>
          <w:noProof/>
          <w:lang w:val="en-US"/>
        </w:rPr>
        <w:t xml:space="preserve"> </w:t>
      </w:r>
    </w:p>
    <w:p w:rsidR="009E2A80" w:rsidRPr="00E177E6" w:rsidRDefault="009E2A80" w:rsidP="00E177E6">
      <w:pPr>
        <w:pStyle w:val="-0"/>
        <w:rPr>
          <w:noProof/>
        </w:rPr>
      </w:pPr>
      <w:bookmarkStart w:id="3" w:name="_Ref163718839"/>
      <w:r>
        <w:rPr>
          <w:noProof/>
          <w:lang w:val="en-US"/>
        </w:rPr>
        <w:t>Figure</w:t>
      </w:r>
      <w:r>
        <w:rPr>
          <w:noProof/>
        </w:rPr>
        <w:t xml:space="preserve"> </w:t>
      </w:r>
      <w:r>
        <w:rPr>
          <w:noProof/>
        </w:rPr>
        <w:fldChar w:fldCharType="begin"/>
      </w:r>
      <w:r>
        <w:rPr>
          <w:noProof/>
        </w:rPr>
        <w:instrText xml:space="preserve"> SEQ Рисунок \* ARABIC </w:instrText>
      </w:r>
      <w:r>
        <w:rPr>
          <w:noProof/>
        </w:rPr>
        <w:fldChar w:fldCharType="separate"/>
      </w:r>
      <w:r>
        <w:rPr>
          <w:noProof/>
        </w:rPr>
        <w:t>1</w:t>
      </w:r>
      <w:r>
        <w:rPr>
          <w:noProof/>
        </w:rPr>
        <w:fldChar w:fldCharType="end"/>
      </w:r>
      <w:bookmarkEnd w:id="3"/>
      <w:r w:rsidRPr="00BF3639">
        <w:rPr>
          <w:noProof/>
        </w:rPr>
        <w:t> – </w:t>
      </w:r>
      <w:r w:rsidRPr="00CA4D2C">
        <w:rPr>
          <w:lang w:val="en-US"/>
        </w:rPr>
        <w:t>The adopted pipeline</w:t>
      </w:r>
    </w:p>
    <w:bookmarkEnd w:id="2"/>
    <w:p w:rsidR="00CA4D2C" w:rsidRDefault="00CA4D2C" w:rsidP="00CA4D2C">
      <w:pPr>
        <w:rPr>
          <w:lang w:val="en-US"/>
        </w:rPr>
      </w:pPr>
      <w:r w:rsidRPr="00352B47">
        <w:rPr>
          <w:lang w:val="en-US"/>
        </w:rPr>
        <w:t xml:space="preserve">In the attempt to quantify the evolution of UAS development and its penetration into current professional markets, it may be useful to analyze the number of inventoried UAS as a direct indicator of how their importance has grown. </w:t>
      </w:r>
      <w:r w:rsidR="009E2A80">
        <w:rPr>
          <w:lang w:val="en-US"/>
        </w:rPr>
        <w:fldChar w:fldCharType="begin"/>
      </w:r>
      <w:r w:rsidR="009E2A80">
        <w:rPr>
          <w:lang w:val="en-US"/>
        </w:rPr>
        <w:instrText xml:space="preserve"> REF _Ref162511858 \h </w:instrText>
      </w:r>
      <w:r w:rsidR="009E2A80">
        <w:rPr>
          <w:lang w:val="en-US"/>
        </w:rPr>
      </w:r>
      <w:r w:rsidR="009E2A80">
        <w:rPr>
          <w:lang w:val="en-US"/>
        </w:rPr>
        <w:fldChar w:fldCharType="separate"/>
      </w:r>
      <w:r w:rsidR="009E2A80" w:rsidRPr="00EE10C8">
        <w:rPr>
          <w:lang w:val="en-US"/>
        </w:rPr>
        <w:t>Table 1</w:t>
      </w:r>
      <w:r w:rsidR="009E2A80">
        <w:rPr>
          <w:lang w:val="en-US"/>
        </w:rPr>
        <w:fldChar w:fldCharType="end"/>
      </w:r>
      <w:r w:rsidR="009E2A80">
        <w:rPr>
          <w:lang w:val="en-US"/>
        </w:rPr>
        <w:t xml:space="preserve"> </w:t>
      </w:r>
      <w:r w:rsidRPr="00352B47">
        <w:rPr>
          <w:lang w:val="en-US"/>
        </w:rPr>
        <w:t xml:space="preserve">details the number of UAS systems referenced in the 2013 annual inventory of UVS International (van </w:t>
      </w:r>
      <w:proofErr w:type="spellStart"/>
      <w:r w:rsidRPr="00352B47">
        <w:rPr>
          <w:lang w:val="en-US"/>
        </w:rPr>
        <w:t>Blyenburgh</w:t>
      </w:r>
      <w:proofErr w:type="spellEnd"/>
      <w:r w:rsidRPr="00352B47">
        <w:rPr>
          <w:lang w:val="en-US"/>
        </w:rPr>
        <w:t xml:space="preserve">, 2013). This table is an extension of the review work presented in </w:t>
      </w:r>
      <w:proofErr w:type="spellStart"/>
      <w:r w:rsidRPr="00352B47">
        <w:rPr>
          <w:lang w:val="en-US"/>
        </w:rPr>
        <w:t>Everaerts</w:t>
      </w:r>
      <w:proofErr w:type="spellEnd"/>
      <w:r w:rsidRPr="00352B47">
        <w:rPr>
          <w:lang w:val="en-US"/>
        </w:rPr>
        <w:t xml:space="preserve"> (2009). UVS International represents manufacturers of Unmanned Vehicle Systems (UVS), subsystems and critical components for UVS and associated equipment, as well as companies supplying services with or for UVS, </w:t>
      </w:r>
      <w:r w:rsidRPr="00352B47">
        <w:rPr>
          <w:lang w:val="en-US"/>
        </w:rPr>
        <w:lastRenderedPageBreak/>
        <w:t xml:space="preserve">research organizations and academia. The annual reports are reference materials on UAS inventories, and will be further mentioned in our contribution. </w:t>
      </w:r>
    </w:p>
    <w:p w:rsidR="00CA4D2C" w:rsidRDefault="00CA4D2C" w:rsidP="00E177E6">
      <w:pPr>
        <w:pStyle w:val="-"/>
        <w:rPr>
          <w:lang w:val="en-US"/>
        </w:rPr>
      </w:pPr>
      <w:bookmarkStart w:id="4" w:name="_Ref162511858"/>
      <w:r w:rsidRPr="00EE10C8">
        <w:rPr>
          <w:lang w:val="en-US"/>
        </w:rPr>
        <w:t xml:space="preserve">Table </w:t>
      </w:r>
      <w:r w:rsidRPr="00EE10C8">
        <w:fldChar w:fldCharType="begin"/>
      </w:r>
      <w:r w:rsidRPr="00EE10C8">
        <w:rPr>
          <w:lang w:val="en-US"/>
        </w:rPr>
        <w:instrText xml:space="preserve"> SEQ </w:instrText>
      </w:r>
      <w:r w:rsidRPr="00EE10C8">
        <w:instrText>Таблица</w:instrText>
      </w:r>
      <w:r w:rsidRPr="00EE10C8">
        <w:rPr>
          <w:lang w:val="en-US"/>
        </w:rPr>
        <w:instrText xml:space="preserve"> \* ARABIC </w:instrText>
      </w:r>
      <w:r w:rsidRPr="00EE10C8">
        <w:fldChar w:fldCharType="separate"/>
      </w:r>
      <w:r w:rsidRPr="00EE10C8">
        <w:rPr>
          <w:lang w:val="en-US"/>
        </w:rPr>
        <w:t>1</w:t>
      </w:r>
      <w:r w:rsidRPr="00EE10C8">
        <w:fldChar w:fldCharType="end"/>
      </w:r>
      <w:bookmarkEnd w:id="4"/>
      <w:r w:rsidRPr="00EE10C8">
        <w:rPr>
          <w:lang w:val="en-US"/>
        </w:rPr>
        <w:t xml:space="preserve"> – Number of referenced UAS, developmental initiatives and purpose, period 2005–2013</w:t>
      </w:r>
    </w:p>
    <w:tbl>
      <w:tblPr>
        <w:tblStyle w:val="af5"/>
        <w:tblW w:w="0" w:type="auto"/>
        <w:tblLook w:val="04A0"/>
      </w:tblPr>
      <w:tblGrid>
        <w:gridCol w:w="2283"/>
        <w:gridCol w:w="910"/>
        <w:gridCol w:w="911"/>
        <w:gridCol w:w="911"/>
        <w:gridCol w:w="911"/>
        <w:gridCol w:w="911"/>
        <w:gridCol w:w="911"/>
        <w:gridCol w:w="911"/>
        <w:gridCol w:w="911"/>
      </w:tblGrid>
      <w:tr w:rsidR="00E177E6" w:rsidRPr="00E177E6" w:rsidTr="00E177E6">
        <w:tc>
          <w:tcPr>
            <w:tcW w:w="1063" w:type="dxa"/>
          </w:tcPr>
          <w:p w:rsidR="00E177E6" w:rsidRPr="00E177E6" w:rsidRDefault="00E177E6" w:rsidP="00E177E6">
            <w:pPr>
              <w:pStyle w:val="-1"/>
              <w:rPr>
                <w:lang w:val="en-US"/>
              </w:rPr>
            </w:pPr>
            <w:r w:rsidRPr="00E177E6">
              <w:rPr>
                <w:lang w:val="en-US"/>
              </w:rPr>
              <w:t>Item</w:t>
            </w:r>
          </w:p>
        </w:tc>
        <w:tc>
          <w:tcPr>
            <w:tcW w:w="1063" w:type="dxa"/>
          </w:tcPr>
          <w:p w:rsidR="00E177E6" w:rsidRPr="00E177E6" w:rsidRDefault="00E177E6" w:rsidP="00E177E6">
            <w:pPr>
              <w:pStyle w:val="-1"/>
              <w:rPr>
                <w:lang w:val="en-US"/>
              </w:rPr>
            </w:pPr>
            <w:r w:rsidRPr="00E177E6">
              <w:rPr>
                <w:lang w:val="en-US"/>
              </w:rPr>
              <w:t>2005</w:t>
            </w:r>
          </w:p>
        </w:tc>
        <w:tc>
          <w:tcPr>
            <w:tcW w:w="1063" w:type="dxa"/>
          </w:tcPr>
          <w:p w:rsidR="00E177E6" w:rsidRPr="00E177E6" w:rsidRDefault="00E177E6" w:rsidP="00E177E6">
            <w:pPr>
              <w:pStyle w:val="-1"/>
              <w:rPr>
                <w:lang w:val="en-US"/>
              </w:rPr>
            </w:pPr>
            <w:r w:rsidRPr="00E177E6">
              <w:rPr>
                <w:lang w:val="en-US"/>
              </w:rPr>
              <w:t>2006</w:t>
            </w:r>
          </w:p>
        </w:tc>
        <w:tc>
          <w:tcPr>
            <w:tcW w:w="1063" w:type="dxa"/>
          </w:tcPr>
          <w:p w:rsidR="00E177E6" w:rsidRPr="00E177E6" w:rsidRDefault="00E177E6" w:rsidP="00E177E6">
            <w:pPr>
              <w:pStyle w:val="-1"/>
              <w:rPr>
                <w:lang w:val="en-US"/>
              </w:rPr>
            </w:pPr>
            <w:r w:rsidRPr="00E177E6">
              <w:rPr>
                <w:lang w:val="en-US"/>
              </w:rPr>
              <w:t>2007</w:t>
            </w:r>
          </w:p>
        </w:tc>
        <w:tc>
          <w:tcPr>
            <w:tcW w:w="1063" w:type="dxa"/>
          </w:tcPr>
          <w:p w:rsidR="00E177E6" w:rsidRPr="00E177E6" w:rsidRDefault="00E177E6" w:rsidP="00E177E6">
            <w:pPr>
              <w:pStyle w:val="-1"/>
              <w:rPr>
                <w:lang w:val="en-US"/>
              </w:rPr>
            </w:pPr>
            <w:r w:rsidRPr="00E177E6">
              <w:rPr>
                <w:lang w:val="en-US"/>
              </w:rPr>
              <w:t>2008</w:t>
            </w:r>
          </w:p>
        </w:tc>
        <w:tc>
          <w:tcPr>
            <w:tcW w:w="1063" w:type="dxa"/>
          </w:tcPr>
          <w:p w:rsidR="00E177E6" w:rsidRPr="00E177E6" w:rsidRDefault="00E177E6" w:rsidP="00E177E6">
            <w:pPr>
              <w:pStyle w:val="-1"/>
              <w:rPr>
                <w:lang w:val="en-US"/>
              </w:rPr>
            </w:pPr>
            <w:r w:rsidRPr="00E177E6">
              <w:rPr>
                <w:lang w:val="en-US"/>
              </w:rPr>
              <w:t>2009</w:t>
            </w:r>
          </w:p>
        </w:tc>
        <w:tc>
          <w:tcPr>
            <w:tcW w:w="1064" w:type="dxa"/>
          </w:tcPr>
          <w:p w:rsidR="00E177E6" w:rsidRPr="00E177E6" w:rsidRDefault="00E177E6" w:rsidP="00E177E6">
            <w:pPr>
              <w:pStyle w:val="-1"/>
              <w:rPr>
                <w:lang w:val="en-US"/>
              </w:rPr>
            </w:pPr>
            <w:r w:rsidRPr="00E177E6">
              <w:rPr>
                <w:lang w:val="en-US"/>
              </w:rPr>
              <w:t>2010</w:t>
            </w:r>
          </w:p>
        </w:tc>
        <w:tc>
          <w:tcPr>
            <w:tcW w:w="1064" w:type="dxa"/>
          </w:tcPr>
          <w:p w:rsidR="00E177E6" w:rsidRPr="00E177E6" w:rsidRDefault="00E177E6" w:rsidP="00E177E6">
            <w:pPr>
              <w:pStyle w:val="-1"/>
              <w:rPr>
                <w:lang w:val="en-US"/>
              </w:rPr>
            </w:pPr>
            <w:r w:rsidRPr="00E177E6">
              <w:rPr>
                <w:lang w:val="en-US"/>
              </w:rPr>
              <w:t>2011</w:t>
            </w:r>
          </w:p>
        </w:tc>
        <w:tc>
          <w:tcPr>
            <w:tcW w:w="1064" w:type="dxa"/>
          </w:tcPr>
          <w:p w:rsidR="00E177E6" w:rsidRPr="00E177E6" w:rsidRDefault="00E177E6" w:rsidP="00E177E6">
            <w:pPr>
              <w:pStyle w:val="-1"/>
              <w:rPr>
                <w:lang w:val="en-US"/>
              </w:rPr>
            </w:pPr>
            <w:r w:rsidRPr="00E177E6">
              <w:rPr>
                <w:lang w:val="en-US"/>
              </w:rPr>
              <w:t>2012</w:t>
            </w:r>
          </w:p>
        </w:tc>
      </w:tr>
      <w:tr w:rsidR="00E177E6" w:rsidRPr="00E177E6" w:rsidTr="00E177E6">
        <w:tc>
          <w:tcPr>
            <w:tcW w:w="1063" w:type="dxa"/>
          </w:tcPr>
          <w:p w:rsidR="00E177E6" w:rsidRPr="00E177E6" w:rsidRDefault="00E177E6" w:rsidP="00E177E6">
            <w:pPr>
              <w:pStyle w:val="-1"/>
              <w:rPr>
                <w:lang w:val="en-US"/>
              </w:rPr>
            </w:pPr>
            <w:r w:rsidRPr="00E177E6">
              <w:rPr>
                <w:lang w:val="en-US"/>
              </w:rPr>
              <w:t>Referenced UAS</w:t>
            </w:r>
          </w:p>
        </w:tc>
        <w:tc>
          <w:tcPr>
            <w:tcW w:w="1063" w:type="dxa"/>
          </w:tcPr>
          <w:p w:rsidR="00E177E6" w:rsidRPr="00E177E6" w:rsidRDefault="00E177E6" w:rsidP="00E177E6">
            <w:pPr>
              <w:pStyle w:val="-1"/>
              <w:rPr>
                <w:lang w:val="en-US"/>
              </w:rPr>
            </w:pPr>
            <w:r w:rsidRPr="00E177E6">
              <w:rPr>
                <w:lang w:val="en-US"/>
              </w:rPr>
              <w:t>544</w:t>
            </w:r>
          </w:p>
        </w:tc>
        <w:tc>
          <w:tcPr>
            <w:tcW w:w="1063" w:type="dxa"/>
          </w:tcPr>
          <w:p w:rsidR="00E177E6" w:rsidRPr="00E177E6" w:rsidRDefault="00E177E6" w:rsidP="00E177E6">
            <w:pPr>
              <w:pStyle w:val="-1"/>
              <w:rPr>
                <w:lang w:val="en-US"/>
              </w:rPr>
            </w:pPr>
            <w:r w:rsidRPr="00E177E6">
              <w:rPr>
                <w:lang w:val="en-US"/>
              </w:rPr>
              <w:t>603</w:t>
            </w:r>
          </w:p>
        </w:tc>
        <w:tc>
          <w:tcPr>
            <w:tcW w:w="1063" w:type="dxa"/>
          </w:tcPr>
          <w:p w:rsidR="00E177E6" w:rsidRPr="00E177E6" w:rsidRDefault="00E177E6" w:rsidP="00E177E6">
            <w:pPr>
              <w:pStyle w:val="-1"/>
              <w:rPr>
                <w:lang w:val="en-US"/>
              </w:rPr>
            </w:pPr>
            <w:r w:rsidRPr="00E177E6">
              <w:rPr>
                <w:lang w:val="en-US"/>
              </w:rPr>
              <w:t>789</w:t>
            </w:r>
          </w:p>
        </w:tc>
        <w:tc>
          <w:tcPr>
            <w:tcW w:w="1063" w:type="dxa"/>
          </w:tcPr>
          <w:p w:rsidR="00E177E6" w:rsidRPr="00E177E6" w:rsidRDefault="00E177E6" w:rsidP="00E177E6">
            <w:pPr>
              <w:pStyle w:val="-1"/>
              <w:rPr>
                <w:lang w:val="en-US"/>
              </w:rPr>
            </w:pPr>
            <w:r w:rsidRPr="00E177E6">
              <w:rPr>
                <w:lang w:val="en-US"/>
              </w:rPr>
              <w:t>974</w:t>
            </w:r>
          </w:p>
        </w:tc>
        <w:tc>
          <w:tcPr>
            <w:tcW w:w="1063" w:type="dxa"/>
          </w:tcPr>
          <w:p w:rsidR="00E177E6" w:rsidRPr="00E177E6" w:rsidRDefault="00E177E6" w:rsidP="00E177E6">
            <w:pPr>
              <w:pStyle w:val="-1"/>
              <w:rPr>
                <w:lang w:val="en-US"/>
              </w:rPr>
            </w:pPr>
            <w:r w:rsidRPr="00E177E6">
              <w:rPr>
                <w:lang w:val="en-US"/>
              </w:rPr>
              <w:t>1190</w:t>
            </w:r>
          </w:p>
        </w:tc>
        <w:tc>
          <w:tcPr>
            <w:tcW w:w="1064" w:type="dxa"/>
          </w:tcPr>
          <w:p w:rsidR="00E177E6" w:rsidRPr="00E177E6" w:rsidRDefault="00E177E6" w:rsidP="00E177E6">
            <w:pPr>
              <w:pStyle w:val="-1"/>
              <w:rPr>
                <w:lang w:val="en-US"/>
              </w:rPr>
            </w:pPr>
            <w:r w:rsidRPr="00E177E6">
              <w:rPr>
                <w:lang w:val="en-US"/>
              </w:rPr>
              <w:t>1244</w:t>
            </w:r>
          </w:p>
        </w:tc>
        <w:tc>
          <w:tcPr>
            <w:tcW w:w="1064" w:type="dxa"/>
          </w:tcPr>
          <w:p w:rsidR="00E177E6" w:rsidRPr="00E177E6" w:rsidRDefault="00E177E6" w:rsidP="00E177E6">
            <w:pPr>
              <w:pStyle w:val="-1"/>
              <w:rPr>
                <w:lang w:val="en-US"/>
              </w:rPr>
            </w:pPr>
            <w:r w:rsidRPr="00E177E6">
              <w:rPr>
                <w:lang w:val="en-US"/>
              </w:rPr>
              <w:t>1424</w:t>
            </w:r>
          </w:p>
        </w:tc>
        <w:tc>
          <w:tcPr>
            <w:tcW w:w="1064" w:type="dxa"/>
          </w:tcPr>
          <w:p w:rsidR="00E177E6" w:rsidRPr="00E177E6" w:rsidRDefault="00E177E6" w:rsidP="00E177E6">
            <w:pPr>
              <w:pStyle w:val="-1"/>
              <w:rPr>
                <w:lang w:val="en-US"/>
              </w:rPr>
            </w:pPr>
            <w:r w:rsidRPr="00E177E6">
              <w:rPr>
                <w:lang w:val="en-US"/>
              </w:rPr>
              <w:t>1708</w:t>
            </w:r>
          </w:p>
        </w:tc>
      </w:tr>
      <w:tr w:rsidR="00E177E6" w:rsidRPr="00E177E6" w:rsidTr="00E177E6">
        <w:tc>
          <w:tcPr>
            <w:tcW w:w="1063" w:type="dxa"/>
          </w:tcPr>
          <w:p w:rsidR="00E177E6" w:rsidRPr="00E177E6" w:rsidRDefault="00E177E6" w:rsidP="00E177E6">
            <w:pPr>
              <w:pStyle w:val="-1"/>
              <w:rPr>
                <w:lang w:val="en-US"/>
              </w:rPr>
            </w:pPr>
            <w:r w:rsidRPr="00E177E6">
              <w:rPr>
                <w:lang w:val="en-US"/>
              </w:rPr>
              <w:t>Producers/developers</w:t>
            </w:r>
          </w:p>
        </w:tc>
        <w:tc>
          <w:tcPr>
            <w:tcW w:w="1063" w:type="dxa"/>
          </w:tcPr>
          <w:p w:rsidR="00E177E6" w:rsidRPr="00E177E6" w:rsidRDefault="00E177E6" w:rsidP="00E177E6">
            <w:pPr>
              <w:pStyle w:val="-1"/>
              <w:rPr>
                <w:lang w:val="en-US"/>
              </w:rPr>
            </w:pPr>
            <w:r w:rsidRPr="00E177E6">
              <w:rPr>
                <w:lang w:val="en-US"/>
              </w:rPr>
              <w:t>207</w:t>
            </w:r>
          </w:p>
        </w:tc>
        <w:tc>
          <w:tcPr>
            <w:tcW w:w="1063" w:type="dxa"/>
          </w:tcPr>
          <w:p w:rsidR="00E177E6" w:rsidRPr="00E177E6" w:rsidRDefault="00E177E6" w:rsidP="00E177E6">
            <w:pPr>
              <w:pStyle w:val="-1"/>
              <w:rPr>
                <w:lang w:val="en-US"/>
              </w:rPr>
            </w:pPr>
            <w:r w:rsidRPr="00E177E6">
              <w:rPr>
                <w:lang w:val="en-US"/>
              </w:rPr>
              <w:t>252</w:t>
            </w:r>
          </w:p>
        </w:tc>
        <w:tc>
          <w:tcPr>
            <w:tcW w:w="1063" w:type="dxa"/>
          </w:tcPr>
          <w:p w:rsidR="00E177E6" w:rsidRPr="00E177E6" w:rsidRDefault="00E177E6" w:rsidP="00E177E6">
            <w:pPr>
              <w:pStyle w:val="-1"/>
              <w:rPr>
                <w:lang w:val="en-US"/>
              </w:rPr>
            </w:pPr>
            <w:r w:rsidRPr="00E177E6">
              <w:rPr>
                <w:lang w:val="en-US"/>
              </w:rPr>
              <w:t>312</w:t>
            </w:r>
          </w:p>
        </w:tc>
        <w:tc>
          <w:tcPr>
            <w:tcW w:w="1063" w:type="dxa"/>
          </w:tcPr>
          <w:p w:rsidR="00E177E6" w:rsidRPr="00E177E6" w:rsidRDefault="00E177E6" w:rsidP="00E177E6">
            <w:pPr>
              <w:pStyle w:val="-1"/>
              <w:rPr>
                <w:lang w:val="en-US"/>
              </w:rPr>
            </w:pPr>
            <w:r w:rsidRPr="00E177E6">
              <w:rPr>
                <w:lang w:val="en-US"/>
              </w:rPr>
              <w:t>369</w:t>
            </w:r>
          </w:p>
        </w:tc>
        <w:tc>
          <w:tcPr>
            <w:tcW w:w="1063" w:type="dxa"/>
          </w:tcPr>
          <w:p w:rsidR="00E177E6" w:rsidRPr="00E177E6" w:rsidRDefault="00E177E6" w:rsidP="00E177E6">
            <w:pPr>
              <w:pStyle w:val="-1"/>
              <w:rPr>
                <w:lang w:val="en-US"/>
              </w:rPr>
            </w:pPr>
            <w:r w:rsidRPr="00E177E6">
              <w:rPr>
                <w:lang w:val="en-US"/>
              </w:rPr>
              <w:t>422</w:t>
            </w:r>
          </w:p>
        </w:tc>
        <w:tc>
          <w:tcPr>
            <w:tcW w:w="1064" w:type="dxa"/>
          </w:tcPr>
          <w:p w:rsidR="00E177E6" w:rsidRPr="00E177E6" w:rsidRDefault="00E177E6" w:rsidP="00E177E6">
            <w:pPr>
              <w:pStyle w:val="-1"/>
              <w:rPr>
                <w:lang w:val="en-US"/>
              </w:rPr>
            </w:pPr>
            <w:r w:rsidRPr="00E177E6">
              <w:rPr>
                <w:lang w:val="en-US"/>
              </w:rPr>
              <w:t>500</w:t>
            </w:r>
          </w:p>
        </w:tc>
        <w:tc>
          <w:tcPr>
            <w:tcW w:w="1064" w:type="dxa"/>
          </w:tcPr>
          <w:p w:rsidR="00E177E6" w:rsidRPr="00E177E6" w:rsidRDefault="00E177E6" w:rsidP="00E177E6">
            <w:pPr>
              <w:pStyle w:val="-1"/>
              <w:rPr>
                <w:lang w:val="en-US"/>
              </w:rPr>
            </w:pPr>
            <w:r w:rsidRPr="00E177E6">
              <w:rPr>
                <w:lang w:val="en-US"/>
              </w:rPr>
              <w:t>511</w:t>
            </w:r>
          </w:p>
        </w:tc>
        <w:tc>
          <w:tcPr>
            <w:tcW w:w="1064" w:type="dxa"/>
          </w:tcPr>
          <w:p w:rsidR="00E177E6" w:rsidRPr="00E177E6" w:rsidRDefault="00E177E6" w:rsidP="00E177E6">
            <w:pPr>
              <w:pStyle w:val="-1"/>
              <w:rPr>
                <w:lang w:val="en-US"/>
              </w:rPr>
            </w:pPr>
            <w:r w:rsidRPr="00E177E6">
              <w:rPr>
                <w:lang w:val="en-US"/>
              </w:rPr>
              <w:t>540</w:t>
            </w:r>
          </w:p>
        </w:tc>
      </w:tr>
      <w:tr w:rsidR="00E177E6" w:rsidRPr="00E177E6" w:rsidTr="00E177E6">
        <w:tc>
          <w:tcPr>
            <w:tcW w:w="1063" w:type="dxa"/>
          </w:tcPr>
          <w:p w:rsidR="00E177E6" w:rsidRPr="00E177E6" w:rsidRDefault="00E177E6" w:rsidP="00E177E6">
            <w:pPr>
              <w:pStyle w:val="-1"/>
              <w:rPr>
                <w:lang w:val="en-US"/>
              </w:rPr>
            </w:pPr>
            <w:r w:rsidRPr="00E177E6">
              <w:rPr>
                <w:lang w:val="en-US"/>
              </w:rPr>
              <w:t>Int’l teamed efforts</w:t>
            </w:r>
          </w:p>
        </w:tc>
        <w:tc>
          <w:tcPr>
            <w:tcW w:w="1063" w:type="dxa"/>
          </w:tcPr>
          <w:p w:rsidR="00E177E6" w:rsidRPr="00E177E6" w:rsidRDefault="00E177E6" w:rsidP="00E177E6">
            <w:pPr>
              <w:pStyle w:val="-1"/>
              <w:rPr>
                <w:lang w:val="en-US"/>
              </w:rPr>
            </w:pPr>
            <w:r w:rsidRPr="00E177E6">
              <w:rPr>
                <w:lang w:val="en-US"/>
              </w:rPr>
              <w:t>20</w:t>
            </w:r>
          </w:p>
        </w:tc>
        <w:tc>
          <w:tcPr>
            <w:tcW w:w="1063" w:type="dxa"/>
          </w:tcPr>
          <w:p w:rsidR="00E177E6" w:rsidRPr="00E177E6" w:rsidRDefault="00E177E6" w:rsidP="00E177E6">
            <w:pPr>
              <w:pStyle w:val="-1"/>
              <w:rPr>
                <w:lang w:val="en-US"/>
              </w:rPr>
            </w:pPr>
            <w:r w:rsidRPr="00E177E6">
              <w:rPr>
                <w:lang w:val="en-US"/>
              </w:rPr>
              <w:t>32</w:t>
            </w:r>
          </w:p>
        </w:tc>
        <w:tc>
          <w:tcPr>
            <w:tcW w:w="1063" w:type="dxa"/>
          </w:tcPr>
          <w:p w:rsidR="00E177E6" w:rsidRPr="00E177E6" w:rsidRDefault="00E177E6" w:rsidP="00E177E6">
            <w:pPr>
              <w:pStyle w:val="-1"/>
              <w:rPr>
                <w:lang w:val="en-US"/>
              </w:rPr>
            </w:pPr>
            <w:r w:rsidRPr="00E177E6">
              <w:rPr>
                <w:lang w:val="en-US"/>
              </w:rPr>
              <w:t>34</w:t>
            </w:r>
          </w:p>
        </w:tc>
        <w:tc>
          <w:tcPr>
            <w:tcW w:w="1063" w:type="dxa"/>
          </w:tcPr>
          <w:p w:rsidR="00E177E6" w:rsidRPr="00E177E6" w:rsidRDefault="00E177E6" w:rsidP="00E177E6">
            <w:pPr>
              <w:pStyle w:val="-1"/>
              <w:rPr>
                <w:lang w:val="en-US"/>
              </w:rPr>
            </w:pPr>
            <w:r w:rsidRPr="00E177E6">
              <w:rPr>
                <w:lang w:val="en-US"/>
              </w:rPr>
              <w:t>35</w:t>
            </w:r>
          </w:p>
        </w:tc>
        <w:tc>
          <w:tcPr>
            <w:tcW w:w="1063" w:type="dxa"/>
          </w:tcPr>
          <w:p w:rsidR="00E177E6" w:rsidRPr="00E177E6" w:rsidRDefault="00E177E6" w:rsidP="00E177E6">
            <w:pPr>
              <w:pStyle w:val="-1"/>
              <w:rPr>
                <w:lang w:val="en-US"/>
              </w:rPr>
            </w:pPr>
            <w:r w:rsidRPr="00E177E6">
              <w:rPr>
                <w:lang w:val="en-US"/>
              </w:rPr>
              <w:t>38</w:t>
            </w:r>
          </w:p>
        </w:tc>
        <w:tc>
          <w:tcPr>
            <w:tcW w:w="1064" w:type="dxa"/>
          </w:tcPr>
          <w:p w:rsidR="00E177E6" w:rsidRPr="00E177E6" w:rsidRDefault="00E177E6" w:rsidP="00E177E6">
            <w:pPr>
              <w:pStyle w:val="-1"/>
              <w:rPr>
                <w:lang w:val="en-US"/>
              </w:rPr>
            </w:pPr>
            <w:r w:rsidRPr="00E177E6">
              <w:rPr>
                <w:lang w:val="en-US"/>
              </w:rPr>
              <w:t>36</w:t>
            </w:r>
          </w:p>
        </w:tc>
        <w:tc>
          <w:tcPr>
            <w:tcW w:w="1064" w:type="dxa"/>
          </w:tcPr>
          <w:p w:rsidR="00E177E6" w:rsidRPr="00E177E6" w:rsidRDefault="00E177E6" w:rsidP="00E177E6">
            <w:pPr>
              <w:pStyle w:val="-1"/>
              <w:rPr>
                <w:lang w:val="en-US"/>
              </w:rPr>
            </w:pPr>
            <w:r w:rsidRPr="00E177E6">
              <w:rPr>
                <w:lang w:val="en-US"/>
              </w:rPr>
              <w:t>54</w:t>
            </w:r>
          </w:p>
        </w:tc>
        <w:tc>
          <w:tcPr>
            <w:tcW w:w="1064" w:type="dxa"/>
          </w:tcPr>
          <w:p w:rsidR="00E177E6" w:rsidRPr="00E177E6" w:rsidRDefault="00E177E6" w:rsidP="00E177E6">
            <w:pPr>
              <w:pStyle w:val="-1"/>
              <w:rPr>
                <w:lang w:val="en-US"/>
              </w:rPr>
            </w:pPr>
            <w:r w:rsidRPr="00E177E6">
              <w:rPr>
                <w:lang w:val="en-US"/>
              </w:rPr>
              <w:t>48</w:t>
            </w:r>
          </w:p>
        </w:tc>
      </w:tr>
      <w:tr w:rsidR="00E177E6" w:rsidRPr="00E177E6" w:rsidTr="00E177E6">
        <w:tc>
          <w:tcPr>
            <w:tcW w:w="1063" w:type="dxa"/>
          </w:tcPr>
          <w:p w:rsidR="00E177E6" w:rsidRPr="00E177E6" w:rsidRDefault="00E177E6" w:rsidP="00E177E6">
            <w:pPr>
              <w:pStyle w:val="-1"/>
              <w:rPr>
                <w:lang w:val="en-US"/>
              </w:rPr>
            </w:pPr>
            <w:r w:rsidRPr="00E177E6">
              <w:rPr>
                <w:lang w:val="en-US"/>
              </w:rPr>
              <w:t>Producing countries</w:t>
            </w:r>
          </w:p>
        </w:tc>
        <w:tc>
          <w:tcPr>
            <w:tcW w:w="1063" w:type="dxa"/>
          </w:tcPr>
          <w:p w:rsidR="00E177E6" w:rsidRPr="00E177E6" w:rsidRDefault="00E177E6" w:rsidP="00E177E6">
            <w:pPr>
              <w:pStyle w:val="-1"/>
              <w:rPr>
                <w:lang w:val="en-US"/>
              </w:rPr>
            </w:pPr>
            <w:r w:rsidRPr="00E177E6">
              <w:rPr>
                <w:lang w:val="en-US"/>
              </w:rPr>
              <w:t>43</w:t>
            </w:r>
          </w:p>
        </w:tc>
        <w:tc>
          <w:tcPr>
            <w:tcW w:w="1063" w:type="dxa"/>
          </w:tcPr>
          <w:p w:rsidR="00E177E6" w:rsidRPr="00E177E6" w:rsidRDefault="00E177E6" w:rsidP="00E177E6">
            <w:pPr>
              <w:pStyle w:val="-1"/>
              <w:rPr>
                <w:lang w:val="en-US"/>
              </w:rPr>
            </w:pPr>
            <w:r w:rsidRPr="00E177E6">
              <w:rPr>
                <w:lang w:val="en-US"/>
              </w:rPr>
              <w:t>42</w:t>
            </w:r>
          </w:p>
        </w:tc>
        <w:tc>
          <w:tcPr>
            <w:tcW w:w="1063" w:type="dxa"/>
          </w:tcPr>
          <w:p w:rsidR="00E177E6" w:rsidRPr="00E177E6" w:rsidRDefault="00E177E6" w:rsidP="00E177E6">
            <w:pPr>
              <w:pStyle w:val="-1"/>
              <w:rPr>
                <w:lang w:val="en-US"/>
              </w:rPr>
            </w:pPr>
            <w:r w:rsidRPr="00E177E6">
              <w:rPr>
                <w:lang w:val="en-US"/>
              </w:rPr>
              <w:t>48</w:t>
            </w:r>
          </w:p>
        </w:tc>
        <w:tc>
          <w:tcPr>
            <w:tcW w:w="1063" w:type="dxa"/>
          </w:tcPr>
          <w:p w:rsidR="00E177E6" w:rsidRPr="00E177E6" w:rsidRDefault="00E177E6" w:rsidP="00E177E6">
            <w:pPr>
              <w:pStyle w:val="-1"/>
              <w:rPr>
                <w:lang w:val="en-US"/>
              </w:rPr>
            </w:pPr>
            <w:r w:rsidRPr="00E177E6">
              <w:rPr>
                <w:lang w:val="en-US"/>
              </w:rPr>
              <w:t>48</w:t>
            </w:r>
          </w:p>
        </w:tc>
        <w:tc>
          <w:tcPr>
            <w:tcW w:w="1063" w:type="dxa"/>
          </w:tcPr>
          <w:p w:rsidR="00E177E6" w:rsidRPr="00E177E6" w:rsidRDefault="00E177E6" w:rsidP="00E177E6">
            <w:pPr>
              <w:pStyle w:val="-1"/>
              <w:rPr>
                <w:lang w:val="en-US"/>
              </w:rPr>
            </w:pPr>
            <w:r w:rsidRPr="00E177E6">
              <w:rPr>
                <w:lang w:val="en-US"/>
              </w:rPr>
              <w:t>50</w:t>
            </w:r>
          </w:p>
        </w:tc>
        <w:tc>
          <w:tcPr>
            <w:tcW w:w="1064" w:type="dxa"/>
          </w:tcPr>
          <w:p w:rsidR="00E177E6" w:rsidRPr="00E177E6" w:rsidRDefault="00E177E6" w:rsidP="00E177E6">
            <w:pPr>
              <w:pStyle w:val="-1"/>
              <w:rPr>
                <w:lang w:val="en-US"/>
              </w:rPr>
            </w:pPr>
            <w:r w:rsidRPr="00E177E6">
              <w:rPr>
                <w:lang w:val="en-US"/>
              </w:rPr>
              <w:t>51</w:t>
            </w:r>
          </w:p>
        </w:tc>
        <w:tc>
          <w:tcPr>
            <w:tcW w:w="1064" w:type="dxa"/>
          </w:tcPr>
          <w:p w:rsidR="00E177E6" w:rsidRPr="00E177E6" w:rsidRDefault="00E177E6" w:rsidP="00E177E6">
            <w:pPr>
              <w:pStyle w:val="-1"/>
              <w:rPr>
                <w:lang w:val="en-US"/>
              </w:rPr>
            </w:pPr>
            <w:r w:rsidRPr="00E177E6">
              <w:rPr>
                <w:lang w:val="en-US"/>
              </w:rPr>
              <w:t>51</w:t>
            </w:r>
          </w:p>
        </w:tc>
        <w:tc>
          <w:tcPr>
            <w:tcW w:w="1064" w:type="dxa"/>
          </w:tcPr>
          <w:p w:rsidR="00E177E6" w:rsidRPr="00E177E6" w:rsidRDefault="00E177E6" w:rsidP="00E177E6">
            <w:pPr>
              <w:pStyle w:val="-1"/>
              <w:rPr>
                <w:lang w:val="en-US"/>
              </w:rPr>
            </w:pPr>
            <w:r w:rsidRPr="00E177E6">
              <w:rPr>
                <w:lang w:val="en-US"/>
              </w:rPr>
              <w:t>53</w:t>
            </w:r>
          </w:p>
        </w:tc>
      </w:tr>
      <w:tr w:rsidR="00E177E6" w:rsidRPr="00E177E6" w:rsidTr="00E177E6">
        <w:tc>
          <w:tcPr>
            <w:tcW w:w="1063" w:type="dxa"/>
          </w:tcPr>
          <w:p w:rsidR="00E177E6" w:rsidRPr="00E177E6" w:rsidRDefault="00E177E6" w:rsidP="00E177E6">
            <w:pPr>
              <w:pStyle w:val="-1"/>
              <w:rPr>
                <w:lang w:val="en-US"/>
              </w:rPr>
            </w:pPr>
            <w:r w:rsidRPr="00E177E6">
              <w:rPr>
                <w:lang w:val="en-US"/>
              </w:rPr>
              <w:t>Civil/commercial</w:t>
            </w:r>
          </w:p>
        </w:tc>
        <w:tc>
          <w:tcPr>
            <w:tcW w:w="1063" w:type="dxa"/>
          </w:tcPr>
          <w:p w:rsidR="00E177E6" w:rsidRPr="00E177E6" w:rsidRDefault="00E177E6" w:rsidP="00E177E6">
            <w:pPr>
              <w:pStyle w:val="-1"/>
              <w:rPr>
                <w:lang w:val="en-US"/>
              </w:rPr>
            </w:pPr>
            <w:r w:rsidRPr="00E177E6">
              <w:rPr>
                <w:lang w:val="en-US"/>
              </w:rPr>
              <w:t>55</w:t>
            </w:r>
          </w:p>
        </w:tc>
        <w:tc>
          <w:tcPr>
            <w:tcW w:w="1063" w:type="dxa"/>
          </w:tcPr>
          <w:p w:rsidR="00E177E6" w:rsidRPr="00E177E6" w:rsidRDefault="00E177E6" w:rsidP="00E177E6">
            <w:pPr>
              <w:pStyle w:val="-1"/>
              <w:rPr>
                <w:lang w:val="en-US"/>
              </w:rPr>
            </w:pPr>
            <w:r w:rsidRPr="00E177E6">
              <w:rPr>
                <w:lang w:val="en-US"/>
              </w:rPr>
              <w:t>47</w:t>
            </w:r>
          </w:p>
        </w:tc>
        <w:tc>
          <w:tcPr>
            <w:tcW w:w="1063" w:type="dxa"/>
          </w:tcPr>
          <w:p w:rsidR="00E177E6" w:rsidRPr="00E177E6" w:rsidRDefault="00E177E6" w:rsidP="00E177E6">
            <w:pPr>
              <w:pStyle w:val="-1"/>
              <w:rPr>
                <w:lang w:val="en-US"/>
              </w:rPr>
            </w:pPr>
            <w:r w:rsidRPr="00E177E6">
              <w:rPr>
                <w:lang w:val="en-US"/>
              </w:rPr>
              <w:t>61</w:t>
            </w:r>
          </w:p>
        </w:tc>
        <w:tc>
          <w:tcPr>
            <w:tcW w:w="1063" w:type="dxa"/>
          </w:tcPr>
          <w:p w:rsidR="00E177E6" w:rsidRPr="00E177E6" w:rsidRDefault="00E177E6" w:rsidP="00E177E6">
            <w:pPr>
              <w:pStyle w:val="-1"/>
              <w:rPr>
                <w:lang w:val="en-US"/>
              </w:rPr>
            </w:pPr>
            <w:r w:rsidRPr="00E177E6">
              <w:rPr>
                <w:lang w:val="en-US"/>
              </w:rPr>
              <w:t>115</w:t>
            </w:r>
          </w:p>
        </w:tc>
        <w:tc>
          <w:tcPr>
            <w:tcW w:w="1063" w:type="dxa"/>
          </w:tcPr>
          <w:p w:rsidR="00E177E6" w:rsidRPr="00E177E6" w:rsidRDefault="00E177E6" w:rsidP="00E177E6">
            <w:pPr>
              <w:pStyle w:val="-1"/>
              <w:rPr>
                <w:lang w:val="en-US"/>
              </w:rPr>
            </w:pPr>
            <w:r w:rsidRPr="00E177E6">
              <w:rPr>
                <w:lang w:val="en-US"/>
              </w:rPr>
              <w:t>150</w:t>
            </w:r>
          </w:p>
        </w:tc>
        <w:tc>
          <w:tcPr>
            <w:tcW w:w="1064" w:type="dxa"/>
          </w:tcPr>
          <w:p w:rsidR="00E177E6" w:rsidRPr="00E177E6" w:rsidRDefault="00E177E6" w:rsidP="00E177E6">
            <w:pPr>
              <w:pStyle w:val="-1"/>
              <w:rPr>
                <w:lang w:val="en-US"/>
              </w:rPr>
            </w:pPr>
            <w:r w:rsidRPr="00E177E6">
              <w:rPr>
                <w:lang w:val="en-US"/>
              </w:rPr>
              <w:t>171</w:t>
            </w:r>
          </w:p>
        </w:tc>
        <w:tc>
          <w:tcPr>
            <w:tcW w:w="1064" w:type="dxa"/>
          </w:tcPr>
          <w:p w:rsidR="00E177E6" w:rsidRPr="00E177E6" w:rsidRDefault="00E177E6" w:rsidP="00E177E6">
            <w:pPr>
              <w:pStyle w:val="-1"/>
              <w:rPr>
                <w:lang w:val="en-US"/>
              </w:rPr>
            </w:pPr>
            <w:r w:rsidRPr="00E177E6">
              <w:rPr>
                <w:lang w:val="en-US"/>
              </w:rPr>
              <w:t>175</w:t>
            </w:r>
          </w:p>
        </w:tc>
        <w:tc>
          <w:tcPr>
            <w:tcW w:w="1064" w:type="dxa"/>
          </w:tcPr>
          <w:p w:rsidR="00E177E6" w:rsidRPr="00E177E6" w:rsidRDefault="00E177E6" w:rsidP="00E177E6">
            <w:pPr>
              <w:pStyle w:val="-1"/>
              <w:rPr>
                <w:lang w:val="en-US"/>
              </w:rPr>
            </w:pPr>
            <w:r w:rsidRPr="00E177E6">
              <w:rPr>
                <w:lang w:val="en-US"/>
              </w:rPr>
              <w:t>247</w:t>
            </w:r>
          </w:p>
        </w:tc>
      </w:tr>
      <w:tr w:rsidR="00E177E6" w:rsidRPr="00E177E6" w:rsidTr="00E177E6">
        <w:tc>
          <w:tcPr>
            <w:tcW w:w="1063" w:type="dxa"/>
          </w:tcPr>
          <w:p w:rsidR="00E177E6" w:rsidRPr="00E177E6" w:rsidRDefault="00E177E6" w:rsidP="00E177E6">
            <w:pPr>
              <w:pStyle w:val="-1"/>
              <w:rPr>
                <w:lang w:val="en-US"/>
              </w:rPr>
            </w:pPr>
            <w:r w:rsidRPr="00E177E6">
              <w:rPr>
                <w:lang w:val="en-US"/>
              </w:rPr>
              <w:t>Military</w:t>
            </w:r>
          </w:p>
        </w:tc>
        <w:tc>
          <w:tcPr>
            <w:tcW w:w="1063" w:type="dxa"/>
          </w:tcPr>
          <w:p w:rsidR="00E177E6" w:rsidRPr="00E177E6" w:rsidRDefault="00E177E6" w:rsidP="00E177E6">
            <w:pPr>
              <w:pStyle w:val="-1"/>
              <w:rPr>
                <w:lang w:val="en-US"/>
              </w:rPr>
            </w:pPr>
            <w:r w:rsidRPr="00E177E6">
              <w:rPr>
                <w:lang w:val="en-US"/>
              </w:rPr>
              <w:t>397</w:t>
            </w:r>
          </w:p>
        </w:tc>
        <w:tc>
          <w:tcPr>
            <w:tcW w:w="1063" w:type="dxa"/>
          </w:tcPr>
          <w:p w:rsidR="00E177E6" w:rsidRPr="00E177E6" w:rsidRDefault="00E177E6" w:rsidP="00E177E6">
            <w:pPr>
              <w:pStyle w:val="-1"/>
              <w:rPr>
                <w:lang w:val="en-US"/>
              </w:rPr>
            </w:pPr>
            <w:r w:rsidRPr="00E177E6">
              <w:rPr>
                <w:lang w:val="en-US"/>
              </w:rPr>
              <w:t>413</w:t>
            </w:r>
          </w:p>
        </w:tc>
        <w:tc>
          <w:tcPr>
            <w:tcW w:w="1063" w:type="dxa"/>
          </w:tcPr>
          <w:p w:rsidR="00E177E6" w:rsidRPr="00E177E6" w:rsidRDefault="00E177E6" w:rsidP="00E177E6">
            <w:pPr>
              <w:pStyle w:val="-1"/>
              <w:rPr>
                <w:lang w:val="en-US"/>
              </w:rPr>
            </w:pPr>
            <w:r w:rsidRPr="00E177E6">
              <w:rPr>
                <w:lang w:val="en-US"/>
              </w:rPr>
              <w:t>491</w:t>
            </w:r>
          </w:p>
        </w:tc>
        <w:tc>
          <w:tcPr>
            <w:tcW w:w="1063" w:type="dxa"/>
          </w:tcPr>
          <w:p w:rsidR="00E177E6" w:rsidRPr="00E177E6" w:rsidRDefault="00E177E6" w:rsidP="00E177E6">
            <w:pPr>
              <w:pStyle w:val="-1"/>
              <w:rPr>
                <w:lang w:val="en-US"/>
              </w:rPr>
            </w:pPr>
            <w:r w:rsidRPr="00E177E6">
              <w:rPr>
                <w:lang w:val="en-US"/>
              </w:rPr>
              <w:t>578</w:t>
            </w:r>
          </w:p>
        </w:tc>
        <w:tc>
          <w:tcPr>
            <w:tcW w:w="1063" w:type="dxa"/>
          </w:tcPr>
          <w:p w:rsidR="00E177E6" w:rsidRPr="00E177E6" w:rsidRDefault="00E177E6" w:rsidP="00E177E6">
            <w:pPr>
              <w:pStyle w:val="-1"/>
              <w:rPr>
                <w:lang w:val="en-US"/>
              </w:rPr>
            </w:pPr>
            <w:r w:rsidRPr="00E177E6">
              <w:rPr>
                <w:lang w:val="en-US"/>
              </w:rPr>
              <w:t>683</w:t>
            </w:r>
          </w:p>
        </w:tc>
        <w:tc>
          <w:tcPr>
            <w:tcW w:w="1064" w:type="dxa"/>
          </w:tcPr>
          <w:p w:rsidR="00E177E6" w:rsidRPr="00E177E6" w:rsidRDefault="00E177E6" w:rsidP="00E177E6">
            <w:pPr>
              <w:pStyle w:val="-1"/>
              <w:rPr>
                <w:lang w:val="en-US"/>
              </w:rPr>
            </w:pPr>
            <w:r w:rsidRPr="00E177E6">
              <w:rPr>
                <w:lang w:val="en-US"/>
              </w:rPr>
              <w:t>631</w:t>
            </w:r>
          </w:p>
        </w:tc>
        <w:tc>
          <w:tcPr>
            <w:tcW w:w="1064" w:type="dxa"/>
          </w:tcPr>
          <w:p w:rsidR="00E177E6" w:rsidRPr="00E177E6" w:rsidRDefault="00E177E6" w:rsidP="00E177E6">
            <w:pPr>
              <w:pStyle w:val="-1"/>
              <w:rPr>
                <w:lang w:val="en-US"/>
              </w:rPr>
            </w:pPr>
            <w:r w:rsidRPr="00E177E6">
              <w:rPr>
                <w:lang w:val="en-US"/>
              </w:rPr>
              <w:t>674</w:t>
            </w:r>
          </w:p>
        </w:tc>
        <w:tc>
          <w:tcPr>
            <w:tcW w:w="1064" w:type="dxa"/>
          </w:tcPr>
          <w:p w:rsidR="00E177E6" w:rsidRPr="00E177E6" w:rsidRDefault="00E177E6" w:rsidP="00E177E6">
            <w:pPr>
              <w:pStyle w:val="-1"/>
              <w:rPr>
                <w:lang w:val="en-US"/>
              </w:rPr>
            </w:pPr>
            <w:r w:rsidRPr="00E177E6">
              <w:rPr>
                <w:lang w:val="en-US"/>
              </w:rPr>
              <w:t>564</w:t>
            </w:r>
          </w:p>
        </w:tc>
      </w:tr>
    </w:tbl>
    <w:p w:rsidR="00E177E6" w:rsidRDefault="00E177E6" w:rsidP="00CA4D2C">
      <w:pPr>
        <w:ind w:firstLine="708"/>
        <w:rPr>
          <w:lang w:val="en-US"/>
        </w:rPr>
      </w:pPr>
    </w:p>
    <w:p w:rsidR="00CA4D2C" w:rsidRDefault="00CA4D2C" w:rsidP="00CA4D2C">
      <w:pPr>
        <w:ind w:firstLine="708"/>
        <w:rPr>
          <w:lang w:val="en-US"/>
        </w:rPr>
      </w:pPr>
      <w:r w:rsidRPr="00352B47">
        <w:rPr>
          <w:lang w:val="en-US"/>
        </w:rPr>
        <w:t xml:space="preserve">Among the many interpretations that one may extract from the above table, an interesting trend is revealed: the number of developed UAS has multiplied by three from 2005 to present and, additionally, a relevant increase is observed in the civil/commercial type of platforms, especially in 2012 and 2013. Thus, it seems that </w:t>
      </w:r>
      <w:proofErr w:type="spellStart"/>
      <w:r w:rsidRPr="00352B47">
        <w:rPr>
          <w:lang w:val="en-US"/>
        </w:rPr>
        <w:t>PaRS</w:t>
      </w:r>
      <w:proofErr w:type="spellEnd"/>
      <w:r w:rsidRPr="00352B47">
        <w:rPr>
          <w:lang w:val="en-US"/>
        </w:rPr>
        <w:t xml:space="preserve"> UAS (clearly framed within that group) is cradled in a growing niche.</w:t>
      </w:r>
    </w:p>
    <w:p w:rsidR="00CA4D2C" w:rsidRPr="00CA4D2C" w:rsidRDefault="00CA4D2C" w:rsidP="00CA4D2C">
      <w:pPr>
        <w:pStyle w:val="2"/>
      </w:pPr>
      <w:r w:rsidRPr="00CA4D2C">
        <w:t xml:space="preserve"> </w:t>
      </w:r>
      <w:bookmarkStart w:id="5" w:name="_Toc163718137"/>
      <w:proofErr w:type="spellStart"/>
      <w:r w:rsidRPr="00CA4D2C">
        <w:t>Literature</w:t>
      </w:r>
      <w:proofErr w:type="spellEnd"/>
      <w:r w:rsidRPr="00CA4D2C">
        <w:t xml:space="preserve"> </w:t>
      </w:r>
      <w:proofErr w:type="spellStart"/>
      <w:r w:rsidRPr="00CA4D2C">
        <w:t>evolution</w:t>
      </w:r>
      <w:bookmarkEnd w:id="5"/>
      <w:proofErr w:type="spellEnd"/>
    </w:p>
    <w:p w:rsidR="00CA4D2C" w:rsidRPr="00CA4D2C" w:rsidRDefault="00CA4D2C" w:rsidP="00E177E6">
      <w:pPr>
        <w:rPr>
          <w:lang w:val="en-US"/>
        </w:rPr>
      </w:pPr>
      <w:r w:rsidRPr="00352B47">
        <w:rPr>
          <w:lang w:val="en-US"/>
        </w:rPr>
        <w:t xml:space="preserve">Let us now focus on the scientific impact of UAS by screening the number of published papers at some of the most important </w:t>
      </w:r>
      <w:proofErr w:type="spellStart"/>
      <w:r w:rsidRPr="00352B47">
        <w:rPr>
          <w:lang w:val="en-US"/>
        </w:rPr>
        <w:t>PaRS</w:t>
      </w:r>
      <w:proofErr w:type="spellEnd"/>
      <w:r w:rsidRPr="00352B47">
        <w:rPr>
          <w:lang w:val="en-US"/>
        </w:rPr>
        <w:t xml:space="preserve"> conferences, for example the quadrennial International Society for </w:t>
      </w:r>
      <w:proofErr w:type="spellStart"/>
      <w:r w:rsidRPr="00352B47">
        <w:rPr>
          <w:lang w:val="en-US"/>
        </w:rPr>
        <w:t>Photogrammetry</w:t>
      </w:r>
      <w:proofErr w:type="spellEnd"/>
      <w:r w:rsidRPr="00352B47">
        <w:rPr>
          <w:lang w:val="en-US"/>
        </w:rPr>
        <w:t xml:space="preserve"> and Remote Sensing (ISPRS) congress. In 2004, the ISPRS congress in Istanbul hosted three UAS-related papers but did not feature any session specifically devoted to unmanned platforms. The trend changed in 2008, in Beijing, where 21 papers related to the use of UAS for </w:t>
      </w:r>
      <w:proofErr w:type="spellStart"/>
      <w:r w:rsidRPr="00352B47">
        <w:rPr>
          <w:lang w:val="en-US"/>
        </w:rPr>
        <w:t>PaRS</w:t>
      </w:r>
      <w:proofErr w:type="spellEnd"/>
      <w:r w:rsidRPr="00352B47">
        <w:rPr>
          <w:lang w:val="en-US"/>
        </w:rPr>
        <w:t xml:space="preserve"> and mapping purposes were presented in three different sessions. At the recent ISPRS cong</w:t>
      </w:r>
      <w:r>
        <w:rPr>
          <w:lang w:val="en-US"/>
        </w:rPr>
        <w:t xml:space="preserve">ress in Melbourne in 2012, nine </w:t>
      </w:r>
      <w:fldSimple w:instr=" REF _Ref98172175 \h  \* MERGEFORMAT ">
        <w:r w:rsidRPr="00CA4D2C">
          <w:rPr>
            <w:lang w:val="en-US"/>
          </w:rPr>
          <w:t>(</w:t>
        </w:r>
        <w:r w:rsidRPr="00CA4D2C">
          <w:rPr>
            <w:noProof/>
            <w:lang w:val="en-US"/>
          </w:rPr>
          <w:t>1</w:t>
        </w:r>
        <w:r w:rsidRPr="00CA4D2C">
          <w:rPr>
            <w:lang w:val="en-US"/>
          </w:rPr>
          <w:t>)</w:t>
        </w:r>
      </w:fldSimple>
      <w:r>
        <w:rPr>
          <w:lang w:val="en-US"/>
        </w:rPr>
        <w:t xml:space="preserve"> </w:t>
      </w:r>
      <w:r w:rsidRPr="00352B47">
        <w:rPr>
          <w:lang w:val="en-US"/>
        </w:rPr>
        <w:t>sessions related to UAS were held, featuring around 50 UAS-related papers.</w:t>
      </w:r>
    </w:p>
    <w:p w:rsidR="00CA4D2C" w:rsidRDefault="00CA4D2C" w:rsidP="00CA4D2C">
      <w:pPr>
        <w:pStyle w:val="a9"/>
        <w:rPr>
          <w:rFonts w:eastAsiaTheme="minorEastAsia"/>
          <w:lang w:val="en-US"/>
        </w:rPr>
      </w:pPr>
      <m:oMathPara>
        <m:oMathParaPr>
          <m:jc m:val="center"/>
        </m:oMathParaPr>
        <m:oMath>
          <m:sSub>
            <m:sSubPr>
              <m:ctrlPr>
                <w:rPr>
                  <w:rFonts w:ascii="Cambria Math" w:eastAsiaTheme="minorHAnsi" w:hAnsi="Cambria Math" w:cstheme="minorBidi"/>
                  <w:color w:val="000000" w:themeColor="text1"/>
                  <w:szCs w:val="22"/>
                  <w:lang w:val="en-US" w:eastAsia="en-US"/>
                </w:rPr>
              </m:ctrlPr>
            </m:sSubPr>
            <m:e>
              <m:r>
                <w:rPr>
                  <w:rFonts w:ascii="Cambria Math" w:hAnsi="Cambria Math"/>
                  <w:lang w:val="en-US"/>
                </w:rPr>
                <m:t>W</m:t>
              </m:r>
            </m:e>
            <m:sub>
              <m:r>
                <w:rPr>
                  <w:rFonts w:ascii="Cambria Math" w:hAnsi="Cambria Math"/>
                  <w:lang w:val="en-US"/>
                </w:rPr>
                <m:t>p</m:t>
              </m:r>
            </m:sub>
          </m:sSub>
          <m:r>
            <m:rPr>
              <m:sty m:val="p"/>
            </m:rPr>
            <w:rPr>
              <w:rFonts w:ascii="Cambria Math" w:hAnsi="Cambria Math"/>
              <w:lang w:val="en-US"/>
            </w:rPr>
            <m:t>=</m:t>
          </m:r>
          <m:r>
            <w:rPr>
              <w:rFonts w:ascii="Cambria Math" w:hAnsi="Cambria Math"/>
              <w:lang w:val="en-US"/>
            </w:rPr>
            <m:t>k</m:t>
          </m:r>
          <m:f>
            <m:fPr>
              <m:ctrlPr>
                <w:rPr>
                  <w:rFonts w:ascii="Cambria Math" w:eastAsiaTheme="minorHAnsi" w:hAnsi="Cambria Math" w:cstheme="minorBidi"/>
                  <w:color w:val="000000" w:themeColor="text1"/>
                  <w:szCs w:val="22"/>
                  <w:lang w:val="en-US" w:eastAsia="en-US"/>
                </w:rPr>
              </m:ctrlPr>
            </m:fPr>
            <m:num>
              <m:sSub>
                <m:sSubPr>
                  <m:ctrlPr>
                    <w:rPr>
                      <w:rFonts w:ascii="Cambria Math" w:eastAsiaTheme="minorHAnsi" w:hAnsi="Cambria Math" w:cstheme="minorBidi"/>
                      <w:color w:val="000000" w:themeColor="text1"/>
                      <w:szCs w:val="22"/>
                      <w:lang w:val="en-US" w:eastAsia="en-US"/>
                    </w:rPr>
                  </m:ctrlPr>
                </m:sSubPr>
                <m:e>
                  <m:r>
                    <w:rPr>
                      <w:rFonts w:ascii="Cambria Math" w:hAnsi="Cambria Math"/>
                      <w:lang w:val="en-US"/>
                    </w:rPr>
                    <m:t>q</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eastAsiaTheme="minorHAnsi" w:hAnsi="Cambria Math" w:cstheme="minorBidi"/>
                      <w:color w:val="000000" w:themeColor="text1"/>
                      <w:szCs w:val="22"/>
                      <w:lang w:val="en-US" w:eastAsia="en-US"/>
                    </w:rPr>
                  </m:ctrlPr>
                </m:sSubPr>
                <m:e>
                  <m:r>
                    <w:rPr>
                      <w:rFonts w:ascii="Cambria Math" w:hAnsi="Cambria Math"/>
                      <w:lang w:val="en-US"/>
                    </w:rPr>
                    <m:t>q</m:t>
                  </m:r>
                </m:e>
                <m:sub>
                  <m:r>
                    <m:rPr>
                      <m:sty m:val="p"/>
                    </m:rPr>
                    <w:rPr>
                      <w:rFonts w:ascii="Cambria Math" w:hAnsi="Cambria Math"/>
                      <w:lang w:val="en-US"/>
                    </w:rPr>
                    <m:t>2</m:t>
                  </m:r>
                </m:sub>
              </m:sSub>
            </m:num>
            <m:den>
              <m:r>
                <w:rPr>
                  <w:rFonts w:ascii="Cambria Math" w:hAnsi="Cambria Math"/>
                  <w:lang w:val="en-US"/>
                </w:rPr>
                <m:t>r</m:t>
              </m:r>
            </m:den>
          </m:f>
          <m:r>
            <m:rPr>
              <m:sty m:val="p"/>
            </m:rPr>
            <w:rPr>
              <w:rFonts w:ascii="Cambria Math" w:eastAsiaTheme="minorHAnsi" w:hAnsi="Cambria Math" w:cstheme="minorBidi"/>
              <w:color w:val="000000" w:themeColor="text1"/>
              <w:szCs w:val="22"/>
              <w:lang w:val="en-US" w:eastAsia="en-US"/>
            </w:rPr>
            <m:t>,</m:t>
          </m:r>
        </m:oMath>
      </m:oMathPara>
    </w:p>
    <w:tbl>
      <w:tblPr>
        <w:tblW w:w="9923" w:type="dxa"/>
        <w:tblInd w:w="108" w:type="dxa"/>
        <w:tblLook w:val="04A0"/>
      </w:tblPr>
      <w:tblGrid>
        <w:gridCol w:w="8539"/>
        <w:gridCol w:w="1384"/>
      </w:tblGrid>
      <w:tr w:rsidR="00CA4D2C" w:rsidRPr="00BF3639" w:rsidTr="00A81F0B">
        <w:tc>
          <w:tcPr>
            <w:tcW w:w="8539" w:type="dxa"/>
            <w:vAlign w:val="center"/>
          </w:tcPr>
          <w:p w:rsidR="00CA4D2C" w:rsidRPr="00CA4D2C" w:rsidRDefault="00CA4D2C" w:rsidP="00A81F0B">
            <w:pPr>
              <w:pStyle w:val="a9"/>
              <w:rPr>
                <w:i/>
                <w:lang w:val="en-US"/>
              </w:rPr>
            </w:pPr>
            <m:oMathPara>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r>
                      <w:rPr>
                        <w:rFonts w:ascii="Cambria Math" w:hAnsi="Cambria Math"/>
                      </w:rPr>
                      <m:t>-1</m:t>
                    </m:r>
                  </m:e>
                </m:d>
                <m:r>
                  <w:rPr>
                    <w:rFonts w:ascii="Cambria Math" w:hAnsi="Cambria Math"/>
                  </w:rPr>
                  <m:t>.</m:t>
                </m:r>
              </m:oMath>
            </m:oMathPara>
          </w:p>
        </w:tc>
        <w:tc>
          <w:tcPr>
            <w:tcW w:w="1384" w:type="dxa"/>
            <w:vAlign w:val="center"/>
          </w:tcPr>
          <w:p w:rsidR="00CA4D2C" w:rsidRPr="00BF3639" w:rsidRDefault="00CA4D2C" w:rsidP="00A81F0B">
            <w:pPr>
              <w:pStyle w:val="-1"/>
            </w:pPr>
            <w:bookmarkStart w:id="6" w:name="_Ref98172175"/>
            <w:r>
              <w:t>(</w:t>
            </w:r>
            <w:r>
              <w:fldChar w:fldCharType="begin"/>
            </w:r>
            <w:r>
              <w:instrText xml:space="preserve"> SEQ Формула \* ARABIC </w:instrText>
            </w:r>
            <w:r>
              <w:fldChar w:fldCharType="separate"/>
            </w:r>
            <w:r>
              <w:rPr>
                <w:noProof/>
              </w:rPr>
              <w:t>1</w:t>
            </w:r>
            <w:r>
              <w:fldChar w:fldCharType="end"/>
            </w:r>
            <w:r>
              <w:t>)</w:t>
            </w:r>
            <w:bookmarkEnd w:id="6"/>
          </w:p>
        </w:tc>
      </w:tr>
    </w:tbl>
    <w:p w:rsidR="00CA4D2C" w:rsidRPr="00CA4D2C" w:rsidRDefault="00CA4D2C" w:rsidP="00CA4D2C">
      <w:pPr>
        <w:rPr>
          <w:lang w:val="en-US"/>
        </w:rPr>
      </w:pPr>
      <w:r w:rsidRPr="00352B47">
        <w:rPr>
          <w:lang w:val="en-US"/>
        </w:rPr>
        <w:t>The international photogrammetric community has set up a dedicated biennial conference that began in 2011: the UAV-g (UAV-g 2011 in Zürich, Switzerland, UAV-g 2013 in Rostock, Germany and the upcoming UAV-g 2015 in Toronto, Canada).</w:t>
      </w:r>
    </w:p>
    <w:p w:rsidR="00CA4D2C" w:rsidRPr="0050411A" w:rsidRDefault="00CA4D2C" w:rsidP="00CA4D2C">
      <w:pPr>
        <w:pStyle w:val="a9"/>
      </w:pPr>
      <m:oMathPara>
        <m:oMath>
          <m:sSub>
            <m:sSubPr>
              <m:ctrlPr>
                <w:rPr>
                  <w:rFonts w:ascii="Cambria Math" w:eastAsiaTheme="minorHAnsi" w:hAnsi="Cambria Math" w:cstheme="minorBidi"/>
                  <w:color w:val="000000" w:themeColor="text1"/>
                  <w:szCs w:val="22"/>
                  <w:lang w:eastAsia="en-US"/>
                </w:rPr>
              </m:ctrlPr>
            </m:sSubPr>
            <m:e>
              <m:r>
                <w:rPr>
                  <w:rFonts w:ascii="Cambria Math" w:hAnsi="Cambria Math"/>
                </w:rPr>
                <m:t>ε</m:t>
              </m:r>
            </m:e>
            <m:sub>
              <m:r>
                <w:rPr>
                  <w:rFonts w:ascii="Cambria Math" w:hAnsi="Cambria Math"/>
                </w:rPr>
                <m:t>μ</m:t>
              </m:r>
            </m:sub>
          </m:sSub>
          <m:r>
            <m:rPr>
              <m:sty m:val="p"/>
            </m:rPr>
            <w:rPr>
              <w:rFonts w:ascii="Cambria Math" w:hAnsi="Cambria Math"/>
            </w:rPr>
            <m:t>=</m:t>
          </m:r>
          <m:f>
            <m:fPr>
              <m:ctrlPr>
                <w:rPr>
                  <w:rFonts w:ascii="Cambria Math" w:eastAsiaTheme="minorHAnsi" w:hAnsi="Cambria Math" w:cstheme="minorBidi"/>
                  <w:color w:val="000000" w:themeColor="text1"/>
                  <w:szCs w:val="22"/>
                  <w:lang w:eastAsia="en-US"/>
                </w:rPr>
              </m:ctrlPr>
            </m:fPr>
            <m:num>
              <m:r>
                <m:rPr>
                  <m:sty m:val="p"/>
                </m:rPr>
                <w:rPr>
                  <w:rFonts w:ascii="Cambria Math" w:hAnsi="Cambria Math"/>
                </w:rPr>
                <m:t>2</m:t>
              </m:r>
              <m:r>
                <w:rPr>
                  <w:rFonts w:ascii="Cambria Math" w:hAnsi="Cambria Math"/>
                </w:rPr>
                <m:t>πh</m:t>
              </m:r>
              <m:sSup>
                <m:sSupPr>
                  <m:ctrlPr>
                    <w:rPr>
                      <w:rFonts w:ascii="Cambria Math" w:eastAsiaTheme="minorHAnsi" w:hAnsi="Cambria Math" w:cstheme="minorBidi"/>
                      <w:color w:val="000000" w:themeColor="text1"/>
                      <w:szCs w:val="22"/>
                      <w:lang w:eastAsia="en-US"/>
                    </w:rPr>
                  </m:ctrlPr>
                </m:sSupPr>
                <m:e>
                  <m:r>
                    <w:rPr>
                      <w:rFonts w:ascii="Cambria Math" w:hAnsi="Cambria Math"/>
                    </w:rPr>
                    <m:t>c</m:t>
                  </m:r>
                </m:e>
                <m:sup>
                  <m:r>
                    <m:rPr>
                      <m:sty m:val="p"/>
                    </m:rPr>
                    <w:rPr>
                      <w:rFonts w:ascii="Cambria Math" w:hAnsi="Cambria Math"/>
                    </w:rPr>
                    <m:t>3</m:t>
                  </m:r>
                </m:sup>
              </m:sSup>
            </m:num>
            <m:den>
              <m:sSup>
                <m:sSupPr>
                  <m:ctrlPr>
                    <w:rPr>
                      <w:rFonts w:ascii="Cambria Math" w:eastAsiaTheme="minorHAnsi" w:hAnsi="Cambria Math" w:cstheme="minorBidi"/>
                      <w:color w:val="000000" w:themeColor="text1"/>
                      <w:szCs w:val="22"/>
                      <w:lang w:eastAsia="en-US"/>
                    </w:rPr>
                  </m:ctrlPr>
                </m:sSupPr>
                <m:e>
                  <m:r>
                    <w:rPr>
                      <w:rFonts w:ascii="Cambria Math" w:hAnsi="Cambria Math"/>
                    </w:rPr>
                    <m:t>μ</m:t>
                  </m:r>
                </m:e>
                <m:sup>
                  <m:r>
                    <m:rPr>
                      <m:sty m:val="p"/>
                    </m:rPr>
                    <w:rPr>
                      <w:rFonts w:ascii="Cambria Math" w:hAnsi="Cambria Math"/>
                    </w:rPr>
                    <m:t>2</m:t>
                  </m:r>
                </m:sup>
              </m:sSup>
            </m:den>
          </m:f>
          <m:f>
            <m:fPr>
              <m:ctrlPr>
                <w:rPr>
                  <w:rFonts w:ascii="Cambria Math" w:eastAsiaTheme="minorHAnsi" w:hAnsi="Cambria Math" w:cstheme="minorBidi"/>
                  <w:color w:val="000000" w:themeColor="text1"/>
                  <w:szCs w:val="22"/>
                  <w:lang w:eastAsia="en-US"/>
                </w:rPr>
              </m:ctrlPr>
            </m:fPr>
            <m:num>
              <m:r>
                <m:rPr>
                  <m:sty m:val="p"/>
                </m:rPr>
                <w:rPr>
                  <w:rFonts w:ascii="Cambria Math" w:hAnsi="Cambria Math"/>
                </w:rPr>
                <m:t>1</m:t>
              </m:r>
            </m:num>
            <m:den>
              <m:sSup>
                <m:sSupPr>
                  <m:ctrlPr>
                    <w:rPr>
                      <w:rFonts w:ascii="Cambria Math" w:eastAsiaTheme="minorHAnsi" w:hAnsi="Cambria Math" w:cstheme="minorBidi"/>
                      <w:color w:val="000000" w:themeColor="text1"/>
                      <w:szCs w:val="22"/>
                      <w:lang w:eastAsia="en-US"/>
                    </w:rPr>
                  </m:ctrlPr>
                </m:sSupPr>
                <m:e>
                  <m:r>
                    <w:rPr>
                      <w:rFonts w:ascii="Cambria Math" w:hAnsi="Cambria Math"/>
                    </w:rPr>
                    <m:t>e</m:t>
                  </m:r>
                </m:e>
                <m:sup>
                  <m:f>
                    <m:fPr>
                      <m:ctrlPr>
                        <w:rPr>
                          <w:rFonts w:ascii="Cambria Math" w:hAnsi="Cambria Math"/>
                        </w:rPr>
                      </m:ctrlPr>
                    </m:fPr>
                    <m:num>
                      <m:r>
                        <w:rPr>
                          <w:rFonts w:ascii="Cambria Math" w:hAnsi="Cambria Math"/>
                        </w:rPr>
                        <m:t>hc</m:t>
                      </m:r>
                    </m:num>
                    <m:den>
                      <m:d>
                        <m:dPr>
                          <m:ctrlPr>
                            <w:rPr>
                              <w:rFonts w:ascii="Cambria Math" w:eastAsiaTheme="minorHAnsi" w:hAnsi="Cambria Math" w:cstheme="minorBidi"/>
                              <w:color w:val="000000" w:themeColor="text1"/>
                              <w:szCs w:val="22"/>
                              <w:lang w:eastAsia="en-US"/>
                            </w:rPr>
                          </m:ctrlPr>
                        </m:dPr>
                        <m:e>
                          <m:r>
                            <w:rPr>
                              <w:rFonts w:ascii="Cambria Math" w:hAnsi="Cambria Math"/>
                            </w:rPr>
                            <m:t>kTμ</m:t>
                          </m:r>
                        </m:e>
                      </m:d>
                    </m:den>
                  </m:f>
                </m:sup>
              </m:sSup>
              <m:r>
                <m:rPr>
                  <m:sty m:val="p"/>
                </m:rPr>
                <w:rPr>
                  <w:rFonts w:ascii="Cambria Math" w:hAnsi="Cambria Math"/>
                </w:rPr>
                <m:t>-1</m:t>
              </m:r>
            </m:den>
          </m:f>
          <m:r>
            <m:rPr>
              <m:sty m:val="p"/>
            </m:rPr>
            <w:rPr>
              <w:rFonts w:ascii="Cambria Math" w:eastAsiaTheme="minorHAnsi" w:hAnsi="Cambria Math" w:cstheme="minorBidi"/>
              <w:color w:val="000000" w:themeColor="text1"/>
              <w:szCs w:val="22"/>
              <w:lang w:eastAsia="en-US"/>
            </w:rPr>
            <m:t>,</m:t>
          </m:r>
        </m:oMath>
      </m:oMathPara>
    </w:p>
    <w:p w:rsidR="00CA4D2C" w:rsidRPr="0050411A" w:rsidRDefault="00CA4D2C" w:rsidP="00CA4D2C">
      <w:pPr>
        <w:pStyle w:val="ab"/>
        <w:rPr>
          <w:lang w:val="en-US"/>
        </w:rPr>
      </w:pPr>
      <w:proofErr w:type="gramStart"/>
      <w:r>
        <w:rPr>
          <w:lang w:val="en-US"/>
        </w:rPr>
        <w:t>where  h</w:t>
      </w:r>
      <w:proofErr w:type="gramEnd"/>
      <w:r>
        <w:rPr>
          <w:lang w:val="en-US"/>
        </w:rPr>
        <w:t xml:space="preserve"> - </w:t>
      </w:r>
      <w:r w:rsidRPr="0050411A">
        <w:rPr>
          <w:lang w:val="en-US"/>
        </w:rPr>
        <w:t>Planck's constant</w:t>
      </w:r>
    </w:p>
    <w:p w:rsidR="00CA4D2C" w:rsidRPr="0050411A" w:rsidRDefault="00CA4D2C" w:rsidP="00CA4D2C">
      <w:pPr>
        <w:pStyle w:val="afe"/>
        <w:rPr>
          <w:lang w:val="en-US"/>
        </w:rPr>
      </w:pPr>
      <w:r>
        <w:t>с</w:t>
      </w:r>
      <w:r>
        <w:rPr>
          <w:lang w:val="en-US"/>
        </w:rPr>
        <w:t xml:space="preserve"> </w:t>
      </w:r>
      <w:r w:rsidRPr="0050411A">
        <w:rPr>
          <w:lang w:val="en-US"/>
        </w:rPr>
        <w:t>-</w:t>
      </w:r>
      <w:r>
        <w:rPr>
          <w:lang w:val="en-US"/>
        </w:rPr>
        <w:t xml:space="preserve"> </w:t>
      </w:r>
      <w:r w:rsidRPr="0050411A">
        <w:rPr>
          <w:lang w:val="en-US"/>
        </w:rPr>
        <w:t>the speed of light in a vacuum</w:t>
      </w:r>
    </w:p>
    <w:p w:rsidR="00CA4D2C" w:rsidRPr="0050411A" w:rsidRDefault="00CA4D2C" w:rsidP="00CA4D2C">
      <w:pPr>
        <w:pStyle w:val="afe"/>
        <w:rPr>
          <w:lang w:val="en-US"/>
        </w:rPr>
      </w:pPr>
      <w:r>
        <w:rPr>
          <w:lang w:val="en-US"/>
        </w:rPr>
        <w:t xml:space="preserve">k - </w:t>
      </w:r>
      <w:r w:rsidRPr="00CA4D2C">
        <w:rPr>
          <w:bCs/>
          <w:lang w:val="en-US"/>
        </w:rPr>
        <w:t>Boltzmann</w:t>
      </w:r>
      <w:r w:rsidRPr="00CA4D2C">
        <w:rPr>
          <w:lang w:val="en-US"/>
        </w:rPr>
        <w:t xml:space="preserve"> constant</w:t>
      </w:r>
    </w:p>
    <w:p w:rsidR="00CA4D2C" w:rsidRDefault="00CA4D2C" w:rsidP="00E177E6">
      <w:pPr>
        <w:rPr>
          <w:lang w:val="en-US"/>
        </w:rPr>
      </w:pPr>
      <w:r w:rsidRPr="0050411A">
        <w:rPr>
          <w:lang w:val="en-US"/>
        </w:rPr>
        <w:t xml:space="preserve"> </w:t>
      </w:r>
      <w:r w:rsidRPr="00352B47">
        <w:rPr>
          <w:lang w:val="en-US"/>
        </w:rPr>
        <w:t>The increase in UAS-related publications at these conferences is clear, yet not exclusive</w:t>
      </w:r>
      <w:r w:rsidR="009E2A80">
        <w:rPr>
          <w:lang w:val="en-US"/>
        </w:rPr>
        <w:t xml:space="preserve"> </w:t>
      </w:r>
      <w:fldSimple w:instr=" REF _Ref163719107 \h  \* MERGEFORMAT ">
        <w:r w:rsidR="009E2A80">
          <w:rPr>
            <w:noProof/>
            <w:lang w:val="en-US"/>
          </w:rPr>
          <w:t>Figure</w:t>
        </w:r>
        <w:r w:rsidR="009E2A80" w:rsidRPr="009E2A80">
          <w:rPr>
            <w:noProof/>
            <w:lang w:val="en-US"/>
          </w:rPr>
          <w:t xml:space="preserve"> 2</w:t>
        </w:r>
      </w:fldSimple>
      <w:r w:rsidRPr="00352B47">
        <w:rPr>
          <w:lang w:val="en-US"/>
        </w:rPr>
        <w:t xml:space="preserve">. The IEEE </w:t>
      </w:r>
      <w:proofErr w:type="spellStart"/>
      <w:r w:rsidRPr="00352B47">
        <w:rPr>
          <w:lang w:val="en-US"/>
        </w:rPr>
        <w:t>Geoscience</w:t>
      </w:r>
      <w:proofErr w:type="spellEnd"/>
      <w:r w:rsidRPr="00352B47">
        <w:rPr>
          <w:lang w:val="en-US"/>
        </w:rPr>
        <w:t xml:space="preserve"> and Remote Sensing Society (IGARSS) </w:t>
      </w:r>
      <w:proofErr w:type="gramStart"/>
      <w:r w:rsidRPr="00352B47">
        <w:rPr>
          <w:lang w:val="en-US"/>
        </w:rPr>
        <w:t>has</w:t>
      </w:r>
      <w:proofErr w:type="gramEnd"/>
      <w:r w:rsidRPr="00352B47">
        <w:rPr>
          <w:lang w:val="en-US"/>
        </w:rPr>
        <w:t xml:space="preserve"> featured UAS-related papers at its annual symposiums since 2005. UAS-related papers have also been presented at the American Society for </w:t>
      </w:r>
      <w:proofErr w:type="spellStart"/>
      <w:r w:rsidRPr="00352B47">
        <w:rPr>
          <w:lang w:val="en-US"/>
        </w:rPr>
        <w:t>Photogrammetry</w:t>
      </w:r>
      <w:proofErr w:type="spellEnd"/>
      <w:r w:rsidRPr="00352B47">
        <w:rPr>
          <w:lang w:val="en-US"/>
        </w:rPr>
        <w:t xml:space="preserve"> and Remote Sensing (ASPRS) congresses, from 2005 in Baltimore up to present editions. Furthermore, the Multidisciplinary Digital Publishing Institute (MDPI) Open Access Journal of Remote Sensing published a special issue called ‘‘Unmanned Aerial Vehicles (UAVs) based Remote Sensing,’’ closed in June 2012, with around 12 </w:t>
      </w:r>
      <w:proofErr w:type="spellStart"/>
      <w:r w:rsidRPr="00352B47">
        <w:rPr>
          <w:lang w:val="en-US"/>
        </w:rPr>
        <w:t>peerreviewed</w:t>
      </w:r>
      <w:proofErr w:type="spellEnd"/>
      <w:r w:rsidRPr="00352B47">
        <w:rPr>
          <w:lang w:val="en-US"/>
        </w:rPr>
        <w:t xml:space="preserve"> papers. The </w:t>
      </w:r>
      <w:proofErr w:type="gramStart"/>
      <w:r w:rsidRPr="00352B47">
        <w:rPr>
          <w:lang w:val="en-US"/>
        </w:rPr>
        <w:t xml:space="preserve">IEEE </w:t>
      </w:r>
      <w:r w:rsidR="009E2A80">
        <w:rPr>
          <w:lang w:val="en-US"/>
        </w:rPr>
        <w:t xml:space="preserve"> </w:t>
      </w:r>
      <w:r w:rsidRPr="00352B47">
        <w:rPr>
          <w:lang w:val="en-US"/>
        </w:rPr>
        <w:t>Transactions</w:t>
      </w:r>
      <w:proofErr w:type="gramEnd"/>
      <w:r w:rsidRPr="00352B47">
        <w:rPr>
          <w:lang w:val="en-US"/>
        </w:rPr>
        <w:t xml:space="preserve"> on </w:t>
      </w:r>
      <w:proofErr w:type="spellStart"/>
      <w:r w:rsidRPr="00352B47">
        <w:rPr>
          <w:lang w:val="en-US"/>
        </w:rPr>
        <w:t>Geoscience</w:t>
      </w:r>
      <w:proofErr w:type="spellEnd"/>
      <w:r w:rsidRPr="00352B47">
        <w:rPr>
          <w:lang w:val="en-US"/>
        </w:rPr>
        <w:t xml:space="preserve"> and Remote Sensing journal also compiled seven papers on the use of UAS for Earth observation, published on 2009, and has been publishing UAS-related papers since 2007. The ‘‘</w:t>
      </w:r>
      <w:proofErr w:type="spellStart"/>
      <w:r w:rsidRPr="00352B47">
        <w:rPr>
          <w:lang w:val="en-US"/>
        </w:rPr>
        <w:t>Photogrammetrie</w:t>
      </w:r>
      <w:proofErr w:type="spellEnd"/>
      <w:r w:rsidRPr="00352B47">
        <w:rPr>
          <w:lang w:val="en-US"/>
        </w:rPr>
        <w:t xml:space="preserve">, </w:t>
      </w:r>
      <w:proofErr w:type="spellStart"/>
      <w:r w:rsidRPr="00352B47">
        <w:rPr>
          <w:lang w:val="en-US"/>
        </w:rPr>
        <w:t>Fernerkundung</w:t>
      </w:r>
      <w:proofErr w:type="spellEnd"/>
      <w:r w:rsidRPr="00352B47">
        <w:rPr>
          <w:lang w:val="en-US"/>
        </w:rPr>
        <w:t xml:space="preserve"> und </w:t>
      </w:r>
      <w:proofErr w:type="spellStart"/>
      <w:r w:rsidRPr="00352B47">
        <w:rPr>
          <w:lang w:val="en-US"/>
        </w:rPr>
        <w:t>Geoinformation</w:t>
      </w:r>
      <w:proofErr w:type="spellEnd"/>
      <w:r w:rsidRPr="00352B47">
        <w:rPr>
          <w:lang w:val="en-US"/>
        </w:rPr>
        <w:t xml:space="preserve">’’ (PFG) journal has featured five papers since 2007, with three in 2012. </w:t>
      </w:r>
    </w:p>
    <w:p w:rsidR="00CA4D2C" w:rsidRPr="00F86400" w:rsidRDefault="00CA4D2C" w:rsidP="00CA4D2C">
      <w:pPr>
        <w:pStyle w:val="af0"/>
      </w:pPr>
      <w:r w:rsidRPr="00F86400">
        <w:drawing>
          <wp:inline distT="0" distB="0" distL="0" distR="0">
            <wp:extent cx="5219700" cy="3252733"/>
            <wp:effectExtent l="1905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19700" cy="3252733"/>
                    </a:xfrm>
                    <a:prstGeom prst="rect">
                      <a:avLst/>
                    </a:prstGeom>
                  </pic:spPr>
                </pic:pic>
              </a:graphicData>
            </a:graphic>
          </wp:inline>
        </w:drawing>
      </w:r>
    </w:p>
    <w:p w:rsidR="009E2A80" w:rsidRPr="009E2A80" w:rsidRDefault="009E2A80" w:rsidP="009E2A80">
      <w:pPr>
        <w:pStyle w:val="-0"/>
        <w:rPr>
          <w:lang w:val="en-US"/>
        </w:rPr>
      </w:pPr>
      <w:bookmarkStart w:id="7" w:name="_Ref163719107"/>
      <w:r>
        <w:rPr>
          <w:noProof/>
          <w:lang w:val="en-US"/>
        </w:rPr>
        <w:t>Figure</w:t>
      </w:r>
      <w:r w:rsidRPr="009E2A80">
        <w:rPr>
          <w:noProof/>
          <w:lang w:val="en-US"/>
        </w:rPr>
        <w:t xml:space="preserve"> </w:t>
      </w:r>
      <w:r>
        <w:rPr>
          <w:noProof/>
        </w:rPr>
        <w:fldChar w:fldCharType="begin"/>
      </w:r>
      <w:r w:rsidRPr="009E2A80">
        <w:rPr>
          <w:noProof/>
          <w:lang w:val="en-US"/>
        </w:rPr>
        <w:instrText xml:space="preserve"> SEQ </w:instrText>
      </w:r>
      <w:r>
        <w:rPr>
          <w:noProof/>
        </w:rPr>
        <w:instrText>Рисунок</w:instrText>
      </w:r>
      <w:r w:rsidRPr="009E2A80">
        <w:rPr>
          <w:noProof/>
          <w:lang w:val="en-US"/>
        </w:rPr>
        <w:instrText xml:space="preserve"> \* ARABIC </w:instrText>
      </w:r>
      <w:r>
        <w:rPr>
          <w:noProof/>
        </w:rPr>
        <w:fldChar w:fldCharType="separate"/>
      </w:r>
      <w:r w:rsidRPr="009E2A80">
        <w:rPr>
          <w:noProof/>
          <w:lang w:val="en-US"/>
        </w:rPr>
        <w:t>2</w:t>
      </w:r>
      <w:r>
        <w:rPr>
          <w:noProof/>
        </w:rPr>
        <w:fldChar w:fldCharType="end"/>
      </w:r>
      <w:bookmarkEnd w:id="7"/>
      <w:r w:rsidRPr="009E2A80">
        <w:rPr>
          <w:noProof/>
          <w:lang w:val="en-US"/>
        </w:rPr>
        <w:t> – </w:t>
      </w:r>
      <w:r>
        <w:rPr>
          <w:noProof/>
          <w:lang w:val="en-US"/>
        </w:rPr>
        <w:t>Rationale</w:t>
      </w:r>
    </w:p>
    <w:p w:rsidR="00CA4D2C" w:rsidRDefault="00CA4D2C" w:rsidP="00E177E6">
      <w:pPr>
        <w:rPr>
          <w:lang w:val="en-US"/>
        </w:rPr>
      </w:pPr>
      <w:r w:rsidRPr="00352B47">
        <w:rPr>
          <w:lang w:val="en-US"/>
        </w:rPr>
        <w:t xml:space="preserve">A complete quantification of the UAS impact on current scientific disciplines should include a report on the number of papers in the conferences and journals of robotics and </w:t>
      </w:r>
      <w:r w:rsidRPr="00352B47">
        <w:rPr>
          <w:lang w:val="en-US"/>
        </w:rPr>
        <w:lastRenderedPageBreak/>
        <w:t xml:space="preserve">computer vision, like those sponsored by the IEEE Robotics and Automation Society (IEEE RAS) and the computer vision community respectively. These two disciplines have empowered UAS technologies and have come into the </w:t>
      </w:r>
      <w:proofErr w:type="spellStart"/>
      <w:r w:rsidRPr="00352B47">
        <w:rPr>
          <w:lang w:val="en-US"/>
        </w:rPr>
        <w:t>PaRS</w:t>
      </w:r>
      <w:proofErr w:type="spellEnd"/>
      <w:r w:rsidRPr="00352B47">
        <w:rPr>
          <w:lang w:val="en-US"/>
        </w:rPr>
        <w:t xml:space="preserve"> field with their own developments and ideas. The IEEE RAS </w:t>
      </w:r>
      <w:proofErr w:type="spellStart"/>
      <w:r w:rsidRPr="00352B47">
        <w:rPr>
          <w:lang w:val="en-US"/>
        </w:rPr>
        <w:t>organises</w:t>
      </w:r>
      <w:proofErr w:type="spellEnd"/>
      <w:r w:rsidRPr="00352B47">
        <w:rPr>
          <w:lang w:val="en-US"/>
        </w:rPr>
        <w:t xml:space="preserve"> and/or sponsors many UAS conferences.</w:t>
      </w:r>
    </w:p>
    <w:p w:rsidR="00CA4D2C" w:rsidRDefault="00CA4D2C" w:rsidP="00E177E6">
      <w:pPr>
        <w:pStyle w:val="a0"/>
      </w:pPr>
      <w:r w:rsidRPr="00EE03A5">
        <w:t xml:space="preserve">Integrate 3D survey techniques and advanced parametric </w:t>
      </w:r>
      <w:proofErr w:type="spellStart"/>
      <w:r w:rsidRPr="00EE03A5">
        <w:t>modelling</w:t>
      </w:r>
      <w:proofErr w:type="spellEnd"/>
      <w:r w:rsidRPr="00EE03A5">
        <w:t xml:space="preserve">, providing a real starting point for the creation of as-built BIMs with different </w:t>
      </w:r>
      <w:proofErr w:type="spellStart"/>
      <w:r w:rsidRPr="00EE03A5">
        <w:t>LoDs</w:t>
      </w:r>
      <w:proofErr w:type="spellEnd"/>
      <w:r w:rsidRPr="00EE03A5">
        <w:t xml:space="preserve">. </w:t>
      </w:r>
    </w:p>
    <w:p w:rsidR="00CA4D2C" w:rsidRDefault="00CA4D2C" w:rsidP="00E177E6">
      <w:pPr>
        <w:pStyle w:val="a0"/>
      </w:pPr>
      <w:r w:rsidRPr="00EE03A5">
        <w:t xml:space="preserve">Argue the usefulness of a methodological advanced </w:t>
      </w:r>
      <w:proofErr w:type="spellStart"/>
      <w:r w:rsidRPr="00EE03A5">
        <w:t>modelling</w:t>
      </w:r>
      <w:proofErr w:type="spellEnd"/>
      <w:r w:rsidRPr="00EE03A5">
        <w:t xml:space="preserve"> approach that automates the generative process of HBIM </w:t>
      </w:r>
      <w:proofErr w:type="spellStart"/>
      <w:r w:rsidRPr="00EE03A5">
        <w:t>favouring</w:t>
      </w:r>
      <w:proofErr w:type="spellEnd"/>
      <w:r w:rsidRPr="00EE03A5">
        <w:t xml:space="preserve"> the control, management and transmissibility of the information collected during the building’s life cycle. </w:t>
      </w:r>
    </w:p>
    <w:p w:rsidR="00CA4D2C" w:rsidRDefault="00CA4D2C" w:rsidP="00E177E6">
      <w:pPr>
        <w:pStyle w:val="a0"/>
      </w:pPr>
      <w:r w:rsidRPr="00EE03A5">
        <w:t xml:space="preserve">Show how BIM can support the process of designing, building, restructuring, maintenance and analyses, through three case studies aimed at different </w:t>
      </w:r>
      <w:proofErr w:type="spellStart"/>
      <w:r w:rsidRPr="00EE03A5">
        <w:t>ReversLoDs</w:t>
      </w:r>
      <w:proofErr w:type="spellEnd"/>
      <w:r w:rsidRPr="00EE03A5">
        <w:t xml:space="preserve"> approach for historic buildings. </w:t>
      </w:r>
    </w:p>
    <w:p w:rsidR="00CA4D2C" w:rsidRPr="00EE03A5" w:rsidRDefault="00CA4D2C" w:rsidP="00E177E6">
      <w:pPr>
        <w:pStyle w:val="a0"/>
      </w:pPr>
      <w:r w:rsidRPr="00EE03A5">
        <w:t xml:space="preserve">To discuss, </w:t>
      </w:r>
      <w:proofErr w:type="spellStart"/>
      <w:r w:rsidRPr="00EE03A5">
        <w:t>analyse</w:t>
      </w:r>
      <w:proofErr w:type="spellEnd"/>
      <w:r w:rsidRPr="00EE03A5">
        <w:t>, identify gaps in the work carried out, and propose possible future research lines.</w:t>
      </w:r>
    </w:p>
    <w:p w:rsidR="00CA4D2C" w:rsidRDefault="00CA4D2C" w:rsidP="00CA4D2C">
      <w:pPr>
        <w:ind w:firstLine="708"/>
        <w:rPr>
          <w:lang w:val="en-US"/>
        </w:rPr>
      </w:pPr>
      <w:r w:rsidRPr="00352B47">
        <w:rPr>
          <w:lang w:val="en-US"/>
        </w:rPr>
        <w:t xml:space="preserve"> Among them, three ones deserve explicit mention: the IEEE International Conference on Robotics and Automation (ICRAS), the IEEE International Conference on Automation Science and Engineering (CASE) and the IEEE/Robotics Society of Japan (RSJ) International Conference on Intelligent Robots and Systems (IROS). As for IEEE journals, UAS technology can be found in the IEEE Transactions on Automation Science and Engineering (IEEE TASE), IEEE Transactions on Robotics (IEEE TR) and the IEEE Robotics and Automation Magazine (IEEE RAM). Far from being overlooked, its statistics are omitted here as the focus of the paper is </w:t>
      </w:r>
      <w:proofErr w:type="spellStart"/>
      <w:r w:rsidRPr="00352B47">
        <w:rPr>
          <w:lang w:val="en-US"/>
        </w:rPr>
        <w:t>PaRS</w:t>
      </w:r>
      <w:proofErr w:type="spellEnd"/>
      <w:r w:rsidRPr="00352B47">
        <w:rPr>
          <w:lang w:val="en-US"/>
        </w:rPr>
        <w:t xml:space="preserve">. </w:t>
      </w:r>
    </w:p>
    <w:p w:rsidR="00CA4D2C" w:rsidRPr="00CA4D2C" w:rsidRDefault="00CA4D2C" w:rsidP="00CA4D2C">
      <w:pPr>
        <w:pStyle w:val="2"/>
      </w:pPr>
      <w:r w:rsidRPr="00CA4D2C">
        <w:t xml:space="preserve"> </w:t>
      </w:r>
      <w:bookmarkStart w:id="8" w:name="_Toc163718138"/>
      <w:proofErr w:type="spellStart"/>
      <w:r w:rsidRPr="00CA4D2C">
        <w:t>Organization</w:t>
      </w:r>
      <w:proofErr w:type="spellEnd"/>
      <w:r w:rsidRPr="00CA4D2C">
        <w:t xml:space="preserve"> </w:t>
      </w:r>
      <w:proofErr w:type="spellStart"/>
      <w:r w:rsidRPr="00CA4D2C">
        <w:t>of</w:t>
      </w:r>
      <w:proofErr w:type="spellEnd"/>
      <w:r w:rsidRPr="00CA4D2C">
        <w:t xml:space="preserve"> </w:t>
      </w:r>
      <w:proofErr w:type="spellStart"/>
      <w:r w:rsidRPr="00CA4D2C">
        <w:t>the</w:t>
      </w:r>
      <w:proofErr w:type="spellEnd"/>
      <w:r w:rsidRPr="00CA4D2C">
        <w:t xml:space="preserve"> </w:t>
      </w:r>
      <w:proofErr w:type="spellStart"/>
      <w:r w:rsidRPr="00CA4D2C">
        <w:t>article</w:t>
      </w:r>
      <w:bookmarkEnd w:id="8"/>
      <w:proofErr w:type="spellEnd"/>
    </w:p>
    <w:p w:rsidR="00CA4D2C" w:rsidRDefault="00CA4D2C" w:rsidP="00CA4D2C">
      <w:pPr>
        <w:rPr>
          <w:lang w:val="en-US"/>
        </w:rPr>
      </w:pPr>
      <w:r w:rsidRPr="00352B47">
        <w:rPr>
          <w:lang w:val="en-US"/>
        </w:rPr>
        <w:t xml:space="preserve"> After providing an outline of how interest in UAS for </w:t>
      </w:r>
      <w:proofErr w:type="spellStart"/>
      <w:r w:rsidRPr="00352B47">
        <w:rPr>
          <w:lang w:val="en-US"/>
        </w:rPr>
        <w:t>PaRS</w:t>
      </w:r>
      <w:proofErr w:type="spellEnd"/>
      <w:r w:rsidRPr="00352B47">
        <w:rPr>
          <w:lang w:val="en-US"/>
        </w:rPr>
        <w:t xml:space="preserve"> has evolved, we introduce some history of the use of UAS in </w:t>
      </w:r>
      <w:proofErr w:type="spellStart"/>
      <w:r w:rsidRPr="00352B47">
        <w:rPr>
          <w:lang w:val="en-US"/>
        </w:rPr>
        <w:t>PaRS</w:t>
      </w:r>
      <w:proofErr w:type="spellEnd"/>
      <w:r w:rsidRPr="00352B47">
        <w:rPr>
          <w:lang w:val="en-US"/>
        </w:rPr>
        <w:t xml:space="preserve"> (Section2), to later provide an overview of the current status of the main UAS technologies and regulations (Sections 3 and 4). In Section5we review the navigation, orientation and remote sensing payloads and in Section 6we address UAS-sourced data post-processing. We conclude the article with a review of UAS </w:t>
      </w:r>
      <w:proofErr w:type="spellStart"/>
      <w:r w:rsidRPr="00352B47">
        <w:rPr>
          <w:lang w:val="en-US"/>
        </w:rPr>
        <w:t>geomatic</w:t>
      </w:r>
      <w:proofErr w:type="spellEnd"/>
      <w:r w:rsidRPr="00352B47">
        <w:rPr>
          <w:lang w:val="en-US"/>
        </w:rPr>
        <w:t xml:space="preserve"> applications and markets.</w:t>
      </w:r>
    </w:p>
    <w:p w:rsidR="00CA4D2C" w:rsidRPr="00756630" w:rsidRDefault="00CA4D2C" w:rsidP="00E177E6">
      <w:pPr>
        <w:pStyle w:val="a"/>
      </w:pPr>
      <w:r w:rsidRPr="00756630">
        <w:t xml:space="preserve">Visualization. Models are created for visualization purposes, such as visualization and (design review (based on appearance). </w:t>
      </w:r>
    </w:p>
    <w:p w:rsidR="00CA4D2C" w:rsidRPr="00756630" w:rsidRDefault="00CA4D2C" w:rsidP="00E177E6">
      <w:pPr>
        <w:pStyle w:val="a"/>
      </w:pPr>
      <w:r w:rsidRPr="00756630">
        <w:t xml:space="preserve">Documentation. Models are used for documentation with accuracy, like quantity takeoff, etc. </w:t>
      </w:r>
    </w:p>
    <w:p w:rsidR="00CA4D2C" w:rsidRPr="00756630" w:rsidRDefault="00CA4D2C" w:rsidP="00E177E6">
      <w:pPr>
        <w:pStyle w:val="a"/>
      </w:pPr>
      <w:r w:rsidRPr="00756630">
        <w:lastRenderedPageBreak/>
        <w:t xml:space="preserve">Model-based analysis. Models are created for a single-disciplinary analysis, such as (sunlight analysis, traffic flow analysis, cost estimation, etc. </w:t>
      </w:r>
    </w:p>
    <w:p w:rsidR="00CA4D2C" w:rsidRPr="00756630" w:rsidRDefault="00CA4D2C" w:rsidP="00E177E6">
      <w:pPr>
        <w:pStyle w:val="a"/>
      </w:pPr>
      <w:r w:rsidRPr="00756630">
        <w:t xml:space="preserve">Integrated analysis. Cross-disciplinary collaboration is needed for analysis based on the models created, like clash detection (among different disciplines), etc. </w:t>
      </w:r>
    </w:p>
    <w:p w:rsidR="00BF3639" w:rsidRPr="00E177E6" w:rsidRDefault="00CA4D2C" w:rsidP="00E177E6">
      <w:pPr>
        <w:pStyle w:val="a"/>
      </w:pPr>
      <w:r w:rsidRPr="00756630">
        <w:t>Automation and optimization. Routine analyses or fabrication are automated.</w:t>
      </w:r>
    </w:p>
    <w:sectPr w:rsidR="00BF3639" w:rsidRPr="00E177E6" w:rsidSect="002A267C">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DB7" w:rsidRDefault="00731DB7" w:rsidP="00CE1201">
      <w:r>
        <w:separator/>
      </w:r>
    </w:p>
  </w:endnote>
  <w:endnote w:type="continuationSeparator" w:id="0">
    <w:p w:rsidR="00731DB7" w:rsidRDefault="00731DB7" w:rsidP="00CE12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1892436"/>
      <w:docPartObj>
        <w:docPartGallery w:val="Page Numbers (Bottom of Page)"/>
        <w:docPartUnique/>
      </w:docPartObj>
    </w:sdtPr>
    <w:sdtContent>
      <w:p w:rsidR="002D5057" w:rsidRDefault="006C77D3">
        <w:pPr>
          <w:pStyle w:val="afc"/>
          <w:jc w:val="center"/>
        </w:pPr>
        <w:r>
          <w:fldChar w:fldCharType="begin"/>
        </w:r>
        <w:r w:rsidR="002D5057">
          <w:instrText>PAGE   \* MERGEFORMAT</w:instrText>
        </w:r>
        <w:r>
          <w:fldChar w:fldCharType="separate"/>
        </w:r>
        <w:r w:rsidR="00D816C3">
          <w:rPr>
            <w:noProof/>
          </w:rPr>
          <w:t>4</w:t>
        </w:r>
        <w:r>
          <w:fldChar w:fldCharType="end"/>
        </w:r>
      </w:p>
    </w:sdtContent>
  </w:sdt>
  <w:p w:rsidR="002D5057" w:rsidRDefault="002D5057">
    <w:pPr>
      <w:pStyle w:val="af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963527"/>
      <w:docPartObj>
        <w:docPartGallery w:val="Page Numbers (Bottom of Page)"/>
        <w:docPartUnique/>
      </w:docPartObj>
    </w:sdtPr>
    <w:sdtContent>
      <w:p w:rsidR="002D5057" w:rsidRDefault="006C77D3">
        <w:pPr>
          <w:pStyle w:val="afc"/>
          <w:jc w:val="center"/>
        </w:pPr>
      </w:p>
    </w:sdtContent>
  </w:sdt>
  <w:p w:rsidR="002D5057" w:rsidRDefault="002D5057">
    <w:pPr>
      <w:pStyle w:val="af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DB7" w:rsidRDefault="00731DB7" w:rsidP="00CE1201">
      <w:r>
        <w:separator/>
      </w:r>
    </w:p>
  </w:footnote>
  <w:footnote w:type="continuationSeparator" w:id="0">
    <w:p w:rsidR="00731DB7" w:rsidRDefault="00731DB7" w:rsidP="00CE12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399F"/>
    <w:multiLevelType w:val="hybridMultilevel"/>
    <w:tmpl w:val="E15AD200"/>
    <w:lvl w:ilvl="0" w:tplc="8102BF6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0E83BF6"/>
    <w:multiLevelType w:val="hybridMultilevel"/>
    <w:tmpl w:val="0A1671BC"/>
    <w:lvl w:ilvl="0" w:tplc="1F32419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4">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3D97CCA"/>
    <w:multiLevelType w:val="hybridMultilevel"/>
    <w:tmpl w:val="34E4607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4">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6"/>
  </w:num>
  <w:num w:numId="2">
    <w:abstractNumId w:val="4"/>
  </w:num>
  <w:num w:numId="3">
    <w:abstractNumId w:val="5"/>
  </w:num>
  <w:num w:numId="4">
    <w:abstractNumId w:val="7"/>
  </w:num>
  <w:num w:numId="5">
    <w:abstractNumId w:val="13"/>
  </w:num>
  <w:num w:numId="6">
    <w:abstractNumId w:val="12"/>
  </w:num>
  <w:num w:numId="7">
    <w:abstractNumId w:val="14"/>
  </w:num>
  <w:num w:numId="8">
    <w:abstractNumId w:val="3"/>
  </w:num>
  <w:num w:numId="9">
    <w:abstractNumId w:val="9"/>
  </w:num>
  <w:num w:numId="10">
    <w:abstractNumId w:val="10"/>
  </w:num>
  <w:num w:numId="11">
    <w:abstractNumId w:val="10"/>
  </w:num>
  <w:num w:numId="12">
    <w:abstractNumId w:val="8"/>
  </w:num>
  <w:num w:numId="13">
    <w:abstractNumId w:val="1"/>
  </w:num>
  <w:num w:numId="14">
    <w:abstractNumId w:val="1"/>
    <w:lvlOverride w:ilvl="0">
      <w:startOverride w:val="1"/>
    </w:lvlOverride>
  </w:num>
  <w:num w:numId="15">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5"/>
  </w:num>
  <w:num w:numId="19">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1"/>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1"/>
  </w:num>
  <w:num w:numId="23">
    <w:abstractNumId w:val="0"/>
  </w:num>
  <w:num w:numId="24">
    <w:abstractNumId w:val="2"/>
  </w:num>
  <w:num w:numId="25">
    <w:abstractNumId w:val="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stylePaneFormatFilter w:val="1021"/>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E4A90"/>
    <w:rsid w:val="000E59B0"/>
    <w:rsid w:val="00103D07"/>
    <w:rsid w:val="00107ED6"/>
    <w:rsid w:val="00114E2E"/>
    <w:rsid w:val="00150EBD"/>
    <w:rsid w:val="00162877"/>
    <w:rsid w:val="001B33F9"/>
    <w:rsid w:val="001F638D"/>
    <w:rsid w:val="001F6B38"/>
    <w:rsid w:val="00204989"/>
    <w:rsid w:val="0022642D"/>
    <w:rsid w:val="00241D6A"/>
    <w:rsid w:val="0027253E"/>
    <w:rsid w:val="002725F2"/>
    <w:rsid w:val="002900AA"/>
    <w:rsid w:val="00295B35"/>
    <w:rsid w:val="002A267C"/>
    <w:rsid w:val="002D5057"/>
    <w:rsid w:val="002F1E24"/>
    <w:rsid w:val="002F63BF"/>
    <w:rsid w:val="00305747"/>
    <w:rsid w:val="00324425"/>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3867"/>
    <w:rsid w:val="00506AA0"/>
    <w:rsid w:val="00521C5D"/>
    <w:rsid w:val="00522630"/>
    <w:rsid w:val="005250B9"/>
    <w:rsid w:val="00543E51"/>
    <w:rsid w:val="00544C99"/>
    <w:rsid w:val="005507AF"/>
    <w:rsid w:val="00550CD3"/>
    <w:rsid w:val="00564C3C"/>
    <w:rsid w:val="00581DA4"/>
    <w:rsid w:val="005A2849"/>
    <w:rsid w:val="005A3866"/>
    <w:rsid w:val="005B22D0"/>
    <w:rsid w:val="005B7E57"/>
    <w:rsid w:val="005F364D"/>
    <w:rsid w:val="005F56D4"/>
    <w:rsid w:val="00640C56"/>
    <w:rsid w:val="0064694D"/>
    <w:rsid w:val="00655455"/>
    <w:rsid w:val="00660B1D"/>
    <w:rsid w:val="006655C0"/>
    <w:rsid w:val="006701E3"/>
    <w:rsid w:val="006B5A3B"/>
    <w:rsid w:val="006C77D3"/>
    <w:rsid w:val="006D1868"/>
    <w:rsid w:val="006D24B8"/>
    <w:rsid w:val="006E1A7C"/>
    <w:rsid w:val="006E1DFC"/>
    <w:rsid w:val="006F3662"/>
    <w:rsid w:val="006F5CF2"/>
    <w:rsid w:val="006F7AF9"/>
    <w:rsid w:val="007064D8"/>
    <w:rsid w:val="00731DB7"/>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50BAB"/>
    <w:rsid w:val="0086725F"/>
    <w:rsid w:val="008A55C3"/>
    <w:rsid w:val="008B3F6B"/>
    <w:rsid w:val="008C2841"/>
    <w:rsid w:val="00900E44"/>
    <w:rsid w:val="00913393"/>
    <w:rsid w:val="00927085"/>
    <w:rsid w:val="00927D24"/>
    <w:rsid w:val="0094143C"/>
    <w:rsid w:val="00942FCB"/>
    <w:rsid w:val="00944AB4"/>
    <w:rsid w:val="00947C12"/>
    <w:rsid w:val="00967CB7"/>
    <w:rsid w:val="009767BB"/>
    <w:rsid w:val="00990BB6"/>
    <w:rsid w:val="00992115"/>
    <w:rsid w:val="00993A0D"/>
    <w:rsid w:val="009D0887"/>
    <w:rsid w:val="009D35F1"/>
    <w:rsid w:val="009E2A80"/>
    <w:rsid w:val="00A02407"/>
    <w:rsid w:val="00A121C5"/>
    <w:rsid w:val="00A44FCA"/>
    <w:rsid w:val="00A65A8E"/>
    <w:rsid w:val="00A86F3F"/>
    <w:rsid w:val="00A929FA"/>
    <w:rsid w:val="00A95B69"/>
    <w:rsid w:val="00AA124B"/>
    <w:rsid w:val="00AB563E"/>
    <w:rsid w:val="00AC7F0A"/>
    <w:rsid w:val="00AD0812"/>
    <w:rsid w:val="00AD33C5"/>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4D2C"/>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16C3"/>
    <w:rsid w:val="00D822C6"/>
    <w:rsid w:val="00D9279F"/>
    <w:rsid w:val="00D937A0"/>
    <w:rsid w:val="00DA1528"/>
    <w:rsid w:val="00DA43F6"/>
    <w:rsid w:val="00DB1570"/>
    <w:rsid w:val="00DD7AF0"/>
    <w:rsid w:val="00E177E6"/>
    <w:rsid w:val="00E222BA"/>
    <w:rsid w:val="00E22CD2"/>
    <w:rsid w:val="00E2710E"/>
    <w:rsid w:val="00E30CE6"/>
    <w:rsid w:val="00E32A80"/>
    <w:rsid w:val="00E4410E"/>
    <w:rsid w:val="00E50333"/>
    <w:rsid w:val="00EA76F5"/>
    <w:rsid w:val="00EF050E"/>
    <w:rsid w:val="00EF439B"/>
    <w:rsid w:val="00F01044"/>
    <w:rsid w:val="00F12337"/>
    <w:rsid w:val="00F16106"/>
    <w:rsid w:val="00F168D9"/>
    <w:rsid w:val="00F43A84"/>
    <w:rsid w:val="00F54DD9"/>
    <w:rsid w:val="00F668C6"/>
    <w:rsid w:val="00F82014"/>
    <w:rsid w:val="00F82D30"/>
    <w:rsid w:val="00FB0217"/>
    <w:rsid w:val="00FD38A9"/>
    <w:rsid w:val="00FF43CA"/>
    <w:rsid w:val="00FF4614"/>
    <w:rsid w:val="00FF57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34"/>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table" w:customStyle="1" w:styleId="PlainTable1">
    <w:name w:val="Plain Table 1"/>
    <w:basedOn w:val="a5"/>
    <w:uiPriority w:val="41"/>
    <w:rsid w:val="00CA4D2C"/>
    <w:rPr>
      <w:rFonts w:asciiTheme="minorHAnsi" w:eastAsiaTheme="minorHAnsi" w:hAnsiTheme="minorHAnsi" w:cstheme="minorBidi"/>
      <w:sz w:val="22"/>
      <w:szCs w:val="22"/>
      <w:lang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733CA1"/>
    <w:rsid w:val="00733CA1"/>
    <w:rsid w:val="00C9482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33CA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B654F-8962-4C63-AC03-F95DB5D6B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1</TotalTime>
  <Pages>6</Pages>
  <Words>1248</Words>
  <Characters>7118</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student</cp:lastModifiedBy>
  <cp:revision>2</cp:revision>
  <cp:lastPrinted>2016-08-31T12:08:00Z</cp:lastPrinted>
  <dcterms:created xsi:type="dcterms:W3CDTF">2024-04-11T05:26:00Z</dcterms:created>
  <dcterms:modified xsi:type="dcterms:W3CDTF">2024-04-11T05:26:00Z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