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1 ОНИ</w:t>
      </w:r>
    </w:p>
    <w:p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ФИО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Рыжков М.А. (группа 6112)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Topic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Computer Security; Social Responsibility; Impact Assessment</w:t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Описание предметной области </w:t>
      </w:r>
    </w:p>
    <w:p>
      <w:pPr>
        <w:pStyle w:val="Normal1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Компьютерная безопасность на сегодняшний день является одним из ключевых аспектов информационной безопасности, направленных на защиту компьютерных систем и информации от несанкционированного доступа, утечек и повреждений. Социальная ответственность в этом контексте означает понимание и осознание важности обеспечения безопасности в сети для всех участников. Оценка воздействия, в свою очередь, представляет собой процесс анализа и прогнозирования возможных последствий для общества  в случае нарушения компьютерной безопасности и играет важную роль в разработке эффективных стратегий защиты и противодействия угрозам.</w:t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Недостаток</w:t>
      </w:r>
    </w:p>
    <w:p>
      <w:pPr>
        <w:pStyle w:val="Normal1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Все рассмотренные в статьях методы обеспечения безопасности не устойчивы к появлениям новых видов угроз. </w:t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Идея</w:t>
      </w:r>
    </w:p>
    <w:p>
      <w:pPr>
        <w:pStyle w:val="Normal1"/>
        <w:pBdr/>
        <w:shd w:val="clear" w:fill="FFFFFF"/>
        <w:spacing w:lineRule="auto" w:line="240" w:before="300" w:after="300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  <w:r>
        <w:rPr>
          <w:rFonts w:eastAsia="Roboto" w:cs="Roboto" w:ascii="Roboto" w:hAnsi="Roboto"/>
          <w:color w:val="0D0D0D"/>
          <w:sz w:val="24"/>
          <w:szCs w:val="24"/>
          <w:highlight w:val="white"/>
        </w:rPr>
        <w:t>Предлагается подход, основанный на концепции непрерывного мониторинга и анализа угроз.Этот подход предусматривает применение автоматизированных систем мониторинга с использованием искусственного интеллекта.</w:t>
      </w:r>
    </w:p>
    <w:p>
      <w:pPr>
        <w:pStyle w:val="Normal1"/>
        <w:pBdr/>
        <w:shd w:val="clear" w:fill="FFFFFF"/>
        <w:spacing w:lineRule="auto" w:line="240" w:before="300" w:after="300"/>
        <w:rPr>
          <w:sz w:val="24"/>
          <w:szCs w:val="24"/>
          <w:highlight w:val="white"/>
        </w:rPr>
      </w:pPr>
      <w:r>
        <w:rPr>
          <w:b/>
          <w:sz w:val="28"/>
          <w:szCs w:val="28"/>
          <w:highlight w:val="white"/>
        </w:rPr>
        <w:t>Краткий текст обзора</w:t>
      </w:r>
    </w:p>
    <w:p>
      <w:pPr>
        <w:pStyle w:val="Normal1"/>
        <w:ind w:firstLine="720"/>
        <w:rPr>
          <w:sz w:val="24"/>
          <w:szCs w:val="24"/>
          <w:highlight w:val="white"/>
        </w:rPr>
      </w:pPr>
      <w:r>
        <w:rPr>
          <w:rFonts w:eastAsia="Roboto" w:cs="Roboto" w:ascii="Roboto" w:hAnsi="Roboto"/>
          <w:color w:val="0D0D0D"/>
          <w:sz w:val="24"/>
          <w:szCs w:val="24"/>
          <w:highlight w:val="white"/>
        </w:rPr>
        <w:t xml:space="preserve">В сфере компьютерной безопасности значительное внимание уделяется различным методам защиты от кибератак и угроз информационной безопасности. Особый интерес исследователей привлекали методы, основанные на анализе уязвимостей </w:t>
      </w:r>
      <w:hyperlink r:id="rId2">
        <w:r>
          <w:rPr>
            <w:rFonts w:eastAsia="Roboto" w:cs="Roboto" w:ascii="Roboto" w:hAnsi="Roboto"/>
            <w:color w:val="0D0D0D"/>
            <w:position w:val="0"/>
            <w:sz w:val="24"/>
            <w:sz w:val="24"/>
            <w:szCs w:val="24"/>
            <w:highlight w:val="white"/>
            <w:vertAlign w:val="baseline"/>
          </w:rPr>
          <w:t>[1], [2]</w:t>
        </w:r>
      </w:hyperlink>
      <w:r>
        <w:rPr>
          <w:rFonts w:eastAsia="Roboto" w:cs="Roboto" w:ascii="Roboto" w:hAnsi="Roboto"/>
          <w:color w:val="0D0D0D"/>
          <w:sz w:val="24"/>
          <w:szCs w:val="24"/>
          <w:highlight w:val="white"/>
        </w:rPr>
        <w:t xml:space="preserve"> и сценариях атак. Например, для оценки безопасности используется метод моделирования атак</w:t>
      </w:r>
      <w:hyperlink r:id="rId3">
        <w:r>
          <w:rPr>
            <w:rFonts w:eastAsia="Roboto" w:cs="Roboto" w:ascii="Roboto" w:hAnsi="Roboto"/>
            <w:color w:val="0D0D0D"/>
            <w:position w:val="0"/>
            <w:sz w:val="24"/>
            <w:sz w:val="24"/>
            <w:szCs w:val="24"/>
            <w:highlight w:val="white"/>
            <w:vertAlign w:val="baseline"/>
          </w:rPr>
          <w:t>[3]</w:t>
        </w:r>
      </w:hyperlink>
      <w:r>
        <w:rPr>
          <w:sz w:val="24"/>
          <w:szCs w:val="24"/>
          <w:highlight w:val="white"/>
        </w:rPr>
        <w:t xml:space="preserve">, а для создания новых систем защиты используется метод сбора и сортировки информации об уже совершенных атаках </w:t>
      </w:r>
      <w:hyperlink r:id="rId4">
        <w:r>
          <w:rPr>
            <w:position w:val="0"/>
            <w:sz w:val="24"/>
            <w:sz w:val="24"/>
            <w:szCs w:val="24"/>
            <w:highlight w:val="white"/>
            <w:vertAlign w:val="baseline"/>
          </w:rPr>
          <w:t>[4], [5], [6]</w:t>
        </w:r>
      </w:hyperlink>
      <w:r>
        <w:rPr>
          <w:sz w:val="24"/>
          <w:szCs w:val="24"/>
          <w:highlight w:val="white"/>
        </w:rPr>
        <w:t>. Однако эти методы затрагивают только техническую часть вопроса. Немаловажным фактором обеспечения информационной безопасности является социальная ответственность и человеческий аспект</w:t>
      </w:r>
      <w:hyperlink r:id="rId5">
        <w:r>
          <w:rPr>
            <w:position w:val="0"/>
            <w:sz w:val="24"/>
            <w:sz w:val="24"/>
            <w:szCs w:val="24"/>
            <w:highlight w:val="white"/>
            <w:vertAlign w:val="baseline"/>
          </w:rPr>
          <w:t>[7]</w:t>
        </w:r>
      </w:hyperlink>
      <w:r>
        <w:rPr>
          <w:sz w:val="24"/>
          <w:szCs w:val="24"/>
          <w:highlight w:val="white"/>
        </w:rPr>
        <w:t xml:space="preserve">. Например, компании, которые берут на себя ответственность за хранение данных о пользователях, должны руководствоваться именно социальная ответственность. Об этом достаточно подробно написано в статье </w:t>
      </w:r>
      <w:hyperlink r:id="rId6">
        <w:r>
          <w:rPr>
            <w:position w:val="0"/>
            <w:sz w:val="24"/>
            <w:sz w:val="24"/>
            <w:szCs w:val="24"/>
            <w:highlight w:val="white"/>
            <w:vertAlign w:val="baseline"/>
          </w:rPr>
          <w:t>[8]</w:t>
        </w:r>
      </w:hyperlink>
      <w:r>
        <w:rPr>
          <w:sz w:val="24"/>
          <w:szCs w:val="24"/>
          <w:highlight w:val="white"/>
        </w:rPr>
        <w:t xml:space="preserve">. К сожалению, закон не успевает за развитием технологий. В результате компании стараются соответствовать закону, а не технологиям, из-за этого появляются “пробелы” в безопасности </w:t>
      </w:r>
      <w:hyperlink r:id="rId7">
        <w:r>
          <w:rPr>
            <w:position w:val="0"/>
            <w:sz w:val="24"/>
            <w:sz w:val="24"/>
            <w:szCs w:val="24"/>
            <w:highlight w:val="white"/>
            <w:vertAlign w:val="baseline"/>
          </w:rPr>
          <w:t>[9]</w:t>
        </w:r>
      </w:hyperlink>
      <w:r>
        <w:rPr>
          <w:sz w:val="24"/>
          <w:szCs w:val="24"/>
          <w:highlight w:val="white"/>
        </w:rPr>
        <w:t>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В статье </w:t>
      </w:r>
      <w:hyperlink r:id="rId8">
        <w:r>
          <w:rPr>
            <w:position w:val="0"/>
            <w:sz w:val="24"/>
            <w:sz w:val="24"/>
            <w:szCs w:val="24"/>
            <w:highlight w:val="white"/>
            <w:vertAlign w:val="baseline"/>
          </w:rPr>
          <w:t>[5]</w:t>
        </w:r>
      </w:hyperlink>
      <w:r>
        <w:rPr>
          <w:sz w:val="24"/>
          <w:szCs w:val="24"/>
          <w:highlight w:val="white"/>
        </w:rPr>
        <w:t xml:space="preserve"> рассматривается </w:t>
      </w:r>
      <w:r>
        <w:rPr>
          <w:sz w:val="24"/>
          <w:szCs w:val="24"/>
        </w:rPr>
        <w:t>оценка воздействия кибератак с помощью виртуальной местности (VTAC) в качестве примеров ее работы используются только смоделированные атаки. Еще одним методом оценки безопасности безопасности является алгоритм, основанный на использовании графов атак</w:t>
      </w:r>
      <w:hyperlink r:id="rId9">
        <w:r>
          <w:rPr>
            <w:position w:val="0"/>
            <w:sz w:val="24"/>
            <w:sz w:val="24"/>
            <w:szCs w:val="24"/>
            <w:vertAlign w:val="baseline"/>
          </w:rPr>
          <w:t>[6]</w:t>
        </w:r>
      </w:hyperlink>
      <w:r>
        <w:rPr>
          <w:sz w:val="24"/>
          <w:szCs w:val="24"/>
        </w:rPr>
        <w:t>. Для упрощения  процесса принятия решений с использованием визуализации информации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применяется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InfoVis</w:t>
      </w:r>
      <w:hyperlink r:id="rId10">
        <w:r>
          <w:rPr>
            <w:position w:val="0"/>
            <w:sz w:val="24"/>
            <w:sz w:val="24"/>
            <w:szCs w:val="24"/>
            <w:vertAlign w:val="baseline"/>
          </w:rPr>
          <w:t>[10]</w:t>
        </w:r>
      </w:hyperlink>
      <w:r>
        <w:rPr>
          <w:sz w:val="24"/>
          <w:szCs w:val="24"/>
        </w:rPr>
        <w:t xml:space="preserve">. Все перечисленные методы не могут оперативно адаптироваться к появлению новых видов угроз. </w:t>
      </w:r>
    </w:p>
    <w:p>
      <w:pPr>
        <w:pStyle w:val="Normal1"/>
        <w:ind w:firstLine="720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  <w:r>
        <w:rPr>
          <w:sz w:val="24"/>
          <w:szCs w:val="24"/>
        </w:rPr>
        <w:t>В моей статье я предлагаю новые методы оценки безопасности, моделирования угроз и оценки рисков, которые будут использовать автоматизированные системы мониторинга с применением искусственного интеллекта.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References</w:t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504" w:right="0" w:hanging="504"/>
        <w:jc w:val="left"/>
        <w:rPr>
          <w:sz w:val="24"/>
          <w:szCs w:val="24"/>
          <w:highlight w:val="white"/>
        </w:rPr>
      </w:pPr>
      <w:hyperlink r:id="rId11">
        <w:r>
          <w:rPr>
            <w:position w:val="0"/>
            <w:sz w:val="22"/>
            <w:shd w:fill="auto" w:val="clear"/>
            <w:vertAlign w:val="baseline"/>
          </w:rPr>
          <w:t>[1]</w:t>
          <w:tab/>
          <w:t xml:space="preserve">Q. S. Qassim, N. Jamil, M. Daud, A. Patel, и N. Ja’affar, «A review of security assessment methodologies in industrial control systems», </w:t>
        </w:r>
      </w:hyperlink>
      <w:hyperlink r:id="rId12">
        <w:r>
          <w:rPr>
            <w:i/>
            <w:position w:val="0"/>
            <w:sz w:val="22"/>
            <w:shd w:fill="auto" w:val="clear"/>
            <w:vertAlign w:val="baseline"/>
          </w:rPr>
          <w:t>Inf. Comput. Secur.</w:t>
        </w:r>
      </w:hyperlink>
      <w:hyperlink r:id="rId13">
        <w:r>
          <w:rPr>
            <w:position w:val="0"/>
            <w:sz w:val="22"/>
            <w:shd w:fill="auto" w:val="clear"/>
            <w:vertAlign w:val="baseline"/>
          </w:rPr>
          <w:t>, т. 27, вып. 1, сс. 47–61, 2019, doi: 10.1108/ICS-04-2018-0048.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504" w:right="0" w:hanging="504"/>
        <w:jc w:val="left"/>
        <w:rPr>
          <w:sz w:val="24"/>
          <w:szCs w:val="24"/>
          <w:highlight w:val="white"/>
        </w:rPr>
      </w:pPr>
      <w:hyperlink r:id="rId14">
        <w:r>
          <w:rPr>
            <w:position w:val="0"/>
            <w:sz w:val="22"/>
            <w:shd w:fill="auto" w:val="clear"/>
            <w:vertAlign w:val="baseline"/>
          </w:rPr>
          <w:t>[2]</w:t>
          <w:tab/>
          <w:t xml:space="preserve">H. Nissenbaum, «Where Computer Security Meets National Security1», </w:t>
        </w:r>
      </w:hyperlink>
      <w:hyperlink r:id="rId15">
        <w:r>
          <w:rPr>
            <w:i/>
            <w:position w:val="0"/>
            <w:sz w:val="22"/>
            <w:shd w:fill="auto" w:val="clear"/>
            <w:vertAlign w:val="baseline"/>
          </w:rPr>
          <w:t>Ethics Inf. Technol.</w:t>
        </w:r>
      </w:hyperlink>
      <w:hyperlink r:id="rId16">
        <w:r>
          <w:rPr>
            <w:position w:val="0"/>
            <w:sz w:val="22"/>
            <w:shd w:fill="auto" w:val="clear"/>
            <w:vertAlign w:val="baseline"/>
          </w:rPr>
          <w:t>, т. 7, вып. 2, сс. 61–73, 2005, doi: 10.1007/s10676-005-4582-3.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504" w:right="0" w:hanging="504"/>
        <w:jc w:val="left"/>
        <w:rPr>
          <w:sz w:val="24"/>
          <w:szCs w:val="24"/>
          <w:highlight w:val="white"/>
        </w:rPr>
      </w:pPr>
      <w:hyperlink r:id="rId17">
        <w:r>
          <w:rPr>
            <w:position w:val="0"/>
            <w:sz w:val="22"/>
            <w:shd w:fill="auto" w:val="clear"/>
            <w:vertAlign w:val="baseline"/>
          </w:rPr>
          <w:t>[3]</w:t>
          <w:tab/>
          <w:t xml:space="preserve">D. M. Nicol, «Modeling and Simulation in Security Evaluation», </w:t>
        </w:r>
      </w:hyperlink>
      <w:hyperlink r:id="rId18">
        <w:r>
          <w:rPr>
            <w:i/>
            <w:position w:val="0"/>
            <w:sz w:val="22"/>
            <w:shd w:fill="auto" w:val="clear"/>
            <w:vertAlign w:val="baseline"/>
          </w:rPr>
          <w:t>IEEE Secur. Priv. Mag.</w:t>
        </w:r>
      </w:hyperlink>
      <w:hyperlink r:id="rId19">
        <w:r>
          <w:rPr>
            <w:position w:val="0"/>
            <w:sz w:val="22"/>
            <w:shd w:fill="auto" w:val="clear"/>
            <w:vertAlign w:val="baseline"/>
          </w:rPr>
          <w:t>, т. 3, вып. 5, сс. 71–74, 2005, doi: 10.1109/MSP.2005.129.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504" w:right="0" w:hanging="504"/>
        <w:jc w:val="left"/>
        <w:rPr>
          <w:sz w:val="24"/>
          <w:szCs w:val="24"/>
          <w:highlight w:val="white"/>
        </w:rPr>
      </w:pPr>
      <w:hyperlink r:id="rId20">
        <w:r>
          <w:rPr>
            <w:position w:val="0"/>
            <w:sz w:val="22"/>
            <w:shd w:fill="auto" w:val="clear"/>
            <w:vertAlign w:val="baseline"/>
          </w:rPr>
          <w:t>[4]</w:t>
          <w:tab/>
          <w:t xml:space="preserve">J. Gao, B. Zhang, X. Chen, и Z. Luo, «Ontology-based model of network and computer attacks for security assessment», </w:t>
        </w:r>
      </w:hyperlink>
      <w:hyperlink r:id="rId21">
        <w:r>
          <w:rPr>
            <w:i/>
            <w:position w:val="0"/>
            <w:sz w:val="22"/>
            <w:shd w:fill="auto" w:val="clear"/>
            <w:vertAlign w:val="baseline"/>
          </w:rPr>
          <w:t>J. Shanghai Jiaotong Univ. Sci.</w:t>
        </w:r>
      </w:hyperlink>
      <w:hyperlink r:id="rId22">
        <w:r>
          <w:rPr>
            <w:position w:val="0"/>
            <w:sz w:val="22"/>
            <w:shd w:fill="auto" w:val="clear"/>
            <w:vertAlign w:val="baseline"/>
          </w:rPr>
          <w:t>, т. 18, вып. 5, сс. 554–562, 2013, doi: 10.1007/s12204-013-1439-5.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504" w:right="0" w:hanging="504"/>
        <w:jc w:val="left"/>
        <w:rPr>
          <w:sz w:val="24"/>
          <w:szCs w:val="24"/>
          <w:highlight w:val="white"/>
        </w:rPr>
      </w:pPr>
      <w:hyperlink r:id="rId23">
        <w:r>
          <w:rPr>
            <w:position w:val="0"/>
            <w:sz w:val="22"/>
            <w:shd w:fill="auto" w:val="clear"/>
            <w:vertAlign w:val="baseline"/>
          </w:rPr>
          <w:t>[5]</w:t>
          <w:tab/>
          <w:t>B. J. Argauer и S. J. Yang, «VTAC: virtual terrain assisted impact assessment for cyber attacks», представлено на SPIE Defense and Security Symposium, B. V. Dasarathy, Ред., Orlando, FL, 2008, с. 69730F. doi: 10.1117/12.777291.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504" w:right="0" w:hanging="504"/>
        <w:jc w:val="left"/>
        <w:rPr>
          <w:sz w:val="24"/>
          <w:szCs w:val="24"/>
          <w:highlight w:val="white"/>
        </w:rPr>
      </w:pPr>
      <w:hyperlink r:id="rId24">
        <w:r>
          <w:rPr>
            <w:position w:val="0"/>
            <w:sz w:val="22"/>
            <w:shd w:fill="auto" w:val="clear"/>
            <w:vertAlign w:val="baseline"/>
          </w:rPr>
          <w:t>[6]</w:t>
          <w:tab/>
          <w:t xml:space="preserve">I. Kotenko и E. Doynikova, «Security Assessment of Computer Networks Based on Attack Graphs and Security Events», в </w:t>
        </w:r>
      </w:hyperlink>
      <w:hyperlink r:id="rId25">
        <w:r>
          <w:rPr>
            <w:i/>
            <w:position w:val="0"/>
            <w:sz w:val="22"/>
            <w:shd w:fill="auto" w:val="clear"/>
            <w:vertAlign w:val="baseline"/>
          </w:rPr>
          <w:t>Information and Communication Technology</w:t>
        </w:r>
      </w:hyperlink>
      <w:hyperlink r:id="rId26">
        <w:r>
          <w:rPr>
            <w:position w:val="0"/>
            <w:sz w:val="22"/>
            <w:shd w:fill="auto" w:val="clear"/>
            <w:vertAlign w:val="baseline"/>
          </w:rPr>
          <w:t>, т. 8407, Linawati, M. S. Mahendra, E. J. Neuhold, A. M. Tjoa, и I. You, Ред., в Lecture Notes in Computer Science, vol. 8407. , Berlin, Heidelberg: Springer Berlin Heidelberg, 2014, сс. 462–471. doi: 10.1007/978-3-642-55032-4_47.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504" w:right="0" w:hanging="504"/>
        <w:jc w:val="left"/>
        <w:rPr>
          <w:sz w:val="24"/>
          <w:szCs w:val="24"/>
          <w:highlight w:val="white"/>
        </w:rPr>
      </w:pPr>
      <w:hyperlink r:id="rId27">
        <w:r>
          <w:rPr>
            <w:position w:val="0"/>
            <w:sz w:val="22"/>
            <w:shd w:fill="auto" w:val="clear"/>
            <w:vertAlign w:val="baseline"/>
          </w:rPr>
          <w:t>[7]</w:t>
          <w:tab/>
          <w:t xml:space="preserve">D. Besnard и B. Arief, «Computer security impaired by legitimate users», </w:t>
        </w:r>
      </w:hyperlink>
      <w:hyperlink r:id="rId28">
        <w:r>
          <w:rPr>
            <w:i/>
            <w:position w:val="0"/>
            <w:sz w:val="22"/>
            <w:shd w:fill="auto" w:val="clear"/>
            <w:vertAlign w:val="baseline"/>
          </w:rPr>
          <w:t>Comput. Secur.</w:t>
        </w:r>
      </w:hyperlink>
      <w:hyperlink r:id="rId29">
        <w:r>
          <w:rPr>
            <w:position w:val="0"/>
            <w:sz w:val="22"/>
            <w:shd w:fill="auto" w:val="clear"/>
            <w:vertAlign w:val="baseline"/>
          </w:rPr>
          <w:t>, т. 23, вып. 3, сс. 253–264, 2004, doi: 10.1016/j.cose.2003.09.002.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504" w:right="0" w:hanging="504"/>
        <w:jc w:val="left"/>
        <w:rPr>
          <w:sz w:val="24"/>
          <w:szCs w:val="24"/>
          <w:highlight w:val="white"/>
        </w:rPr>
      </w:pPr>
      <w:hyperlink r:id="rId30">
        <w:r>
          <w:rPr>
            <w:position w:val="0"/>
            <w:sz w:val="22"/>
            <w:shd w:fill="auto" w:val="clear"/>
            <w:vertAlign w:val="baseline"/>
          </w:rPr>
          <w:t>[8]</w:t>
          <w:tab/>
          <w:t xml:space="preserve">T. Tsiakis, «Contribution of corporate social responsibility to information security management», </w:t>
        </w:r>
      </w:hyperlink>
      <w:hyperlink r:id="rId31">
        <w:r>
          <w:rPr>
            <w:i/>
            <w:position w:val="0"/>
            <w:sz w:val="22"/>
            <w:shd w:fill="auto" w:val="clear"/>
            <w:vertAlign w:val="baseline"/>
          </w:rPr>
          <w:t>Inf. Secur. Tech. Rep.</w:t>
        </w:r>
      </w:hyperlink>
      <w:hyperlink r:id="rId32">
        <w:r>
          <w:rPr>
            <w:position w:val="0"/>
            <w:sz w:val="22"/>
            <w:shd w:fill="auto" w:val="clear"/>
            <w:vertAlign w:val="baseline"/>
          </w:rPr>
          <w:t>, т. 14, вып. 4, сс. 217–222, 2009, doi: 10.1016/j.istr.2010.05.001.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504" w:right="0" w:hanging="504"/>
        <w:jc w:val="left"/>
        <w:rPr>
          <w:sz w:val="24"/>
          <w:szCs w:val="24"/>
          <w:highlight w:val="white"/>
        </w:rPr>
      </w:pPr>
      <w:hyperlink r:id="rId33">
        <w:r>
          <w:rPr>
            <w:position w:val="0"/>
            <w:sz w:val="22"/>
            <w:shd w:fill="auto" w:val="clear"/>
            <w:vertAlign w:val="baseline"/>
          </w:rPr>
          <w:t>[9]</w:t>
          <w:tab/>
          <w:t xml:space="preserve">J. Boeken, «From compliance to security, responsibility beyond law», </w:t>
        </w:r>
      </w:hyperlink>
      <w:hyperlink r:id="rId34">
        <w:r>
          <w:rPr>
            <w:i/>
            <w:position w:val="0"/>
            <w:sz w:val="22"/>
            <w:shd w:fill="auto" w:val="clear"/>
            <w:vertAlign w:val="baseline"/>
          </w:rPr>
          <w:t>Comput. Law Secur. Rev.</w:t>
        </w:r>
      </w:hyperlink>
      <w:hyperlink r:id="rId35">
        <w:r>
          <w:rPr>
            <w:position w:val="0"/>
            <w:sz w:val="22"/>
            <w:shd w:fill="auto" w:val="clear"/>
            <w:vertAlign w:val="baseline"/>
          </w:rPr>
          <w:t>, т. 52, с. 105926, 2024, doi: 10.1016/j.clsr.2023.105926.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504" w:right="0" w:hanging="504"/>
        <w:jc w:val="left"/>
        <w:rPr>
          <w:sz w:val="24"/>
          <w:szCs w:val="24"/>
          <w:highlight w:val="white"/>
        </w:rPr>
      </w:pPr>
      <w:hyperlink r:id="rId36">
        <w:r>
          <w:rPr>
            <w:position w:val="0"/>
            <w:sz w:val="22"/>
            <w:shd w:fill="auto" w:val="clear"/>
            <w:vertAlign w:val="baseline"/>
          </w:rPr>
          <w:t>[10]</w:t>
          <w:tab/>
          <w:t xml:space="preserve">D. J. Ferreira, N. Mateus-Coelho, и H. S. Mamede, «Methodology for Predictive Cyber Security Risk Assessment (PCSRA)», </w:t>
        </w:r>
      </w:hyperlink>
      <w:hyperlink r:id="rId37">
        <w:r>
          <w:rPr>
            <w:i/>
            <w:position w:val="0"/>
            <w:sz w:val="22"/>
            <w:shd w:fill="auto" w:val="clear"/>
            <w:vertAlign w:val="baseline"/>
          </w:rPr>
          <w:t>Procedia Comput. Sci.</w:t>
        </w:r>
      </w:hyperlink>
      <w:hyperlink r:id="rId38">
        <w:r>
          <w:rPr>
            <w:position w:val="0"/>
            <w:sz w:val="22"/>
            <w:shd w:fill="auto" w:val="clear"/>
            <w:vertAlign w:val="baseline"/>
          </w:rPr>
          <w:t>, т. 219, сс. 1555–1563, 2023, doi: 10.1016/j.procs.2023.01.447.</w:t>
        </w:r>
      </w:hyperlink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Robot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-">
    <w:name w:val="Hyperlink"/>
    <w:rPr>
      <w:color w:val="000080"/>
      <w:u w:val="singl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zotero.org/google-docs/?WpSO4O" TargetMode="External"/><Relationship Id="rId3" Type="http://schemas.openxmlformats.org/officeDocument/2006/relationships/hyperlink" Target="https://www.zotero.org/google-docs/?Pdoot0" TargetMode="External"/><Relationship Id="rId4" Type="http://schemas.openxmlformats.org/officeDocument/2006/relationships/hyperlink" Target="https://www.zotero.org/google-docs/?6LtZko" TargetMode="External"/><Relationship Id="rId5" Type="http://schemas.openxmlformats.org/officeDocument/2006/relationships/hyperlink" Target="https://www.zotero.org/google-docs/?L5x1nb" TargetMode="External"/><Relationship Id="rId6" Type="http://schemas.openxmlformats.org/officeDocument/2006/relationships/hyperlink" Target="https://www.zotero.org/google-docs/?HiLLAp" TargetMode="External"/><Relationship Id="rId7" Type="http://schemas.openxmlformats.org/officeDocument/2006/relationships/hyperlink" Target="https://www.zotero.org/google-docs/?Ov2HlW" TargetMode="External"/><Relationship Id="rId8" Type="http://schemas.openxmlformats.org/officeDocument/2006/relationships/hyperlink" Target="https://www.zotero.org/google-docs/?CM796l" TargetMode="External"/><Relationship Id="rId9" Type="http://schemas.openxmlformats.org/officeDocument/2006/relationships/hyperlink" Target="https://www.zotero.org/google-docs/?rBmjtS" TargetMode="External"/><Relationship Id="rId10" Type="http://schemas.openxmlformats.org/officeDocument/2006/relationships/hyperlink" Target="https://www.zotero.org/google-docs/?HgI9bE" TargetMode="External"/><Relationship Id="rId11" Type="http://schemas.openxmlformats.org/officeDocument/2006/relationships/hyperlink" Target="https://www.zotero.org/google-docs/?7ImV45" TargetMode="External"/><Relationship Id="rId12" Type="http://schemas.openxmlformats.org/officeDocument/2006/relationships/hyperlink" Target="https://www.zotero.org/google-docs/?7ImV45" TargetMode="External"/><Relationship Id="rId13" Type="http://schemas.openxmlformats.org/officeDocument/2006/relationships/hyperlink" Target="https://www.zotero.org/google-docs/?7ImV45" TargetMode="External"/><Relationship Id="rId14" Type="http://schemas.openxmlformats.org/officeDocument/2006/relationships/hyperlink" Target="https://www.zotero.org/google-docs/?7ImV45" TargetMode="External"/><Relationship Id="rId15" Type="http://schemas.openxmlformats.org/officeDocument/2006/relationships/hyperlink" Target="https://www.zotero.org/google-docs/?7ImV45" TargetMode="External"/><Relationship Id="rId16" Type="http://schemas.openxmlformats.org/officeDocument/2006/relationships/hyperlink" Target="https://www.zotero.org/google-docs/?7ImV45" TargetMode="External"/><Relationship Id="rId17" Type="http://schemas.openxmlformats.org/officeDocument/2006/relationships/hyperlink" Target="https://www.zotero.org/google-docs/?7ImV45" TargetMode="External"/><Relationship Id="rId18" Type="http://schemas.openxmlformats.org/officeDocument/2006/relationships/hyperlink" Target="https://www.zotero.org/google-docs/?7ImV45" TargetMode="External"/><Relationship Id="rId19" Type="http://schemas.openxmlformats.org/officeDocument/2006/relationships/hyperlink" Target="https://www.zotero.org/google-docs/?7ImV45" TargetMode="External"/><Relationship Id="rId20" Type="http://schemas.openxmlformats.org/officeDocument/2006/relationships/hyperlink" Target="https://www.zotero.org/google-docs/?7ImV45" TargetMode="External"/><Relationship Id="rId21" Type="http://schemas.openxmlformats.org/officeDocument/2006/relationships/hyperlink" Target="https://www.zotero.org/google-docs/?7ImV45" TargetMode="External"/><Relationship Id="rId22" Type="http://schemas.openxmlformats.org/officeDocument/2006/relationships/hyperlink" Target="https://www.zotero.org/google-docs/?7ImV45" TargetMode="External"/><Relationship Id="rId23" Type="http://schemas.openxmlformats.org/officeDocument/2006/relationships/hyperlink" Target="https://www.zotero.org/google-docs/?7ImV45" TargetMode="External"/><Relationship Id="rId24" Type="http://schemas.openxmlformats.org/officeDocument/2006/relationships/hyperlink" Target="https://www.zotero.org/google-docs/?7ImV45" TargetMode="External"/><Relationship Id="rId25" Type="http://schemas.openxmlformats.org/officeDocument/2006/relationships/hyperlink" Target="https://www.zotero.org/google-docs/?7ImV45" TargetMode="External"/><Relationship Id="rId26" Type="http://schemas.openxmlformats.org/officeDocument/2006/relationships/hyperlink" Target="https://www.zotero.org/google-docs/?7ImV45" TargetMode="External"/><Relationship Id="rId27" Type="http://schemas.openxmlformats.org/officeDocument/2006/relationships/hyperlink" Target="https://www.zotero.org/google-docs/?7ImV45" TargetMode="External"/><Relationship Id="rId28" Type="http://schemas.openxmlformats.org/officeDocument/2006/relationships/hyperlink" Target="https://www.zotero.org/google-docs/?7ImV45" TargetMode="External"/><Relationship Id="rId29" Type="http://schemas.openxmlformats.org/officeDocument/2006/relationships/hyperlink" Target="https://www.zotero.org/google-docs/?7ImV45" TargetMode="External"/><Relationship Id="rId30" Type="http://schemas.openxmlformats.org/officeDocument/2006/relationships/hyperlink" Target="https://www.zotero.org/google-docs/?7ImV45" TargetMode="External"/><Relationship Id="rId31" Type="http://schemas.openxmlformats.org/officeDocument/2006/relationships/hyperlink" Target="https://www.zotero.org/google-docs/?7ImV45" TargetMode="External"/><Relationship Id="rId32" Type="http://schemas.openxmlformats.org/officeDocument/2006/relationships/hyperlink" Target="https://www.zotero.org/google-docs/?7ImV45" TargetMode="External"/><Relationship Id="rId33" Type="http://schemas.openxmlformats.org/officeDocument/2006/relationships/hyperlink" Target="https://www.zotero.org/google-docs/?7ImV45" TargetMode="External"/><Relationship Id="rId34" Type="http://schemas.openxmlformats.org/officeDocument/2006/relationships/hyperlink" Target="https://www.zotero.org/google-docs/?7ImV45" TargetMode="External"/><Relationship Id="rId35" Type="http://schemas.openxmlformats.org/officeDocument/2006/relationships/hyperlink" Target="https://www.zotero.org/google-docs/?7ImV45" TargetMode="External"/><Relationship Id="rId36" Type="http://schemas.openxmlformats.org/officeDocument/2006/relationships/hyperlink" Target="https://www.zotero.org/google-docs/?7ImV45" TargetMode="External"/><Relationship Id="rId37" Type="http://schemas.openxmlformats.org/officeDocument/2006/relationships/hyperlink" Target="https://www.zotero.org/google-docs/?7ImV45" TargetMode="External"/><Relationship Id="rId38" Type="http://schemas.openxmlformats.org/officeDocument/2006/relationships/hyperlink" Target="https://www.zotero.org/google-docs/?7ImV45" TargetMode="Externa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LibreOffice/7.5.1.2$Windows_X86_64 LibreOffice_project/fcbaee479e84c6cd81291587d2ee68cba099e129</Application>
  <AppVersion>15.0000</AppVersion>
  <Pages>3</Pages>
  <Words>650</Words>
  <Characters>4291</Characters>
  <CharactersWithSpaces>4912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2024-04-11T11:14:53Z</dcterms:modified>
  <cp:revision>1</cp:revision>
  <dc:subject/>
  <dc:title/>
</cp:coreProperties>
</file>