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0878E" w14:textId="1C89386D" w:rsidR="003D7619" w:rsidRPr="00A96917" w:rsidRDefault="003D7619" w:rsidP="00894EB5">
      <w:pPr>
        <w:pStyle w:val="Heading1"/>
      </w:pPr>
      <w:bookmarkStart w:id="0" w:name="_Toc163737105"/>
      <w:r w:rsidRPr="00A96917">
        <w:t>Security</w:t>
      </w:r>
      <w:bookmarkEnd w:id="0"/>
      <w:r w:rsidRPr="00A96917">
        <w:t xml:space="preserve"> </w:t>
      </w:r>
    </w:p>
    <w:p w14:paraId="43BE0CD5" w14:textId="128E800C" w:rsidR="003D7619" w:rsidRPr="00C0607C" w:rsidRDefault="003D7619" w:rsidP="00894EB5">
      <w:r w:rsidRPr="00C0607C">
        <w:t xml:space="preserve">An </w:t>
      </w:r>
      <w:r w:rsidRPr="00FE4C31">
        <w:t>adversary cannot violate the computer system’s integrity if all integrity enforcement mechanisms are properly configured and enabled (including mechanisms</w:t>
      </w:r>
      <w:r w:rsidRPr="00C0607C">
        <w:t xml:space="preserve"> protecting runtime process integrity §3.3) because the kernel rejects untrusted files from loading to the memory. However, an adversary can run arbitrary software if she gets enough privileges to boot the computer with disabled enforcement mechanisms. We run a set of micro-benchmarks to estimate the vulnerability window size expressed with Equation </w:t>
      </w:r>
      <w:r w:rsidR="00277352" w:rsidRPr="00C0607C">
        <w:fldChar w:fldCharType="begin"/>
      </w:r>
      <w:r w:rsidR="00277352" w:rsidRPr="00C0607C">
        <w:instrText xml:space="preserve"> REF _Ref98172175 \h </w:instrText>
      </w:r>
      <w:r w:rsidR="00A96917" w:rsidRPr="00C0607C">
        <w:instrText xml:space="preserve"> \* MERGEFORMAT </w:instrText>
      </w:r>
      <w:r w:rsidR="00277352" w:rsidRPr="00C0607C">
        <w:fldChar w:fldCharType="separate"/>
      </w:r>
      <w:r w:rsidR="00894EB5">
        <w:t>(1)</w:t>
      </w:r>
      <w:r w:rsidR="00277352" w:rsidRPr="00C0607C">
        <w:fldChar w:fldCharType="end"/>
      </w:r>
      <w:r w:rsidRPr="00C0607C">
        <w:t>, during which the integrity violation remains undetected</w:t>
      </w:r>
    </w:p>
    <w:tbl>
      <w:tblPr>
        <w:tblW w:w="9248" w:type="dxa"/>
        <w:tblInd w:w="108" w:type="dxa"/>
        <w:tblLook w:val="04A0" w:firstRow="1" w:lastRow="0" w:firstColumn="1" w:lastColumn="0" w:noHBand="0" w:noVBand="1"/>
      </w:tblPr>
      <w:tblGrid>
        <w:gridCol w:w="8514"/>
        <w:gridCol w:w="734"/>
      </w:tblGrid>
      <w:tr w:rsidR="00277352" w:rsidRPr="00BF3639" w14:paraId="60624213" w14:textId="77777777">
        <w:tc>
          <w:tcPr>
            <w:tcW w:w="8539" w:type="dxa"/>
            <w:vAlign w:val="center"/>
          </w:tcPr>
          <w:p w14:paraId="33C15617" w14:textId="5B805A2F" w:rsidR="00277352" w:rsidRPr="00277352" w:rsidRDefault="00000000" w:rsidP="008C65A0">
            <w:pPr>
              <w:pStyle w:val="a3"/>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vw</m:t>
                    </m:r>
                  </m:sub>
                </m:sSub>
                <m:r>
                  <m:rPr>
                    <m:sty m:val="p"/>
                  </m:rPr>
                  <w:rPr>
                    <w:rFonts w:ascii="Cambria Math" w:hAnsi="Cambria Math"/>
                  </w:rPr>
                  <m:t>=</m:t>
                </m:r>
                <m:sSub>
                  <m:sSubPr>
                    <m:ctrlPr>
                      <w:rPr>
                        <w:rFonts w:ascii="Cambria Math" w:eastAsiaTheme="minorHAnsi" w:hAnsi="Cambria Math"/>
                      </w:rPr>
                    </m:ctrlPr>
                  </m:sSubPr>
                  <m:e>
                    <m:r>
                      <w:rPr>
                        <w:rFonts w:ascii="Cambria Math" w:hAnsi="Cambria Math"/>
                      </w:rPr>
                      <m:t>t</m:t>
                    </m:r>
                  </m:e>
                  <m:sub>
                    <m:r>
                      <w:rPr>
                        <w:rFonts w:ascii="Cambria Math" w:hAnsi="Cambria Math"/>
                      </w:rPr>
                      <m:t>rq</m:t>
                    </m:r>
                  </m:sub>
                </m:sSub>
                <m:r>
                  <m:rPr>
                    <m:sty m:val="p"/>
                  </m:rPr>
                  <w:rPr>
                    <w:rFonts w:ascii="Cambria Math" w:hAnsi="Cambria Math"/>
                  </w:rPr>
                  <m:t>+2*</m:t>
                </m:r>
                <m:d>
                  <m:dPr>
                    <m:ctrlPr>
                      <w:rPr>
                        <w:rFonts w:ascii="Cambria Math" w:hAnsi="Cambria Math"/>
                      </w:rPr>
                    </m:ctrlPr>
                  </m:dPr>
                  <m:e>
                    <m:sSub>
                      <m:sSubPr>
                        <m:ctrlPr>
                          <w:rPr>
                            <w:rFonts w:ascii="Cambria Math" w:eastAsiaTheme="minorHAnsi" w:hAnsi="Cambria Math"/>
                          </w:rPr>
                        </m:ctrlPr>
                      </m:sSubPr>
                      <m:e>
                        <m:r>
                          <w:rPr>
                            <w:rFonts w:ascii="Cambria Math" w:hAnsi="Cambria Math"/>
                          </w:rPr>
                          <m:t>nt</m:t>
                        </m:r>
                      </m:e>
                      <m:sub>
                        <m:r>
                          <w:rPr>
                            <w:rFonts w:ascii="Cambria Math" w:hAnsi="Cambria Math"/>
                          </w:rPr>
                          <m:t>re</m:t>
                        </m:r>
                      </m:sub>
                    </m:sSub>
                    <m:r>
                      <m:rPr>
                        <m:sty m:val="p"/>
                      </m:rPr>
                      <w:rPr>
                        <w:rFonts w:ascii="Cambria Math" w:hAnsi="Cambria Math"/>
                      </w:rPr>
                      <m:t>+</m:t>
                    </m:r>
                    <m:sSub>
                      <m:sSubPr>
                        <m:ctrlPr>
                          <w:rPr>
                            <w:rFonts w:ascii="Cambria Math" w:eastAsiaTheme="minorHAnsi" w:hAnsi="Cambria Math"/>
                          </w:rPr>
                        </m:ctrlPr>
                      </m:sSubPr>
                      <m:e>
                        <m:r>
                          <w:rPr>
                            <w:rFonts w:ascii="Cambria Math" w:hAnsi="Cambria Math"/>
                          </w:rPr>
                          <m:t>t</m:t>
                        </m:r>
                      </m:e>
                      <m:sub>
                        <m:r>
                          <w:rPr>
                            <w:rFonts w:ascii="Cambria Math" w:hAnsi="Cambria Math"/>
                          </w:rPr>
                          <m:t>vp</m:t>
                        </m:r>
                      </m:sub>
                    </m:sSub>
                  </m:e>
                </m:d>
                <m:r>
                  <m:rPr>
                    <m:sty m:val="p"/>
                  </m:rPr>
                  <w:rPr>
                    <w:rFonts w:ascii="Cambria Math" w:hAnsi="Cambria Math"/>
                  </w:rPr>
                  <m:t>,</m:t>
                </m:r>
              </m:oMath>
            </m:oMathPara>
          </w:p>
        </w:tc>
        <w:tc>
          <w:tcPr>
            <w:tcW w:w="709" w:type="dxa"/>
            <w:vAlign w:val="center"/>
          </w:tcPr>
          <w:p w14:paraId="1B106E40" w14:textId="3D829351" w:rsidR="00277352" w:rsidRPr="00BF3639" w:rsidRDefault="00277352" w:rsidP="008C65A0">
            <w:pPr>
              <w:pStyle w:val="-1"/>
            </w:pPr>
            <w:bookmarkStart w:id="1" w:name="_Ref98172175"/>
            <w:r>
              <w:t>(</w:t>
            </w:r>
            <w:r>
              <w:fldChar w:fldCharType="begin"/>
            </w:r>
            <w:r>
              <w:instrText xml:space="preserve"> SEQ Формула \* ARABIC </w:instrText>
            </w:r>
            <w:r>
              <w:fldChar w:fldCharType="separate"/>
            </w:r>
            <w:r w:rsidR="00894EB5">
              <w:rPr>
                <w:noProof/>
              </w:rPr>
              <w:t>1</w:t>
            </w:r>
            <w:r>
              <w:rPr>
                <w:noProof/>
              </w:rPr>
              <w:fldChar w:fldCharType="end"/>
            </w:r>
            <w:r>
              <w:t>)</w:t>
            </w:r>
            <w:bookmarkEnd w:id="1"/>
          </w:p>
        </w:tc>
      </w:tr>
    </w:tbl>
    <w:p w14:paraId="735FE7F0" w14:textId="77777777" w:rsidR="003D7619" w:rsidRPr="003D7619" w:rsidRDefault="00000000" w:rsidP="008C65A0">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vw</m:t>
            </m:r>
          </m:sub>
        </m:sSub>
        <m:r>
          <w:rPr>
            <w:rFonts w:ascii="Cambria Math" w:eastAsiaTheme="minorEastAsia" w:hAnsi="Cambria Math"/>
          </w:rPr>
          <m:t xml:space="preserve"> </m:t>
        </m:r>
      </m:oMath>
      <w:r w:rsidR="003D7619" w:rsidRPr="00C0607C">
        <w:t>is the vulnerability window size,</w:t>
      </w:r>
      <w:r w:rsidR="003D7619" w:rsidRPr="00705154">
        <w:rPr>
          <w:rStyle w:val="Char"/>
        </w:rPr>
        <w:t xml:space="preserve"> </w:t>
      </w:r>
      <m:oMath>
        <m:sSub>
          <m:sSubPr>
            <m:ctrlPr>
              <w:rPr>
                <w:rFonts w:ascii="Cambria Math" w:eastAsiaTheme="minorHAnsi" w:hAnsi="Cambria Math"/>
              </w:rPr>
            </m:ctrlPr>
          </m:sSubPr>
          <m:e>
            <m:r>
              <w:rPr>
                <w:rFonts w:ascii="Cambria Math" w:hAnsi="Cambria Math"/>
              </w:rPr>
              <m:t>t</m:t>
            </m:r>
          </m:e>
          <m:sub>
            <m:r>
              <w:rPr>
                <w:rFonts w:ascii="Cambria Math" w:hAnsi="Cambria Math"/>
              </w:rPr>
              <m:t>rq</m:t>
            </m:r>
          </m:sub>
        </m:sSub>
      </m:oMath>
      <w:r w:rsidR="003D7619" w:rsidRPr="00705154">
        <w:rPr>
          <w:rStyle w:val="Char"/>
        </w:rPr>
        <w:t xml:space="preserve"> </w:t>
      </w:r>
      <w:r w:rsidR="003D7619" w:rsidRPr="00C0607C">
        <w:t>is the time to read a TPM quote</w:t>
      </w:r>
      <w:r w:rsidR="003D7619" w:rsidRPr="00705154">
        <w:rPr>
          <w:rStyle w:val="Char"/>
        </w:rPr>
        <w:t xml:space="preserve">, </w:t>
      </w:r>
      <w:r w:rsidR="003D7619" w:rsidRPr="00C0607C">
        <w:t>n is the</w:t>
      </w:r>
      <w:r w:rsidR="003D7619" w:rsidRPr="00705154">
        <w:rPr>
          <w:rStyle w:val="Char"/>
        </w:rPr>
        <w:t xml:space="preserve"> </w:t>
      </w:r>
      <w:r w:rsidR="003D7619" w:rsidRPr="00C0607C">
        <w:t>maximum</w:t>
      </w:r>
      <w:r w:rsidR="003D7619" w:rsidRPr="00705154">
        <w:rPr>
          <w:rStyle w:val="Char"/>
        </w:rPr>
        <w:t xml:space="preserve"> </w:t>
      </w:r>
      <w:r w:rsidR="003D7619" w:rsidRPr="003D7619">
        <w:t xml:space="preserve">number of events that can be opened within </w:t>
      </w:r>
      <m:oMath>
        <m:sSub>
          <m:sSubPr>
            <m:ctrlPr>
              <w:rPr>
                <w:rFonts w:ascii="Cambria Math" w:eastAsiaTheme="minorHAnsi" w:hAnsi="Cambria Math"/>
              </w:rPr>
            </m:ctrlPr>
          </m:sSubPr>
          <m:e>
            <m:r>
              <w:rPr>
                <w:rFonts w:ascii="Cambria Math" w:hAnsi="Cambria Math"/>
              </w:rPr>
              <m:t>t</m:t>
            </m:r>
          </m:e>
          <m:sub>
            <m:r>
              <w:rPr>
                <w:rFonts w:ascii="Cambria Math" w:hAnsi="Cambria Math"/>
              </w:rPr>
              <m:t>rq</m:t>
            </m:r>
          </m:sub>
        </m:sSub>
      </m:oMath>
      <w:r w:rsidR="003D7619" w:rsidRPr="003D7619">
        <w:t xml:space="preserve">, </w:t>
      </w:r>
      <m:oMath>
        <m:sSub>
          <m:sSubPr>
            <m:ctrlPr>
              <w:rPr>
                <w:rFonts w:ascii="Cambria Math" w:eastAsiaTheme="minorHAnsi" w:hAnsi="Cambria Math"/>
              </w:rPr>
            </m:ctrlPr>
          </m:sSubPr>
          <m:e>
            <m:r>
              <w:rPr>
                <w:rFonts w:ascii="Cambria Math" w:hAnsi="Cambria Math"/>
              </w:rPr>
              <m:t>t</m:t>
            </m:r>
          </m:e>
          <m:sub>
            <m:r>
              <w:rPr>
                <w:rFonts w:ascii="Cambria Math" w:hAnsi="Cambria Math"/>
              </w:rPr>
              <m:t>re</m:t>
            </m:r>
          </m:sub>
        </m:sSub>
      </m:oMath>
      <w:r w:rsidR="003D7619" w:rsidRPr="003D7619">
        <w:t xml:space="preserve"> is the time to read a single event from the IMA log, </w:t>
      </w:r>
      <m:oMath>
        <m:sSub>
          <m:sSubPr>
            <m:ctrlPr>
              <w:rPr>
                <w:rFonts w:ascii="Cambria Math" w:eastAsiaTheme="minorHAnsi" w:hAnsi="Cambria Math"/>
              </w:rPr>
            </m:ctrlPr>
          </m:sSubPr>
          <m:e>
            <m:r>
              <w:rPr>
                <w:rFonts w:ascii="Cambria Math" w:hAnsi="Cambria Math"/>
              </w:rPr>
              <m:t>t</m:t>
            </m:r>
          </m:e>
          <m:sub>
            <m:r>
              <w:rPr>
                <w:rFonts w:ascii="Cambria Math" w:hAnsi="Cambria Math"/>
              </w:rPr>
              <m:t>vp</m:t>
            </m:r>
          </m:sub>
        </m:sSub>
      </m:oMath>
      <w:r w:rsidR="003D7619" w:rsidRPr="003D7619">
        <w:t xml:space="preserve"> is the time required by the agent to verify the policy and by a verifier to send, receive, and process the verification request.</w:t>
      </w:r>
    </w:p>
    <w:p w14:paraId="4151D607" w14:textId="46439513" w:rsidR="003D7619" w:rsidRPr="00842432" w:rsidRDefault="00842432" w:rsidP="008C65A0">
      <w:pPr>
        <w:pStyle w:val="Heading2"/>
      </w:pPr>
      <w:r w:rsidRPr="00842432">
        <w:t>SCOPE AND GOALS</w:t>
      </w:r>
    </w:p>
    <w:p w14:paraId="7B8C9D7C" w14:textId="77777777" w:rsidR="003D7619" w:rsidRPr="00B606E0" w:rsidRDefault="003D7619" w:rsidP="008C65A0">
      <w:r w:rsidRPr="003D7619">
        <w:t>Thesis Statement State-of-the-art security technologies, such as trusted execution environments and trusted computing techniques, protect the confidentiality and integrity of high-assurance security systems’ execution and data by running them on top of a trustworthy operating system and in strong isolation from other software executing on the computer. However, these technologies were designed for different use cases, operate under various threat models, and offer distinct security guarantees. It is unclear whether their combination gives any security advantages and what possible security, performance, and usability trade-offs must be made</w:t>
      </w:r>
    </w:p>
    <w:p w14:paraId="62C42F22" w14:textId="77777777" w:rsidR="00B01027" w:rsidRDefault="003D7619" w:rsidP="008C65A0">
      <w:pPr>
        <w:pStyle w:val="a7"/>
      </w:pPr>
      <w:r w:rsidRPr="003D1CF0">
        <w:rPr>
          <w:noProof/>
        </w:rPr>
        <w:drawing>
          <wp:inline distT="0" distB="0" distL="0" distR="0" wp14:anchorId="0CB3CE84" wp14:editId="7A5AA637">
            <wp:extent cx="5939790" cy="2631159"/>
            <wp:effectExtent l="0" t="0" r="3810" b="0"/>
            <wp:docPr id="182537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78500" name=""/>
                    <pic:cNvPicPr/>
                  </pic:nvPicPr>
                  <pic:blipFill>
                    <a:blip r:embed="rId8"/>
                    <a:stretch>
                      <a:fillRect/>
                    </a:stretch>
                  </pic:blipFill>
                  <pic:spPr>
                    <a:xfrm>
                      <a:off x="0" y="0"/>
                      <a:ext cx="5939790" cy="2631159"/>
                    </a:xfrm>
                    <a:prstGeom prst="rect">
                      <a:avLst/>
                    </a:prstGeom>
                  </pic:spPr>
                </pic:pic>
              </a:graphicData>
            </a:graphic>
          </wp:inline>
        </w:drawing>
      </w:r>
    </w:p>
    <w:p w14:paraId="1487AE1E" w14:textId="0520277C" w:rsidR="00B01027" w:rsidRPr="00B01027" w:rsidRDefault="00B01027" w:rsidP="008C65A0">
      <w:pPr>
        <w:pStyle w:val="-3"/>
      </w:pPr>
      <w:bookmarkStart w:id="2" w:name="_Ref163733386"/>
      <w:r>
        <w:t>Fig</w:t>
      </w:r>
      <w:r w:rsidR="00FE4C31" w:rsidRPr="00FE4C31">
        <w:t>.</w:t>
      </w:r>
      <w:r>
        <w:t xml:space="preserve"> </w:t>
      </w:r>
      <w:r>
        <w:fldChar w:fldCharType="begin"/>
      </w:r>
      <w:r w:rsidRPr="00B01027">
        <w:instrText xml:space="preserve"> SEQ </w:instrText>
      </w:r>
      <w:r>
        <w:instrText>Рисунок</w:instrText>
      </w:r>
      <w:r w:rsidRPr="00B01027">
        <w:instrText xml:space="preserve"> \* ARABIC </w:instrText>
      </w:r>
      <w:r>
        <w:fldChar w:fldCharType="separate"/>
      </w:r>
      <w:r w:rsidR="00894EB5">
        <w:t>1</w:t>
      </w:r>
      <w:r>
        <w:fldChar w:fldCharType="end"/>
      </w:r>
      <w:bookmarkEnd w:id="2"/>
      <w:r w:rsidR="00FE4C31" w:rsidRPr="00FE4C31">
        <w:t xml:space="preserve">  </w:t>
      </w:r>
      <w:r w:rsidRPr="00FE4C31">
        <w:t>Research problems addressed in this thesis. The TPM stands for the trusted platform module, a secure element collecting integrity measurements of software executing on a computer. The vTPM stands for a virtual trusted platform module, a TPM emulator collecting virtual machine integrity measurements</w:t>
      </w:r>
      <w:r w:rsidRPr="00EB7746">
        <w:t xml:space="preserve">. </w:t>
      </w:r>
    </w:p>
    <w:p w14:paraId="77D88AA8" w14:textId="77777777" w:rsidR="009F4081" w:rsidRPr="00B606E0" w:rsidRDefault="009F4081" w:rsidP="008C65A0">
      <w:r w:rsidRPr="009F4081">
        <w:t>to use them together. This thesis explores how high-assurance security systems can benefit from both trusted computing and trusted execution environments in a secure, practical, and efficient way.</w:t>
      </w:r>
    </w:p>
    <w:p w14:paraId="4F39DFBC" w14:textId="75DDE9F5" w:rsidR="009F4081" w:rsidRPr="00842432" w:rsidRDefault="009F4081" w:rsidP="008C65A0">
      <w:pPr>
        <w:pStyle w:val="Heading3"/>
      </w:pPr>
      <w:bookmarkStart w:id="3" w:name="_Toc163737107"/>
      <w:r w:rsidRPr="00842432">
        <w:t>Scope</w:t>
      </w:r>
      <w:bookmarkEnd w:id="3"/>
    </w:p>
    <w:p w14:paraId="7A48FF8B" w14:textId="0B267163" w:rsidR="009F4081" w:rsidRPr="008C65A0" w:rsidRDefault="009F4081" w:rsidP="008C65A0">
      <w:r w:rsidRPr="008C65A0">
        <w:t>In this thesis, I focus on leveraging well-established state-of-the-art security techniques to solve existing problems in domains of remote attestation, secure remote computation, confidential computing, and secure multi-party computation (</w:t>
      </w:r>
      <w:r w:rsidR="00B01027" w:rsidRPr="008C65A0">
        <w:fldChar w:fldCharType="begin"/>
      </w:r>
      <w:r w:rsidR="00B01027" w:rsidRPr="008C65A0">
        <w:instrText xml:space="preserve"> REF _Ref163733386 \h </w:instrText>
      </w:r>
      <w:r w:rsidR="008C65A0" w:rsidRPr="008C65A0">
        <w:instrText xml:space="preserve"> \* MERGEFORMAT </w:instrText>
      </w:r>
      <w:r w:rsidR="00B01027" w:rsidRPr="008C65A0">
        <w:fldChar w:fldCharType="separate"/>
      </w:r>
      <w:r w:rsidR="00894EB5">
        <w:t>Fig</w:t>
      </w:r>
      <w:r w:rsidR="00894EB5" w:rsidRPr="00FE4C31">
        <w:t>.</w:t>
      </w:r>
      <w:r w:rsidR="00894EB5">
        <w:t xml:space="preserve"> </w:t>
      </w:r>
      <w:r w:rsidR="00894EB5">
        <w:rPr>
          <w:noProof/>
        </w:rPr>
        <w:t>1</w:t>
      </w:r>
      <w:r w:rsidR="00B01027" w:rsidRPr="008C65A0">
        <w:fldChar w:fldCharType="end"/>
      </w:r>
      <w:r w:rsidRPr="008C65A0">
        <w:t>). I start with a fundamental problem of how to verify that a remote computer I interact with is in the expected geographical location, i.e., inside a trusted data center (</w:t>
      </w:r>
      <w:r w:rsidRPr="008C65A0">
        <w:rPr>
          <w:rFonts w:ascii="Segoe UI Symbol" w:hAnsi="Segoe UI Symbol" w:cs="Segoe UI Symbol"/>
        </w:rPr>
        <w:t>➊</w:t>
      </w:r>
      <w:r w:rsidRPr="008C65A0">
        <w:t xml:space="preserve">). Having a technical assurance that a computer is in the specific data center is the </w:t>
      </w:r>
      <w:r w:rsidRPr="008C65A0">
        <w:lastRenderedPageBreak/>
        <w:t>first step in establishing trust with that computer because it allows us to assume that the computer is protected from physical and hardware attacks. Next, I tackle the problem of verifying that this specific computer runs only the expected software in the expected configuration (</w:t>
      </w:r>
      <w:r w:rsidRPr="008C65A0">
        <w:rPr>
          <w:rFonts w:ascii="Segoe UI Symbol" w:hAnsi="Segoe UI Symbol" w:cs="Segoe UI Symbol"/>
        </w:rPr>
        <w:t>➋</w:t>
      </w:r>
      <w:r w:rsidRPr="008C65A0">
        <w:t>). For that, I solve the cuckoo attack problem that prevents from establishing trust with a secure element collecting software integrity measurements (</w:t>
      </w:r>
      <w:r w:rsidRPr="008C65A0">
        <w:rPr>
          <w:rFonts w:ascii="Segoe UI Symbol" w:hAnsi="Segoe UI Symbol" w:cs="Segoe UI Symbol"/>
        </w:rPr>
        <w:t>➌</w:t>
      </w:r>
      <w:r w:rsidRPr="008C65A0">
        <w:t>). After that, I address the issue of how to verify that the operating system running inside a virtual machine executes the expected software in the expected configuration (</w:t>
      </w:r>
      <w:r w:rsidRPr="008C65A0">
        <w:rPr>
          <w:rFonts w:ascii="Segoe UI Symbol" w:hAnsi="Segoe UI Symbol" w:cs="Segoe UI Symbol"/>
        </w:rPr>
        <w:t>➍</w:t>
      </w:r>
      <w:r w:rsidRPr="008C65A0">
        <w:t>). For that, I analyze the existing state-of-the-art approach of virtualizing a security element compliant with the trusted platform module standard [90], and I propose how to improve it (</w:t>
      </w:r>
      <w:r w:rsidRPr="008C65A0">
        <w:rPr>
          <w:rFonts w:ascii="Segoe UI Symbol" w:hAnsi="Segoe UI Symbol" w:cs="Segoe UI Symbol"/>
        </w:rPr>
        <w:t>➎</w:t>
      </w:r>
      <w:r w:rsidRPr="008C65A0">
        <w:t xml:space="preserve">). After solving the problems </w:t>
      </w:r>
      <w:r w:rsidRPr="008C65A0">
        <w:rPr>
          <w:rFonts w:ascii="Segoe UI Symbol" w:hAnsi="Segoe UI Symbol" w:cs="Segoe UI Symbol"/>
        </w:rPr>
        <w:t>➊</w:t>
      </w:r>
      <w:r w:rsidRPr="008C65A0">
        <w:t>-</w:t>
      </w:r>
      <w:r w:rsidRPr="008C65A0">
        <w:rPr>
          <w:rFonts w:ascii="Segoe UI Symbol" w:hAnsi="Segoe UI Symbol" w:cs="Segoe UI Symbol"/>
        </w:rPr>
        <w:t>➎</w:t>
      </w:r>
      <w:r w:rsidRPr="008C65A0">
        <w:t>, I show how the proposed mechanisms might be used in practice. I tackle the problem of how multiple stakeholders could cooperate to perform collaborative computation on remote computers (</w:t>
      </w:r>
      <w:r w:rsidRPr="008C65A0">
        <w:rPr>
          <w:rFonts w:ascii="Segoe UI Symbol" w:hAnsi="Segoe UI Symbol" w:cs="Segoe UI Symbol"/>
        </w:rPr>
        <w:t>➏</w:t>
      </w:r>
      <w:r w:rsidRPr="008C65A0">
        <w:t>) and how they could trade-off between security and performance (</w:t>
      </w:r>
      <w:r w:rsidRPr="008C65A0">
        <w:rPr>
          <w:rFonts w:ascii="Segoe UI Symbol" w:hAnsi="Segoe UI Symbol" w:cs="Segoe UI Symbol"/>
        </w:rPr>
        <w:t>➐</w:t>
      </w:r>
      <w:r w:rsidRPr="008C65A0">
        <w:t xml:space="preserve">). Specifically, how they might agree on which security mechanisms they want to rely on to protect their workloads while gaining access to hardware accelerators. Finally, I deal with practical issues that limit the usage of integrity enforcement and moni7 1 Introduction </w:t>
      </w:r>
      <w:proofErr w:type="spellStart"/>
      <w:r w:rsidRPr="008C65A0">
        <w:t>toring</w:t>
      </w:r>
      <w:proofErr w:type="spellEnd"/>
      <w:r w:rsidRPr="008C65A0">
        <w:t xml:space="preserve"> techniques in production. First, I investigate how to safely install software updates on an integrity-enforced operating system (</w:t>
      </w:r>
      <w:r w:rsidRPr="008C65A0">
        <w:rPr>
          <w:rFonts w:ascii="Segoe UI Symbol" w:hAnsi="Segoe UI Symbol" w:cs="Segoe UI Symbol"/>
        </w:rPr>
        <w:t>➑</w:t>
      </w:r>
      <w:r w:rsidRPr="008C65A0">
        <w:t>), i.e., I look for a solution in which a remote verifier who monitors the integrity of the operating system can ensure that the new integrity state is a result of the trusted update and not of an attack. Second, I check how a system owner could in practice manage a group of resources, i.e., define, configure, and monitor remote computers that differ in terms of running workloads and applied security mechanisms (</w:t>
      </w:r>
      <w:r w:rsidRPr="008C65A0">
        <w:rPr>
          <w:rFonts w:ascii="Segoe UI Symbol" w:hAnsi="Segoe UI Symbol" w:cs="Segoe UI Symbol"/>
        </w:rPr>
        <w:t>➒</w:t>
      </w:r>
      <w:r w:rsidRPr="008C65A0">
        <w:t>).</w:t>
      </w:r>
    </w:p>
    <w:p w14:paraId="574645A9" w14:textId="37FCF65A" w:rsidR="009F4081" w:rsidRPr="009F3CEB" w:rsidRDefault="009F4081" w:rsidP="008C65A0">
      <w:pPr>
        <w:pStyle w:val="Heading3"/>
      </w:pPr>
      <w:bookmarkStart w:id="4" w:name="_Toc163737108"/>
      <w:r w:rsidRPr="009F3CEB">
        <w:t>Goals</w:t>
      </w:r>
      <w:bookmarkEnd w:id="4"/>
      <w:r w:rsidRPr="009F3CEB">
        <w:t xml:space="preserve"> </w:t>
      </w:r>
    </w:p>
    <w:p w14:paraId="3DEB516A" w14:textId="77777777" w:rsidR="009F4081" w:rsidRDefault="009F4081" w:rsidP="008C65A0">
      <w:r w:rsidRPr="009F4081">
        <w:t xml:space="preserve">The main goal of this thesis is to build a framework to harden high-assurance security systems. </w:t>
      </w:r>
      <w:r w:rsidRPr="00A64F3F">
        <w:t>The design goals are:</w:t>
      </w:r>
    </w:p>
    <w:p w14:paraId="079F345D" w14:textId="77777777" w:rsidR="009F4081" w:rsidRPr="00842432" w:rsidRDefault="009F4081" w:rsidP="00894EB5">
      <w:pPr>
        <w:pStyle w:val="a"/>
      </w:pPr>
      <w:r w:rsidRPr="00842432">
        <w:t xml:space="preserve">Security. The framework should provide strong security guarantees to high-assurance security systems. It should allow individual processes to be run in isolation from privileged software (under the trusted execution environment threat model) and on top of a trustworthy operating system (under the trusted computing threat model). </w:t>
      </w:r>
    </w:p>
    <w:p w14:paraId="01A899FF" w14:textId="77777777" w:rsidR="009F4081" w:rsidRPr="00842432" w:rsidRDefault="009F4081" w:rsidP="00894EB5">
      <w:pPr>
        <w:pStyle w:val="a"/>
      </w:pPr>
      <w:r w:rsidRPr="00842432">
        <w:t xml:space="preserve">Attestation. The system owner should obtain technical assurance that the high-assurance security systems execute in well-defined geographic locations inside an execution environment meeting his security requirements. </w:t>
      </w:r>
    </w:p>
    <w:p w14:paraId="3C2886AE" w14:textId="77777777" w:rsidR="009F4081" w:rsidRPr="00842432" w:rsidRDefault="009F4081" w:rsidP="00894EB5">
      <w:pPr>
        <w:pStyle w:val="a"/>
      </w:pPr>
      <w:r w:rsidRPr="00842432">
        <w:t>Practicality. The framework must support running legacy systems without requiring source code changes. It is acceptable to instrument source code at the compilation level or run inside virtual machines. It must also support software updates and incur acceptable, low (≤ 10%) performance overhead.</w:t>
      </w:r>
    </w:p>
    <w:p w14:paraId="79C3A025" w14:textId="77777777" w:rsidR="009F4081" w:rsidRPr="00842432" w:rsidRDefault="009F4081" w:rsidP="00894EB5">
      <w:pPr>
        <w:pStyle w:val="a"/>
      </w:pPr>
      <w:r w:rsidRPr="00842432">
        <w:t>Usability. The framework must be configurable to individual use cases by allowing users to declaratively state their trust boundaries and make a trade-off between security and performance. It should permit central management (configuration distribution and notification collection) of multiple computing resources.</w:t>
      </w:r>
    </w:p>
    <w:p w14:paraId="1785B1AD" w14:textId="77777777" w:rsidR="009F4081" w:rsidRDefault="009F4081" w:rsidP="008C65A0">
      <w:pPr>
        <w:pStyle w:val="Heading1"/>
      </w:pPr>
      <w:bookmarkStart w:id="5" w:name="_Toc163737109"/>
      <w:r w:rsidRPr="00A64F3F">
        <w:lastRenderedPageBreak/>
        <w:t>Background</w:t>
      </w:r>
      <w:bookmarkEnd w:id="5"/>
    </w:p>
    <w:p w14:paraId="7EFDFFE7" w14:textId="67B416B3" w:rsidR="009F4081" w:rsidRPr="00B01027" w:rsidRDefault="009F4081" w:rsidP="008C65A0">
      <w:r w:rsidRPr="00A64F3F">
        <w:t xml:space="preserve"> </w:t>
      </w:r>
      <w:r w:rsidRPr="005D4FE4">
        <w:t xml:space="preserve">High-assurance security systems are deployed as multiple services distributed across multiple computers to ensure high availability, fault tolerance, and resource scalability. As such, their architects, owners, and security officers face the problem of secure remote computation, i.e., how to ensure the confidentiality and integrity of data and code executing on a remote computer? This chapter explores existing techniques that allow users to establish trust with a remote computer, attest to the integrity of software running on such a computer, and protect the integrity and confidentiality of individual applications’ code and data against malicious operating systems and administrators. </w:t>
      </w:r>
      <w:r w:rsidR="00B01027">
        <w:fldChar w:fldCharType="begin"/>
      </w:r>
      <w:r w:rsidR="00B01027" w:rsidRPr="005D4FE4">
        <w:instrText xml:space="preserve"> REF _Ref163733476 \h </w:instrText>
      </w:r>
      <w:r w:rsidR="00B01027">
        <w:fldChar w:fldCharType="separate"/>
      </w:r>
      <w:r w:rsidR="00894EB5" w:rsidRPr="00FE4C31">
        <w:t xml:space="preserve">Fig. </w:t>
      </w:r>
      <w:r w:rsidR="00894EB5">
        <w:rPr>
          <w:noProof/>
        </w:rPr>
        <w:t>2</w:t>
      </w:r>
      <w:r w:rsidR="00B01027">
        <w:fldChar w:fldCharType="end"/>
      </w:r>
      <w:r w:rsidR="00B01027">
        <w:t xml:space="preserve"> </w:t>
      </w:r>
      <w:r w:rsidRPr="00B01027">
        <w:t xml:space="preserve">shows existing defense mechanisms used to protect computing systems at different levels. </w:t>
      </w:r>
    </w:p>
    <w:p w14:paraId="4F708323" w14:textId="77777777" w:rsidR="00B01027" w:rsidRDefault="009F4081" w:rsidP="008C65A0">
      <w:pPr>
        <w:pStyle w:val="a7"/>
      </w:pPr>
      <w:r w:rsidRPr="00A64F3F">
        <w:rPr>
          <w:noProof/>
        </w:rPr>
        <w:drawing>
          <wp:inline distT="0" distB="0" distL="0" distR="0" wp14:anchorId="76D97E00" wp14:editId="7691594B">
            <wp:extent cx="5939790" cy="2561951"/>
            <wp:effectExtent l="0" t="0" r="3810" b="0"/>
            <wp:docPr id="44342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29716" name=""/>
                    <pic:cNvPicPr/>
                  </pic:nvPicPr>
                  <pic:blipFill>
                    <a:blip r:embed="rId9"/>
                    <a:stretch>
                      <a:fillRect/>
                    </a:stretch>
                  </pic:blipFill>
                  <pic:spPr>
                    <a:xfrm>
                      <a:off x="0" y="0"/>
                      <a:ext cx="5939790" cy="2561951"/>
                    </a:xfrm>
                    <a:prstGeom prst="rect">
                      <a:avLst/>
                    </a:prstGeom>
                  </pic:spPr>
                </pic:pic>
              </a:graphicData>
            </a:graphic>
          </wp:inline>
        </w:drawing>
      </w:r>
    </w:p>
    <w:p w14:paraId="11820FB5" w14:textId="15557321" w:rsidR="009F4081" w:rsidRPr="00FE4C31" w:rsidRDefault="00B01027" w:rsidP="008C65A0">
      <w:pPr>
        <w:pStyle w:val="-3"/>
      </w:pPr>
      <w:bookmarkStart w:id="6" w:name="_Ref163733476"/>
      <w:r w:rsidRPr="00FE4C31">
        <w:t>Fig</w:t>
      </w:r>
      <w:r w:rsidR="00FE4C31" w:rsidRPr="00FE4C31">
        <w:t>.</w:t>
      </w:r>
      <w:r w:rsidRPr="00FE4C31">
        <w:t xml:space="preserve"> </w:t>
      </w:r>
      <w:r w:rsidRPr="00FE4C31">
        <w:fldChar w:fldCharType="begin"/>
      </w:r>
      <w:r w:rsidRPr="00FE4C31">
        <w:instrText xml:space="preserve"> SEQ Рисунок \* ARABIC </w:instrText>
      </w:r>
      <w:r w:rsidRPr="00FE4C31">
        <w:fldChar w:fldCharType="separate"/>
      </w:r>
      <w:r w:rsidR="00894EB5">
        <w:t>2</w:t>
      </w:r>
      <w:r w:rsidRPr="00FE4C31">
        <w:fldChar w:fldCharType="end"/>
      </w:r>
      <w:bookmarkEnd w:id="6"/>
      <w:r w:rsidRPr="00FE4C31">
        <w:t xml:space="preserve"> </w:t>
      </w:r>
      <w:r w:rsidR="00FE4C31" w:rsidRPr="00FE4C31">
        <w:t xml:space="preserve"> </w:t>
      </w:r>
      <w:r w:rsidRPr="00FE4C31">
        <w:t>Overview of mechanisms protecting high-assurance security systems against a wide range of threats</w:t>
      </w:r>
      <w:r w:rsidR="00FE4C31" w:rsidRPr="00FE4C31">
        <w:t>.</w:t>
      </w:r>
    </w:p>
    <w:p w14:paraId="3B1A5020" w14:textId="77777777" w:rsidR="009F4081" w:rsidRPr="00A96917" w:rsidRDefault="009F4081" w:rsidP="008C65A0">
      <w:pPr>
        <w:pStyle w:val="Heading2"/>
      </w:pPr>
      <w:bookmarkStart w:id="7" w:name="_Toc163737110"/>
      <w:r w:rsidRPr="00A96917">
        <w:t>Trusted Computing</w:t>
      </w:r>
      <w:bookmarkEnd w:id="7"/>
    </w:p>
    <w:p w14:paraId="79003B9F" w14:textId="78B27EE5" w:rsidR="00B93243" w:rsidRPr="00FF67EF" w:rsidRDefault="009F4081" w:rsidP="008C65A0">
      <w:r w:rsidRPr="009F4081">
        <w:t xml:space="preserve"> Techniques Trusted computing techniques (TCTs) offer well-established, widely available methods to build the hardware-based computer’s identity, record and attest to software integrity, and prevent unauthorized changes to software configuration. The crucial TCTs features are</w:t>
      </w:r>
      <w:r w:rsidR="00FF67EF">
        <w:t>:</w:t>
      </w:r>
    </w:p>
    <w:p w14:paraId="0EF776FC" w14:textId="187B9A86" w:rsidR="00B93243" w:rsidRPr="00894EB5" w:rsidRDefault="009F4081" w:rsidP="00894EB5">
      <w:pPr>
        <w:pStyle w:val="a"/>
        <w:numPr>
          <w:ilvl w:val="0"/>
          <w:numId w:val="26"/>
        </w:numPr>
        <w:ind w:hanging="219"/>
      </w:pPr>
      <w:r w:rsidRPr="00894EB5">
        <w:t xml:space="preserve">remote attestation, i.e., auditing, of what software has executed on the computer </w:t>
      </w:r>
    </w:p>
    <w:p w14:paraId="7B80B10A" w14:textId="45B6C02E" w:rsidR="009F4081" w:rsidRPr="00894EB5" w:rsidRDefault="009F4081" w:rsidP="00894EB5">
      <w:pPr>
        <w:pStyle w:val="a"/>
      </w:pPr>
      <w:r w:rsidRPr="00894EB5">
        <w:t xml:space="preserve">integrity enforcement mechanisms ensuring that only expected software in the expected configuration can execute on the computer. </w:t>
      </w:r>
    </w:p>
    <w:p w14:paraId="1314CF89" w14:textId="7E0D913F" w:rsidR="009F4081" w:rsidRPr="009F4081" w:rsidRDefault="009F4081" w:rsidP="008C65A0">
      <w:pPr>
        <w:pStyle w:val="Heading2"/>
      </w:pPr>
      <w:bookmarkStart w:id="8" w:name="_Toc163737111"/>
      <w:r w:rsidRPr="009F4081">
        <w:t>Security Guarantees</w:t>
      </w:r>
      <w:bookmarkEnd w:id="8"/>
    </w:p>
    <w:p w14:paraId="206A7AD6" w14:textId="77777777" w:rsidR="009F4081" w:rsidRPr="009F4081" w:rsidRDefault="009F4081" w:rsidP="008C65A0">
      <w:r w:rsidRPr="009F4081">
        <w:t xml:space="preserve"> TCTs define how to measure, store, enforce, and report the load-time integrity of firmware and software that has been loaded to the computer’s memory since the moment a computer was powered-up. The reporting capability (also referred to as auditing or remote attestation) allows verification that the operating system is in the expected, well-defined state, while the enforcement capability prevents the operating system from moving into an untrusted state by refusing to load an unknown, potentially malicious software to the memory. Crucially, the reporting capability verifies that the enforcement mechanism is enabled and certifies this to a remote entity with the help of the secure element.</w:t>
      </w:r>
    </w:p>
    <w:p w14:paraId="4F6DC03D" w14:textId="4FF030AD" w:rsidR="00ED0319" w:rsidRPr="00ED0319" w:rsidRDefault="00ED0319" w:rsidP="008C65A0">
      <w:pPr>
        <w:pStyle w:val="-4"/>
      </w:pPr>
      <w:bookmarkStart w:id="9" w:name="_Ref163734405"/>
      <w:r w:rsidRPr="00A96917">
        <w:t xml:space="preserve">Table </w:t>
      </w:r>
      <w:r w:rsidRPr="00FF67EF">
        <w:fldChar w:fldCharType="begin"/>
      </w:r>
      <w:r w:rsidRPr="00A96917">
        <w:instrText xml:space="preserve"> SEQ </w:instrText>
      </w:r>
      <w:r w:rsidRPr="00FF67EF">
        <w:instrText>Таблица</w:instrText>
      </w:r>
      <w:r w:rsidRPr="00A96917">
        <w:instrText xml:space="preserve"> \* ARABIC </w:instrText>
      </w:r>
      <w:r w:rsidRPr="00FF67EF">
        <w:fldChar w:fldCharType="separate"/>
      </w:r>
      <w:r w:rsidR="00894EB5">
        <w:rPr>
          <w:noProof/>
        </w:rPr>
        <w:t>1</w:t>
      </w:r>
      <w:r w:rsidRPr="00FF67EF">
        <w:fldChar w:fldCharType="end"/>
      </w:r>
      <w:bookmarkEnd w:id="9"/>
      <w:r w:rsidRPr="00A96917">
        <w:t xml:space="preserve"> The VM boot time depending on the TPM</w:t>
      </w:r>
      <w:r w:rsidRPr="00ED0319">
        <w:rPr>
          <w:noProof/>
        </w:rPr>
        <w:t>.</w:t>
      </w:r>
    </w:p>
    <w:tbl>
      <w:tblPr>
        <w:tblStyle w:val="TableGrid"/>
        <w:tblW w:w="0" w:type="auto"/>
        <w:tblLook w:val="04A0" w:firstRow="1" w:lastRow="0" w:firstColumn="1" w:lastColumn="0" w:noHBand="0" w:noVBand="1"/>
      </w:tblPr>
      <w:tblGrid>
        <w:gridCol w:w="1868"/>
        <w:gridCol w:w="1528"/>
        <w:gridCol w:w="1560"/>
        <w:gridCol w:w="1417"/>
        <w:gridCol w:w="2971"/>
      </w:tblGrid>
      <w:tr w:rsidR="009F4081" w14:paraId="461D2D7B" w14:textId="77777777" w:rsidTr="00ED0319">
        <w:tc>
          <w:tcPr>
            <w:tcW w:w="1868" w:type="dxa"/>
          </w:tcPr>
          <w:p w14:paraId="0759FABF" w14:textId="77777777" w:rsidR="009F4081" w:rsidRPr="009F4081" w:rsidRDefault="009F4081" w:rsidP="008C65A0">
            <w:pPr>
              <w:pStyle w:val="-1"/>
            </w:pPr>
          </w:p>
        </w:tc>
        <w:tc>
          <w:tcPr>
            <w:tcW w:w="1528" w:type="dxa"/>
          </w:tcPr>
          <w:p w14:paraId="21F52384" w14:textId="77777777" w:rsidR="009F4081" w:rsidRPr="0058579E" w:rsidRDefault="009F4081" w:rsidP="008C65A0">
            <w:pPr>
              <w:pStyle w:val="-1"/>
            </w:pPr>
            <w:r w:rsidRPr="0058579E">
              <w:t>MC</w:t>
            </w:r>
          </w:p>
        </w:tc>
        <w:tc>
          <w:tcPr>
            <w:tcW w:w="1560" w:type="dxa"/>
          </w:tcPr>
          <w:p w14:paraId="54604649" w14:textId="77777777" w:rsidR="009F4081" w:rsidRPr="0058579E" w:rsidRDefault="009F4081" w:rsidP="008C65A0">
            <w:pPr>
              <w:pStyle w:val="-1"/>
            </w:pPr>
            <w:r w:rsidRPr="0058579E">
              <w:t>TPM</w:t>
            </w:r>
          </w:p>
        </w:tc>
        <w:tc>
          <w:tcPr>
            <w:tcW w:w="1417" w:type="dxa"/>
          </w:tcPr>
          <w:p w14:paraId="0C75355D" w14:textId="77777777" w:rsidR="009F4081" w:rsidRPr="0058579E" w:rsidRDefault="009F4081" w:rsidP="008C65A0">
            <w:pPr>
              <w:pStyle w:val="-1"/>
            </w:pPr>
            <w:r w:rsidRPr="0058579E">
              <w:t>IMA</w:t>
            </w:r>
          </w:p>
        </w:tc>
        <w:tc>
          <w:tcPr>
            <w:tcW w:w="2971" w:type="dxa"/>
          </w:tcPr>
          <w:p w14:paraId="078CF845" w14:textId="77777777" w:rsidR="009F4081" w:rsidRPr="0058579E" w:rsidRDefault="009F4081" w:rsidP="008C65A0">
            <w:pPr>
              <w:pStyle w:val="-1"/>
            </w:pPr>
            <w:r w:rsidRPr="0058579E">
              <w:t>Boot time</w:t>
            </w:r>
          </w:p>
        </w:tc>
      </w:tr>
      <w:tr w:rsidR="009F4081" w14:paraId="18C8EE60" w14:textId="77777777" w:rsidTr="00ED0319">
        <w:tc>
          <w:tcPr>
            <w:tcW w:w="1868" w:type="dxa"/>
          </w:tcPr>
          <w:p w14:paraId="6866AD49" w14:textId="77777777" w:rsidR="009F4081" w:rsidRDefault="009F4081" w:rsidP="008C65A0">
            <w:pPr>
              <w:pStyle w:val="-1"/>
            </w:pPr>
            <w:r>
              <w:t>No TPM</w:t>
            </w:r>
          </w:p>
        </w:tc>
        <w:tc>
          <w:tcPr>
            <w:tcW w:w="1528" w:type="dxa"/>
          </w:tcPr>
          <w:p w14:paraId="4612AF0C" w14:textId="77777777" w:rsidR="009F4081" w:rsidRDefault="009F4081" w:rsidP="008C65A0">
            <w:pPr>
              <w:pStyle w:val="-1"/>
            </w:pPr>
            <w:r>
              <w:rPr>
                <w:rFonts w:ascii="Segoe UI Symbol" w:hAnsi="Segoe UI Symbol" w:cs="Segoe UI Symbol"/>
                <w:shd w:val="clear" w:color="auto" w:fill="FFFFFF"/>
              </w:rPr>
              <w:t>✖</w:t>
            </w:r>
          </w:p>
        </w:tc>
        <w:tc>
          <w:tcPr>
            <w:tcW w:w="1560" w:type="dxa"/>
          </w:tcPr>
          <w:p w14:paraId="55D23DEB" w14:textId="77777777" w:rsidR="009F4081" w:rsidRDefault="009F4081" w:rsidP="008C65A0">
            <w:pPr>
              <w:pStyle w:val="-1"/>
            </w:pPr>
            <w:r>
              <w:rPr>
                <w:rFonts w:ascii="Segoe UI Symbol" w:hAnsi="Segoe UI Symbol" w:cs="Segoe UI Symbol"/>
                <w:shd w:val="clear" w:color="auto" w:fill="FFFFFF"/>
              </w:rPr>
              <w:t>✖</w:t>
            </w:r>
          </w:p>
        </w:tc>
        <w:tc>
          <w:tcPr>
            <w:tcW w:w="1417" w:type="dxa"/>
          </w:tcPr>
          <w:p w14:paraId="7D9E430C" w14:textId="77777777" w:rsidR="009F4081" w:rsidRDefault="009F4081" w:rsidP="008C65A0">
            <w:pPr>
              <w:pStyle w:val="-1"/>
            </w:pPr>
            <w:r>
              <w:rPr>
                <w:rFonts w:ascii="Segoe UI Symbol" w:hAnsi="Segoe UI Symbol" w:cs="Segoe UI Symbol"/>
                <w:shd w:val="clear" w:color="auto" w:fill="FFFFFF"/>
              </w:rPr>
              <w:t>✖</w:t>
            </w:r>
          </w:p>
        </w:tc>
        <w:tc>
          <w:tcPr>
            <w:tcW w:w="2971" w:type="dxa"/>
          </w:tcPr>
          <w:p w14:paraId="3B7F2C07" w14:textId="77777777" w:rsidR="009F4081" w:rsidRDefault="009F4081" w:rsidP="008C65A0">
            <w:pPr>
              <w:pStyle w:val="-1"/>
            </w:pPr>
            <w:r>
              <w:t>9.7 sec (σ = 0.1 sec)</w:t>
            </w:r>
          </w:p>
        </w:tc>
      </w:tr>
      <w:tr w:rsidR="009F4081" w14:paraId="748F383A" w14:textId="77777777" w:rsidTr="00ED0319">
        <w:tc>
          <w:tcPr>
            <w:tcW w:w="1868" w:type="dxa"/>
          </w:tcPr>
          <w:p w14:paraId="6F6D8694" w14:textId="77777777" w:rsidR="009F4081" w:rsidRDefault="009F4081" w:rsidP="008C65A0">
            <w:pPr>
              <w:pStyle w:val="-1"/>
            </w:pPr>
            <w:r>
              <w:t>swTPM</w:t>
            </w:r>
          </w:p>
        </w:tc>
        <w:tc>
          <w:tcPr>
            <w:tcW w:w="1528" w:type="dxa"/>
          </w:tcPr>
          <w:p w14:paraId="57D0D453" w14:textId="77777777" w:rsidR="009F4081" w:rsidRDefault="009F4081" w:rsidP="008C65A0">
            <w:pPr>
              <w:pStyle w:val="-1"/>
            </w:pPr>
            <w:r>
              <w:rPr>
                <w:rFonts w:ascii="Segoe UI Symbol" w:hAnsi="Segoe UI Symbol" w:cs="Segoe UI Symbol"/>
                <w:shd w:val="clear" w:color="auto" w:fill="FFFFFF"/>
              </w:rPr>
              <w:t>✖</w:t>
            </w:r>
          </w:p>
        </w:tc>
        <w:tc>
          <w:tcPr>
            <w:tcW w:w="1560" w:type="dxa"/>
          </w:tcPr>
          <w:p w14:paraId="016E5809" w14:textId="77777777" w:rsidR="009F4081" w:rsidRDefault="009F4081" w:rsidP="008C65A0">
            <w:pPr>
              <w:pStyle w:val="-1"/>
            </w:pPr>
            <w:r>
              <w:rPr>
                <w:rFonts w:ascii="Segoe UI Symbol" w:hAnsi="Segoe UI Symbol" w:cs="Segoe UI Symbol"/>
                <w:shd w:val="clear" w:color="auto" w:fill="FFFFFF"/>
              </w:rPr>
              <w:t>✔</w:t>
            </w:r>
          </w:p>
        </w:tc>
        <w:tc>
          <w:tcPr>
            <w:tcW w:w="1417" w:type="dxa"/>
          </w:tcPr>
          <w:p w14:paraId="0134099F" w14:textId="77777777" w:rsidR="009F4081" w:rsidRPr="0058579E" w:rsidRDefault="009F4081" w:rsidP="008C65A0">
            <w:pPr>
              <w:pStyle w:val="-1"/>
            </w:pPr>
            <w:r>
              <w:rPr>
                <w:rFonts w:ascii="Segoe UI Symbol" w:hAnsi="Segoe UI Symbol" w:cs="Segoe UI Symbol"/>
                <w:shd w:val="clear" w:color="auto" w:fill="FFFFFF"/>
              </w:rPr>
              <w:t>✔</w:t>
            </w:r>
          </w:p>
        </w:tc>
        <w:tc>
          <w:tcPr>
            <w:tcW w:w="2971" w:type="dxa"/>
          </w:tcPr>
          <w:p w14:paraId="4461BCA7" w14:textId="77777777" w:rsidR="009F4081" w:rsidRDefault="009F4081" w:rsidP="008C65A0">
            <w:pPr>
              <w:pStyle w:val="-1"/>
            </w:pPr>
            <w:r>
              <w:t>14.0 sec (σ = 0.2 sec)</w:t>
            </w:r>
          </w:p>
        </w:tc>
      </w:tr>
      <w:tr w:rsidR="009F4081" w14:paraId="3686ECE6" w14:textId="77777777" w:rsidTr="00ED0319">
        <w:tc>
          <w:tcPr>
            <w:tcW w:w="1868" w:type="dxa"/>
          </w:tcPr>
          <w:p w14:paraId="356D0DB2" w14:textId="77777777" w:rsidR="009F4081" w:rsidRDefault="009F4081" w:rsidP="008C65A0">
            <w:pPr>
              <w:pStyle w:val="-1"/>
            </w:pPr>
            <w:r>
              <w:t>TRIGLAV</w:t>
            </w:r>
          </w:p>
        </w:tc>
        <w:tc>
          <w:tcPr>
            <w:tcW w:w="1528" w:type="dxa"/>
          </w:tcPr>
          <w:p w14:paraId="33B32C9F" w14:textId="77777777" w:rsidR="009F4081" w:rsidRDefault="009F4081" w:rsidP="008C65A0">
            <w:pPr>
              <w:pStyle w:val="-1"/>
            </w:pPr>
          </w:p>
        </w:tc>
        <w:tc>
          <w:tcPr>
            <w:tcW w:w="1560" w:type="dxa"/>
          </w:tcPr>
          <w:p w14:paraId="7BC3AA1F" w14:textId="77777777" w:rsidR="009F4081" w:rsidRDefault="009F4081" w:rsidP="008C65A0">
            <w:pPr>
              <w:pStyle w:val="-1"/>
            </w:pPr>
          </w:p>
        </w:tc>
        <w:tc>
          <w:tcPr>
            <w:tcW w:w="1417" w:type="dxa"/>
          </w:tcPr>
          <w:p w14:paraId="1C6269B7" w14:textId="77777777" w:rsidR="009F4081" w:rsidRDefault="009F4081" w:rsidP="008C65A0">
            <w:pPr>
              <w:pStyle w:val="-1"/>
            </w:pPr>
          </w:p>
        </w:tc>
        <w:tc>
          <w:tcPr>
            <w:tcW w:w="2971" w:type="dxa"/>
          </w:tcPr>
          <w:p w14:paraId="067E4E1A" w14:textId="77777777" w:rsidR="009F4081" w:rsidRDefault="009F4081" w:rsidP="008C65A0">
            <w:pPr>
              <w:pStyle w:val="-1"/>
            </w:pPr>
          </w:p>
        </w:tc>
      </w:tr>
      <w:tr w:rsidR="009F4081" w14:paraId="5EDF259C" w14:textId="77777777" w:rsidTr="00ED0319">
        <w:tc>
          <w:tcPr>
            <w:tcW w:w="1868" w:type="dxa"/>
          </w:tcPr>
          <w:p w14:paraId="713B08E5" w14:textId="77777777" w:rsidR="009F4081" w:rsidRDefault="009F4081" w:rsidP="008C65A0">
            <w:pPr>
              <w:pStyle w:val="-1"/>
            </w:pPr>
            <w:r>
              <w:t>No MC</w:t>
            </w:r>
          </w:p>
        </w:tc>
        <w:tc>
          <w:tcPr>
            <w:tcW w:w="1528" w:type="dxa"/>
          </w:tcPr>
          <w:p w14:paraId="00D13521" w14:textId="77777777" w:rsidR="009F4081" w:rsidRDefault="009F4081" w:rsidP="008C65A0">
            <w:pPr>
              <w:pStyle w:val="-1"/>
            </w:pPr>
            <w:r>
              <w:rPr>
                <w:rFonts w:ascii="Segoe UI Symbol" w:hAnsi="Segoe UI Symbol" w:cs="Segoe UI Symbol"/>
                <w:shd w:val="clear" w:color="auto" w:fill="FFFFFF"/>
              </w:rPr>
              <w:t>✖</w:t>
            </w:r>
          </w:p>
        </w:tc>
        <w:tc>
          <w:tcPr>
            <w:tcW w:w="1560" w:type="dxa"/>
          </w:tcPr>
          <w:p w14:paraId="74EFD0E2" w14:textId="77777777" w:rsidR="009F4081" w:rsidRDefault="009F4081" w:rsidP="008C65A0">
            <w:pPr>
              <w:pStyle w:val="-1"/>
            </w:pPr>
            <w:r>
              <w:rPr>
                <w:rFonts w:ascii="Segoe UI Symbol" w:hAnsi="Segoe UI Symbol" w:cs="Segoe UI Symbol"/>
                <w:shd w:val="clear" w:color="auto" w:fill="FFFFFF"/>
              </w:rPr>
              <w:t>✔</w:t>
            </w:r>
          </w:p>
        </w:tc>
        <w:tc>
          <w:tcPr>
            <w:tcW w:w="1417" w:type="dxa"/>
          </w:tcPr>
          <w:p w14:paraId="2F2D5A27" w14:textId="77777777" w:rsidR="009F4081" w:rsidRDefault="009F4081" w:rsidP="008C65A0">
            <w:pPr>
              <w:pStyle w:val="-1"/>
            </w:pPr>
            <w:r>
              <w:rPr>
                <w:rFonts w:ascii="Segoe UI Symbol" w:hAnsi="Segoe UI Symbol" w:cs="Segoe UI Symbol"/>
                <w:shd w:val="clear" w:color="auto" w:fill="FFFFFF"/>
              </w:rPr>
              <w:t>✔</w:t>
            </w:r>
          </w:p>
        </w:tc>
        <w:tc>
          <w:tcPr>
            <w:tcW w:w="2971" w:type="dxa"/>
          </w:tcPr>
          <w:p w14:paraId="79E84655" w14:textId="77777777" w:rsidR="009F4081" w:rsidRDefault="009F4081" w:rsidP="008C65A0">
            <w:pPr>
              <w:pStyle w:val="-1"/>
            </w:pPr>
            <w:r>
              <w:t>14.1 sec (σ = 0.3 sec)</w:t>
            </w:r>
          </w:p>
        </w:tc>
      </w:tr>
      <w:tr w:rsidR="009F4081" w14:paraId="586A07D5" w14:textId="77777777" w:rsidTr="00ED0319">
        <w:tc>
          <w:tcPr>
            <w:tcW w:w="1868" w:type="dxa"/>
          </w:tcPr>
          <w:p w14:paraId="31B2BFE5" w14:textId="77777777" w:rsidR="009F4081" w:rsidRDefault="009F4081" w:rsidP="008C65A0">
            <w:pPr>
              <w:pStyle w:val="-1"/>
            </w:pPr>
            <w:r>
              <w:t>With MC</w:t>
            </w:r>
          </w:p>
        </w:tc>
        <w:tc>
          <w:tcPr>
            <w:tcW w:w="1528" w:type="dxa"/>
          </w:tcPr>
          <w:p w14:paraId="31786F16" w14:textId="77777777" w:rsidR="009F4081" w:rsidRDefault="009F4081" w:rsidP="008C65A0">
            <w:pPr>
              <w:pStyle w:val="-1"/>
            </w:pPr>
            <w:r>
              <w:rPr>
                <w:rFonts w:ascii="Segoe UI Symbol" w:hAnsi="Segoe UI Symbol" w:cs="Segoe UI Symbol"/>
                <w:shd w:val="clear" w:color="auto" w:fill="FFFFFF"/>
              </w:rPr>
              <w:t>✔</w:t>
            </w:r>
          </w:p>
        </w:tc>
        <w:tc>
          <w:tcPr>
            <w:tcW w:w="1560" w:type="dxa"/>
          </w:tcPr>
          <w:p w14:paraId="744A6FFD" w14:textId="77777777" w:rsidR="009F4081" w:rsidRDefault="009F4081" w:rsidP="008C65A0">
            <w:pPr>
              <w:pStyle w:val="-1"/>
            </w:pPr>
            <w:r>
              <w:rPr>
                <w:rFonts w:ascii="Segoe UI Symbol" w:hAnsi="Segoe UI Symbol" w:cs="Segoe UI Symbol"/>
                <w:shd w:val="clear" w:color="auto" w:fill="FFFFFF"/>
              </w:rPr>
              <w:t>✔</w:t>
            </w:r>
          </w:p>
        </w:tc>
        <w:tc>
          <w:tcPr>
            <w:tcW w:w="1417" w:type="dxa"/>
          </w:tcPr>
          <w:p w14:paraId="66B7244F" w14:textId="77777777" w:rsidR="009F4081" w:rsidRDefault="009F4081" w:rsidP="008C65A0">
            <w:pPr>
              <w:pStyle w:val="-1"/>
            </w:pPr>
            <w:r>
              <w:rPr>
                <w:rFonts w:ascii="Segoe UI Symbol" w:hAnsi="Segoe UI Symbol" w:cs="Segoe UI Symbol"/>
                <w:shd w:val="clear" w:color="auto" w:fill="FFFFFF"/>
              </w:rPr>
              <w:t>✔</w:t>
            </w:r>
          </w:p>
        </w:tc>
        <w:tc>
          <w:tcPr>
            <w:tcW w:w="2971" w:type="dxa"/>
          </w:tcPr>
          <w:p w14:paraId="1AF8DE04" w14:textId="77777777" w:rsidR="009F4081" w:rsidRDefault="009F4081" w:rsidP="008C65A0">
            <w:pPr>
              <w:pStyle w:val="-1"/>
            </w:pPr>
            <w:r>
              <w:t>50.8 sec (σ = 0.4 sec)</w:t>
            </w:r>
          </w:p>
        </w:tc>
      </w:tr>
      <w:tr w:rsidR="009F4081" w14:paraId="64D08C94" w14:textId="77777777" w:rsidTr="00ED0319">
        <w:tc>
          <w:tcPr>
            <w:tcW w:w="1868" w:type="dxa"/>
          </w:tcPr>
          <w:p w14:paraId="76BB620C" w14:textId="77777777" w:rsidR="009F4081" w:rsidRDefault="009F4081" w:rsidP="008C65A0">
            <w:pPr>
              <w:pStyle w:val="-1"/>
            </w:pPr>
            <w:r>
              <w:t>Fast MC</w:t>
            </w:r>
          </w:p>
        </w:tc>
        <w:tc>
          <w:tcPr>
            <w:tcW w:w="1528" w:type="dxa"/>
          </w:tcPr>
          <w:p w14:paraId="0DAD673D" w14:textId="77777777" w:rsidR="009F4081" w:rsidRDefault="009F4081" w:rsidP="008C65A0">
            <w:pPr>
              <w:pStyle w:val="-1"/>
            </w:pPr>
            <w:r>
              <w:rPr>
                <w:rFonts w:ascii="Segoe UI Symbol" w:hAnsi="Segoe UI Symbol" w:cs="Segoe UI Symbol"/>
                <w:shd w:val="clear" w:color="auto" w:fill="FFFFFF"/>
              </w:rPr>
              <w:t>✔</w:t>
            </w:r>
          </w:p>
        </w:tc>
        <w:tc>
          <w:tcPr>
            <w:tcW w:w="1560" w:type="dxa"/>
          </w:tcPr>
          <w:p w14:paraId="505E52D2" w14:textId="77777777" w:rsidR="009F4081" w:rsidRDefault="009F4081" w:rsidP="008C65A0">
            <w:pPr>
              <w:pStyle w:val="-1"/>
            </w:pPr>
            <w:r>
              <w:rPr>
                <w:rFonts w:ascii="Segoe UI Symbol" w:hAnsi="Segoe UI Symbol" w:cs="Segoe UI Symbol"/>
                <w:shd w:val="clear" w:color="auto" w:fill="FFFFFF"/>
              </w:rPr>
              <w:t>✔</w:t>
            </w:r>
          </w:p>
        </w:tc>
        <w:tc>
          <w:tcPr>
            <w:tcW w:w="1417" w:type="dxa"/>
          </w:tcPr>
          <w:p w14:paraId="4D9C1CF4" w14:textId="77777777" w:rsidR="009F4081" w:rsidRDefault="009F4081" w:rsidP="008C65A0">
            <w:pPr>
              <w:pStyle w:val="-1"/>
            </w:pPr>
            <w:r>
              <w:rPr>
                <w:rFonts w:ascii="Segoe UI Symbol" w:hAnsi="Segoe UI Symbol" w:cs="Segoe UI Symbol"/>
                <w:shd w:val="clear" w:color="auto" w:fill="FFFFFF"/>
              </w:rPr>
              <w:t>✔</w:t>
            </w:r>
          </w:p>
        </w:tc>
        <w:tc>
          <w:tcPr>
            <w:tcW w:w="2971" w:type="dxa"/>
          </w:tcPr>
          <w:p w14:paraId="790F8E3C" w14:textId="77777777" w:rsidR="009F4081" w:rsidRDefault="009F4081" w:rsidP="008C65A0">
            <w:pPr>
              <w:pStyle w:val="-1"/>
            </w:pPr>
            <w:r>
              <w:t>15.8 sec (estimate)</w:t>
            </w:r>
          </w:p>
        </w:tc>
      </w:tr>
    </w:tbl>
    <w:p w14:paraId="7B2B827D" w14:textId="77777777" w:rsidR="009F4081" w:rsidRPr="009F4081" w:rsidRDefault="009F4081" w:rsidP="008C65A0"/>
    <w:p w14:paraId="516E3755" w14:textId="6E177E82" w:rsidR="009F4081" w:rsidRPr="00B606E0" w:rsidRDefault="00E13020" w:rsidP="008C65A0">
      <w:r w:rsidRPr="009F3CEB">
        <w:lastRenderedPageBreak/>
        <w:fldChar w:fldCharType="begin"/>
      </w:r>
      <w:r w:rsidRPr="009F3CEB">
        <w:instrText xml:space="preserve"> REF _Ref163734405 \h </w:instrText>
      </w:r>
      <w:r w:rsidR="009F3CEB" w:rsidRPr="009F3CEB">
        <w:instrText xml:space="preserve"> \* MERGEFORMAT </w:instrText>
      </w:r>
      <w:r w:rsidRPr="009F3CEB">
        <w:fldChar w:fldCharType="separate"/>
      </w:r>
      <w:r w:rsidR="00894EB5" w:rsidRPr="00A96917">
        <w:t xml:space="preserve">Table </w:t>
      </w:r>
      <w:r w:rsidR="00894EB5">
        <w:t>1</w:t>
      </w:r>
      <w:r w:rsidRPr="009F3CEB">
        <w:fldChar w:fldCharType="end"/>
      </w:r>
      <w:r w:rsidRPr="00E13020">
        <w:t xml:space="preserve"> </w:t>
      </w:r>
      <w:r w:rsidR="009F4081" w:rsidRPr="009F4081">
        <w:t>shows how TRIGLAV impacts VM boot times. As a reference, we measure the boot time of a VM without any TPM attached. Then, we run experiments in which a VM has access to different implementations of a software-based TPMs. Except for the reference measurement, the Linux IMA is always turned on. Each VM has access to all available cores and 4 GB of memory. As the guest operating system, we run Ubuntu 18.10, a Linux distribution with a pre-installed tool (</w:t>
      </w:r>
      <w:proofErr w:type="spellStart"/>
      <w:r w:rsidR="009F4081" w:rsidRPr="009F4081">
        <w:t>systemd</w:t>
      </w:r>
      <w:proofErr w:type="spellEnd"/>
      <w:r w:rsidR="009F4081" w:rsidRPr="009F4081">
        <w:t>-analyze) to calculate system boot times.</w:t>
      </w:r>
    </w:p>
    <w:p w14:paraId="5F765E19" w14:textId="77777777" w:rsidR="00CA71BA" w:rsidRDefault="00CA71BA" w:rsidP="008C65A0">
      <w:r w:rsidRPr="00CA71BA">
        <w:t>Shannon's entropy formula:</w:t>
      </w:r>
    </w:p>
    <w:p w14:paraId="60793144" w14:textId="3AB0822B" w:rsidR="00CA71BA" w:rsidRPr="00CA71BA" w:rsidRDefault="00CA71BA" w:rsidP="008C65A0">
      <w:pPr>
        <w:pStyle w:val="a3"/>
      </w:pPr>
      <m:oMathPara>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 -∑</m:t>
          </m:r>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log</m:t>
          </m:r>
          <m:r>
            <m:rPr>
              <m:sty m:val="p"/>
            </m:rPr>
            <w:rPr>
              <w:rFonts w:ascii="Cambria Math" w:hAnsi="Cambria Math"/>
            </w:rPr>
            <m:t>2</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r>
            <m:rPr>
              <m:sty m:val="p"/>
            </m:rPr>
            <w:rPr>
              <w:rFonts w:ascii="Cambria Math" w:hAnsi="Cambria Math"/>
            </w:rPr>
            <m:t>,</m:t>
          </m:r>
        </m:oMath>
      </m:oMathPara>
    </w:p>
    <w:p w14:paraId="17FC7FC0" w14:textId="2D705BB2" w:rsidR="00CA71BA" w:rsidRPr="00CA71BA" w:rsidRDefault="00CA71BA" w:rsidP="008C65A0">
      <w:pPr>
        <w:rPr>
          <w:rStyle w:val="10"/>
          <w:rFonts w:cs="Times New Roman"/>
          <w:szCs w:val="24"/>
        </w:rPr>
      </w:pPr>
      <w:r w:rsidRPr="00CA71BA">
        <w:t>where H(X) is the entropy</w:t>
      </w:r>
      <w:r>
        <w:t>;</w:t>
      </w:r>
    </w:p>
    <w:p w14:paraId="6984206E" w14:textId="6FBBF03E" w:rsidR="00CA71BA" w:rsidRDefault="00CA71BA" w:rsidP="008C65A0">
      <w:pPr>
        <w:rPr>
          <w:rStyle w:val="10"/>
        </w:rPr>
      </w:pPr>
      <w:r w:rsidRPr="00C0607C">
        <w:t>p</w:t>
      </w:r>
      <w:r w:rsidRPr="00CA71BA">
        <w:rPr>
          <w:rStyle w:val="10"/>
        </w:rPr>
        <w:t>(</w:t>
      </w:r>
      <w:r w:rsidRPr="00C0607C">
        <w:t>x) is the probability of symbol x</w:t>
      </w:r>
      <w:r w:rsidRPr="00CA71BA">
        <w:rPr>
          <w:rStyle w:val="10"/>
        </w:rPr>
        <w:t>.</w:t>
      </w:r>
    </w:p>
    <w:p w14:paraId="308A7596" w14:textId="77777777" w:rsidR="00CA71BA" w:rsidRDefault="00CA71BA" w:rsidP="008C65A0">
      <w:r w:rsidRPr="00CA71BA">
        <w:t>Rabin-Karp hashing formula:</w:t>
      </w:r>
    </w:p>
    <w:p w14:paraId="68F5EF62" w14:textId="30195939" w:rsidR="00CA71BA" w:rsidRDefault="00CA71BA" w:rsidP="008C65A0">
      <w:pPr>
        <w:pStyle w:val="a3"/>
      </w:pPr>
      <m:oMathPara>
        <m:oMath>
          <m:r>
            <w:rPr>
              <w:rFonts w:ascii="Cambria Math" w:hAnsi="Cambria Math"/>
            </w:rPr>
            <m:t>hash</m:t>
          </m:r>
          <m:r>
            <m:rPr>
              <m:sty m:val="p"/>
            </m:rPr>
            <w:rPr>
              <w:rFonts w:ascii="Cambria Math" w:hAnsi="Cambria Math"/>
            </w:rPr>
            <m:t>=</m:t>
          </m:r>
          <m:d>
            <m:dPr>
              <m:ctrlPr>
                <w:rPr>
                  <w:rFonts w:ascii="Cambria Math" w:hAnsi="Cambria Math"/>
                </w:rPr>
              </m:ctrlPr>
            </m:dPr>
            <m:e>
              <m:r>
                <w:rPr>
                  <w:rFonts w:ascii="Cambria Math" w:hAnsi="Cambria Math"/>
                </w:rPr>
                <m:t>S</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d</m:t>
              </m:r>
              <m:r>
                <m:rPr>
                  <m:sty m:val="p"/>
                </m:rPr>
                <w:rPr>
                  <w:rFonts w:ascii="Cambria Math" w:hAnsi="Cambria Math"/>
                </w:rPr>
                <m:t>*</m:t>
              </m:r>
              <m:d>
                <m:dPr>
                  <m:ctrlPr>
                    <w:rPr>
                      <w:rFonts w:ascii="Cambria Math" w:hAnsi="Cambria Math"/>
                    </w:rPr>
                  </m:ctrlPr>
                </m:dPr>
                <m:e>
                  <m:r>
                    <w:rPr>
                      <w:rFonts w:ascii="Cambria Math" w:hAnsi="Cambria Math"/>
                    </w:rPr>
                    <m:t>hash</m:t>
                  </m:r>
                  <m:r>
                    <m:rPr>
                      <m:sty m:val="p"/>
                    </m:rPr>
                    <w:rPr>
                      <w:rFonts w:ascii="Cambria Math" w:hAnsi="Cambria Math"/>
                    </w:rPr>
                    <m:t>-</m:t>
                  </m:r>
                  <m:r>
                    <w:rPr>
                      <w:rFonts w:ascii="Cambria Math" w:hAnsi="Cambria Math"/>
                    </w:rPr>
                    <m:t>S</m:t>
                  </m:r>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len</m:t>
                      </m:r>
                      <m:r>
                        <m:rPr>
                          <m:sty m:val="p"/>
                        </m:rPr>
                        <w:rPr>
                          <w:rFonts w:ascii="Cambria Math" w:hAnsi="Cambria Math"/>
                        </w:rPr>
                        <m:t>+1</m:t>
                      </m:r>
                    </m:e>
                  </m:d>
                </m:e>
              </m:d>
            </m:e>
          </m:d>
          <m:r>
            <m:rPr>
              <m:sty m:val="p"/>
            </m:rPr>
            <w:rPr>
              <w:rFonts w:ascii="Cambria Math" w:hAnsi="Cambria Math"/>
            </w:rPr>
            <m:t xml:space="preserve"> </m:t>
          </m:r>
          <m:r>
            <w:rPr>
              <w:rFonts w:ascii="Cambria Math" w:hAnsi="Cambria Math"/>
            </w:rPr>
            <m:t>mod</m:t>
          </m:r>
          <m:r>
            <m:rPr>
              <m:sty m:val="p"/>
            </m:rPr>
            <w:rPr>
              <w:rFonts w:ascii="Cambria Math" w:hAnsi="Cambria Math"/>
            </w:rPr>
            <m:t xml:space="preserve"> </m:t>
          </m:r>
          <m:r>
            <w:rPr>
              <w:rFonts w:ascii="Cambria Math" w:hAnsi="Cambria Math"/>
            </w:rPr>
            <m:t>q</m:t>
          </m:r>
          <m:r>
            <m:rPr>
              <m:sty m:val="p"/>
            </m:rPr>
            <w:rPr>
              <w:rFonts w:ascii="Cambria Math" w:hAnsi="Cambria Math"/>
            </w:rPr>
            <m:t>,</m:t>
          </m:r>
        </m:oMath>
      </m:oMathPara>
    </w:p>
    <w:p w14:paraId="5A95CD87" w14:textId="77777777" w:rsidR="00CA71BA" w:rsidRDefault="00CA71BA" w:rsidP="008C65A0">
      <w:pPr>
        <w:pStyle w:val="a5"/>
      </w:pPr>
      <w:r w:rsidRPr="00CA71BA">
        <w:t>where S is the string</w:t>
      </w:r>
      <w:r>
        <w:t>;</w:t>
      </w:r>
    </w:p>
    <w:p w14:paraId="5B716735" w14:textId="77777777" w:rsidR="00CA71BA" w:rsidRPr="00B606E0" w:rsidRDefault="00CA71BA" w:rsidP="008C65A0">
      <w:pPr>
        <w:pStyle w:val="a9"/>
      </w:pPr>
      <w:r w:rsidRPr="00CA71BA">
        <w:t xml:space="preserve"> </w:t>
      </w:r>
      <w:r w:rsidRPr="00B606E0">
        <w:t>d is the alphabet size;</w:t>
      </w:r>
    </w:p>
    <w:p w14:paraId="0F3E8AAD" w14:textId="3FA63F79" w:rsidR="00E13020" w:rsidRPr="00B606E0" w:rsidRDefault="00CA71BA" w:rsidP="008C65A0">
      <w:pPr>
        <w:pStyle w:val="a9"/>
      </w:pPr>
      <w:r w:rsidRPr="00B606E0">
        <w:t xml:space="preserve"> q is a prime number.</w:t>
      </w:r>
    </w:p>
    <w:p w14:paraId="7C26D3E9" w14:textId="68A599CE" w:rsidR="00117DB0" w:rsidRPr="00C0607C" w:rsidRDefault="00117DB0" w:rsidP="008C65A0"/>
    <w:sectPr w:rsidR="00117DB0" w:rsidRPr="00C0607C" w:rsidSect="00484E7C">
      <w:headerReference w:type="even" r:id="rId10"/>
      <w:headerReference w:type="default" r:id="rId11"/>
      <w:footerReference w:type="default" r:id="rId12"/>
      <w:headerReference w:type="first" r:id="rId13"/>
      <w:footerReference w:type="first" r:id="rId14"/>
      <w:pgSz w:w="11906" w:h="16838"/>
      <w:pgMar w:top="1134" w:right="964" w:bottom="1134" w:left="964" w:header="709" w:footer="4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A323D" w14:textId="77777777" w:rsidR="00484E7C" w:rsidRDefault="00484E7C" w:rsidP="008C65A0">
      <w:r>
        <w:separator/>
      </w:r>
    </w:p>
  </w:endnote>
  <w:endnote w:type="continuationSeparator" w:id="0">
    <w:p w14:paraId="015FECD1" w14:textId="77777777" w:rsidR="00484E7C" w:rsidRDefault="00484E7C" w:rsidP="008C65A0">
      <w:r>
        <w:continuationSeparator/>
      </w:r>
    </w:p>
  </w:endnote>
  <w:endnote w:type="continuationNotice" w:id="1">
    <w:p w14:paraId="7BBDA597" w14:textId="77777777" w:rsidR="00484E7C" w:rsidRDefault="00484E7C" w:rsidP="008C65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317D4" w14:textId="3F36F2C8" w:rsidR="002D5057" w:rsidRDefault="002D5057" w:rsidP="008C65A0">
    <w:pPr>
      <w:pStyle w:val="Footer"/>
    </w:pPr>
  </w:p>
  <w:p w14:paraId="2565EA32" w14:textId="77777777" w:rsidR="002D5057" w:rsidRDefault="002D5057" w:rsidP="008C65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550839"/>
      <w:docPartObj>
        <w:docPartGallery w:val="Page Numbers (Bottom of Page)"/>
        <w:docPartUnique/>
      </w:docPartObj>
    </w:sdtPr>
    <w:sdtEndPr>
      <w:rPr>
        <w:noProof/>
      </w:rPr>
    </w:sdtEndPr>
    <w:sdtContent>
      <w:p w14:paraId="6DB61BD0" w14:textId="32F6DD76" w:rsidR="00842432" w:rsidRPr="00842432" w:rsidRDefault="00842432" w:rsidP="008C65A0">
        <w:pPr>
          <w:pStyle w:val="Footer"/>
        </w:pPr>
        <w:r w:rsidRPr="00842432">
          <w:fldChar w:fldCharType="begin"/>
        </w:r>
        <w:r w:rsidRPr="00842432">
          <w:instrText xml:space="preserve"> PAGE   \* MERGEFORMAT </w:instrText>
        </w:r>
        <w:r w:rsidRPr="00842432">
          <w:fldChar w:fldCharType="separate"/>
        </w:r>
        <w:r w:rsidRPr="00842432">
          <w:rPr>
            <w:noProof/>
          </w:rPr>
          <w:t>2</w:t>
        </w:r>
        <w:r w:rsidRPr="00842432">
          <w:rPr>
            <w:noProof/>
          </w:rPr>
          <w:fldChar w:fldCharType="end"/>
        </w:r>
      </w:p>
    </w:sdtContent>
  </w:sdt>
  <w:p w14:paraId="3E91BA80" w14:textId="77777777" w:rsidR="002D5057" w:rsidRDefault="002D5057" w:rsidP="008C6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B80F1" w14:textId="77777777" w:rsidR="00484E7C" w:rsidRDefault="00484E7C" w:rsidP="008C65A0">
      <w:r>
        <w:separator/>
      </w:r>
    </w:p>
  </w:footnote>
  <w:footnote w:type="continuationSeparator" w:id="0">
    <w:p w14:paraId="28FC6752" w14:textId="77777777" w:rsidR="00484E7C" w:rsidRDefault="00484E7C" w:rsidP="008C65A0">
      <w:r>
        <w:continuationSeparator/>
      </w:r>
    </w:p>
  </w:footnote>
  <w:footnote w:type="continuationNotice" w:id="1">
    <w:p w14:paraId="0B57C331" w14:textId="77777777" w:rsidR="00484E7C" w:rsidRDefault="00484E7C" w:rsidP="008C65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445476"/>
      <w:docPartObj>
        <w:docPartGallery w:val="Page Numbers (Top of Page)"/>
        <w:docPartUnique/>
      </w:docPartObj>
    </w:sdtPr>
    <w:sdtEndPr>
      <w:rPr>
        <w:noProof/>
      </w:rPr>
    </w:sdtEndPr>
    <w:sdtContent>
      <w:p w14:paraId="30E07DED" w14:textId="77777777" w:rsidR="00FE4C31" w:rsidRPr="00842432" w:rsidRDefault="00FE4C31" w:rsidP="008C65A0">
        <w:pPr>
          <w:pStyle w:val="Header"/>
        </w:pPr>
        <w:r w:rsidRPr="00842432">
          <w:fldChar w:fldCharType="begin"/>
        </w:r>
        <w:r w:rsidRPr="00842432">
          <w:instrText xml:space="preserve"> PAGE   \* MERGEFORMAT </w:instrText>
        </w:r>
        <w:r w:rsidRPr="00842432">
          <w:fldChar w:fldCharType="separate"/>
        </w:r>
        <w:r w:rsidRPr="00842432">
          <w:rPr>
            <w:noProof/>
          </w:rPr>
          <w:t>2</w:t>
        </w:r>
        <w:r w:rsidRPr="00842432">
          <w:rPr>
            <w:noProof/>
          </w:rPr>
          <w:fldChar w:fldCharType="end"/>
        </w:r>
      </w:p>
    </w:sdtContent>
  </w:sdt>
  <w:p w14:paraId="403D9616" w14:textId="77777777" w:rsidR="00FE4C31" w:rsidRDefault="00FE4C31" w:rsidP="008C65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2615809"/>
      <w:docPartObj>
        <w:docPartGallery w:val="Page Numbers (Top of Page)"/>
        <w:docPartUnique/>
      </w:docPartObj>
    </w:sdtPr>
    <w:sdtEndPr>
      <w:rPr>
        <w:noProof/>
      </w:rPr>
    </w:sdtEndPr>
    <w:sdtContent>
      <w:p w14:paraId="745F8D2E" w14:textId="274283C0" w:rsidR="00842432" w:rsidRPr="00842432" w:rsidRDefault="00842432" w:rsidP="008C65A0">
        <w:pPr>
          <w:pStyle w:val="Header"/>
        </w:pPr>
        <w:r w:rsidRPr="00842432">
          <w:fldChar w:fldCharType="begin"/>
        </w:r>
        <w:r w:rsidRPr="00842432">
          <w:instrText xml:space="preserve"> PAGE   \* MERGEFORMAT </w:instrText>
        </w:r>
        <w:r w:rsidRPr="00842432">
          <w:fldChar w:fldCharType="separate"/>
        </w:r>
        <w:r w:rsidRPr="00842432">
          <w:rPr>
            <w:noProof/>
          </w:rPr>
          <w:t>2</w:t>
        </w:r>
        <w:r w:rsidRPr="00842432">
          <w:rPr>
            <w:noProof/>
          </w:rPr>
          <w:fldChar w:fldCharType="end"/>
        </w:r>
      </w:p>
    </w:sdtContent>
  </w:sdt>
  <w:p w14:paraId="29CBBB18" w14:textId="77777777" w:rsidR="00FE4C31" w:rsidRDefault="00FE4C31" w:rsidP="008C65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AF483" w14:textId="418C4086" w:rsidR="00FE4C31" w:rsidRPr="00842432" w:rsidRDefault="00FE4C31" w:rsidP="008C65A0">
    <w:pPr>
      <w:pStyle w:val="Header"/>
    </w:pPr>
  </w:p>
  <w:p w14:paraId="65D97E23" w14:textId="2F9476B6" w:rsidR="00FE4C31" w:rsidRDefault="00FE4C31" w:rsidP="008C6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75C33"/>
    <w:multiLevelType w:val="hybridMultilevel"/>
    <w:tmpl w:val="05480336"/>
    <w:lvl w:ilvl="0" w:tplc="8BC4552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2823B2C"/>
    <w:multiLevelType w:val="hybridMultilevel"/>
    <w:tmpl w:val="114878FC"/>
    <w:lvl w:ilvl="0" w:tplc="ED7418D0">
      <w:start w:val="1"/>
      <w:numFmt w:val="decimal"/>
      <w:pStyle w:val="a"/>
      <w:lvlText w:val="%1."/>
      <w:lvlJc w:val="left"/>
      <w:pPr>
        <w:ind w:left="786" w:hanging="360"/>
      </w:pPr>
      <w:rPr>
        <w:rFonts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2"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7E71DA"/>
    <w:multiLevelType w:val="hybridMultilevel"/>
    <w:tmpl w:val="375C3876"/>
    <w:lvl w:ilvl="0" w:tplc="76680A26">
      <w:start w:val="1"/>
      <w:numFmt w:val="bullet"/>
      <w:pStyle w:val="a0"/>
      <w:lvlText w:val="-"/>
      <w:lvlJc w:val="left"/>
      <w:pPr>
        <w:ind w:left="928" w:hanging="360"/>
      </w:pPr>
      <w:rPr>
        <w:rFonts w:ascii="Times New Roman" w:hAnsi="Times New Roman" w:cs="Times New Roman"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7"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6A29DA"/>
    <w:multiLevelType w:val="multilevel"/>
    <w:tmpl w:val="277C32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139763679">
    <w:abstractNumId w:val="14"/>
  </w:num>
  <w:num w:numId="2" w16cid:durableId="1822698364">
    <w:abstractNumId w:val="3"/>
  </w:num>
  <w:num w:numId="3" w16cid:durableId="238249717">
    <w:abstractNumId w:val="4"/>
  </w:num>
  <w:num w:numId="4" w16cid:durableId="612054861">
    <w:abstractNumId w:val="5"/>
  </w:num>
  <w:num w:numId="5" w16cid:durableId="1585184917">
    <w:abstractNumId w:val="11"/>
  </w:num>
  <w:num w:numId="6" w16cid:durableId="938099638">
    <w:abstractNumId w:val="10"/>
  </w:num>
  <w:num w:numId="7" w16cid:durableId="1044643969">
    <w:abstractNumId w:val="12"/>
  </w:num>
  <w:num w:numId="8" w16cid:durableId="1562862170">
    <w:abstractNumId w:val="2"/>
  </w:num>
  <w:num w:numId="9" w16cid:durableId="489907198">
    <w:abstractNumId w:val="7"/>
  </w:num>
  <w:num w:numId="10" w16cid:durableId="222177892">
    <w:abstractNumId w:val="8"/>
  </w:num>
  <w:num w:numId="11" w16cid:durableId="1749769811">
    <w:abstractNumId w:val="8"/>
  </w:num>
  <w:num w:numId="12" w16cid:durableId="1469588278">
    <w:abstractNumId w:val="6"/>
  </w:num>
  <w:num w:numId="13" w16cid:durableId="542522685">
    <w:abstractNumId w:val="0"/>
  </w:num>
  <w:num w:numId="14" w16cid:durableId="956067253">
    <w:abstractNumId w:val="0"/>
    <w:lvlOverride w:ilvl="0">
      <w:startOverride w:val="1"/>
    </w:lvlOverride>
  </w:num>
  <w:num w:numId="15" w16cid:durableId="148598590">
    <w:abstractNumId w:val="0"/>
    <w:lvlOverride w:ilvl="0">
      <w:lvl w:ilvl="0" w:tplc="8BC45528">
        <w:start w:val="1"/>
        <w:numFmt w:val="decimal"/>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16cid:durableId="1909026579">
    <w:abstractNumId w:val="0"/>
    <w:lvlOverride w:ilvl="0">
      <w:startOverride w:val="1"/>
      <w:lvl w:ilvl="0" w:tplc="8BC45528">
        <w:start w:val="1"/>
        <w:numFmt w:val="decimal"/>
        <w:lvlText w:val="%1)"/>
        <w:lvlJc w:val="left"/>
        <w:pPr>
          <w:tabs>
            <w:tab w:val="num" w:pos="992"/>
          </w:tabs>
          <w:ind w:left="0" w:firstLine="709"/>
        </w:pPr>
        <w:rPr>
          <w:rFonts w:hint="default"/>
        </w:rPr>
      </w:lvl>
    </w:lvlOverride>
  </w:num>
  <w:num w:numId="17" w16cid:durableId="581182811">
    <w:abstractNumId w:val="0"/>
    <w:lvlOverride w:ilvl="0">
      <w:startOverride w:val="1"/>
      <w:lvl w:ilvl="0" w:tplc="8BC45528">
        <w:start w:val="1"/>
        <w:numFmt w:val="decimal"/>
        <w:lvlText w:val="%1)"/>
        <w:lvlJc w:val="left"/>
        <w:pPr>
          <w:tabs>
            <w:tab w:val="num" w:pos="992"/>
          </w:tabs>
          <w:ind w:left="0" w:firstLine="709"/>
        </w:pPr>
        <w:rPr>
          <w:rFonts w:hint="default"/>
        </w:rPr>
      </w:lvl>
    </w:lvlOverride>
  </w:num>
  <w:num w:numId="18" w16cid:durableId="1716850736">
    <w:abstractNumId w:val="13"/>
  </w:num>
  <w:num w:numId="19" w16cid:durableId="1659727267">
    <w:abstractNumId w:val="0"/>
    <w:lvlOverride w:ilvl="0">
      <w:startOverride w:val="1"/>
      <w:lvl w:ilvl="0" w:tplc="8BC45528">
        <w:start w:val="1"/>
        <w:numFmt w:val="decimal"/>
        <w:lvlText w:val="%1)"/>
        <w:lvlJc w:val="left"/>
        <w:pPr>
          <w:tabs>
            <w:tab w:val="num" w:pos="992"/>
          </w:tabs>
          <w:ind w:left="0" w:firstLine="709"/>
        </w:pPr>
        <w:rPr>
          <w:rFonts w:hint="default"/>
        </w:rPr>
      </w:lvl>
    </w:lvlOverride>
  </w:num>
  <w:num w:numId="20" w16cid:durableId="1759055725">
    <w:abstractNumId w:val="0"/>
    <w:lvlOverride w:ilvl="0">
      <w:lvl w:ilvl="0" w:tplc="8BC45528">
        <w:start w:val="1"/>
        <w:numFmt w:val="decimal"/>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16cid:durableId="1367097046">
    <w:abstractNumId w:val="0"/>
    <w:lvlOverride w:ilvl="0">
      <w:startOverride w:val="1"/>
      <w:lvl w:ilvl="0" w:tplc="8BC45528">
        <w:start w:val="1"/>
        <w:numFmt w:val="decimal"/>
        <w:lvlText w:val="%1"/>
        <w:lvlJc w:val="left"/>
        <w:pPr>
          <w:ind w:left="1069" w:hanging="360"/>
        </w:pPr>
        <w:rPr>
          <w:rFonts w:hint="default"/>
          <w:lang w:val="ru-RU"/>
        </w:rPr>
      </w:lvl>
    </w:lvlOverride>
  </w:num>
  <w:num w:numId="22" w16cid:durableId="1919943050">
    <w:abstractNumId w:val="9"/>
  </w:num>
  <w:num w:numId="23" w16cid:durableId="15625217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132697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26171905">
    <w:abstractNumId w:val="1"/>
  </w:num>
  <w:num w:numId="26" w16cid:durableId="681011899">
    <w:abstractNumId w:val="1"/>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evenAndOddHeaders/>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17619"/>
    <w:rsid w:val="00093571"/>
    <w:rsid w:val="000E4A90"/>
    <w:rsid w:val="000E59B0"/>
    <w:rsid w:val="00103D07"/>
    <w:rsid w:val="00104648"/>
    <w:rsid w:val="00107ED6"/>
    <w:rsid w:val="00114E2E"/>
    <w:rsid w:val="00117DB0"/>
    <w:rsid w:val="00150EBD"/>
    <w:rsid w:val="00153F0E"/>
    <w:rsid w:val="00162877"/>
    <w:rsid w:val="001B33F9"/>
    <w:rsid w:val="001F638D"/>
    <w:rsid w:val="001F6B38"/>
    <w:rsid w:val="00204989"/>
    <w:rsid w:val="0022642D"/>
    <w:rsid w:val="00226D4D"/>
    <w:rsid w:val="00241D6A"/>
    <w:rsid w:val="0027253E"/>
    <w:rsid w:val="002725F2"/>
    <w:rsid w:val="00277352"/>
    <w:rsid w:val="002900AA"/>
    <w:rsid w:val="00295B35"/>
    <w:rsid w:val="002A267C"/>
    <w:rsid w:val="002A6AE8"/>
    <w:rsid w:val="002C5A5A"/>
    <w:rsid w:val="002D0B3B"/>
    <w:rsid w:val="002D5057"/>
    <w:rsid w:val="002E0BB3"/>
    <w:rsid w:val="002F1E24"/>
    <w:rsid w:val="002F63BF"/>
    <w:rsid w:val="00305747"/>
    <w:rsid w:val="00324425"/>
    <w:rsid w:val="00381FF4"/>
    <w:rsid w:val="00396FE6"/>
    <w:rsid w:val="003C79F5"/>
    <w:rsid w:val="003D1CF0"/>
    <w:rsid w:val="003D7619"/>
    <w:rsid w:val="003E1273"/>
    <w:rsid w:val="003F2DF4"/>
    <w:rsid w:val="003F5A8F"/>
    <w:rsid w:val="003F703F"/>
    <w:rsid w:val="00410EC6"/>
    <w:rsid w:val="0043582E"/>
    <w:rsid w:val="00436D9D"/>
    <w:rsid w:val="004521C2"/>
    <w:rsid w:val="0045539A"/>
    <w:rsid w:val="00471415"/>
    <w:rsid w:val="00474253"/>
    <w:rsid w:val="00484E7C"/>
    <w:rsid w:val="00490D11"/>
    <w:rsid w:val="004A3D6E"/>
    <w:rsid w:val="004C3867"/>
    <w:rsid w:val="00506AA0"/>
    <w:rsid w:val="00521C5D"/>
    <w:rsid w:val="00522630"/>
    <w:rsid w:val="005250B9"/>
    <w:rsid w:val="00543E51"/>
    <w:rsid w:val="00544C99"/>
    <w:rsid w:val="005507AF"/>
    <w:rsid w:val="00550CD3"/>
    <w:rsid w:val="00564C3C"/>
    <w:rsid w:val="00580508"/>
    <w:rsid w:val="00581DA4"/>
    <w:rsid w:val="00592F11"/>
    <w:rsid w:val="005955CB"/>
    <w:rsid w:val="005A2849"/>
    <w:rsid w:val="005A3866"/>
    <w:rsid w:val="005B22D0"/>
    <w:rsid w:val="005B7E57"/>
    <w:rsid w:val="005D4FE4"/>
    <w:rsid w:val="005F3939"/>
    <w:rsid w:val="005F56D4"/>
    <w:rsid w:val="006223C8"/>
    <w:rsid w:val="00640C56"/>
    <w:rsid w:val="0064694D"/>
    <w:rsid w:val="00655455"/>
    <w:rsid w:val="00660B1D"/>
    <w:rsid w:val="006655C0"/>
    <w:rsid w:val="006701E3"/>
    <w:rsid w:val="006A7A95"/>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D373A"/>
    <w:rsid w:val="007D5650"/>
    <w:rsid w:val="007D596D"/>
    <w:rsid w:val="007E0F31"/>
    <w:rsid w:val="007E56BC"/>
    <w:rsid w:val="007E5FDB"/>
    <w:rsid w:val="007F2220"/>
    <w:rsid w:val="00817DE9"/>
    <w:rsid w:val="00820CA0"/>
    <w:rsid w:val="00826D10"/>
    <w:rsid w:val="00830553"/>
    <w:rsid w:val="0084017D"/>
    <w:rsid w:val="00842432"/>
    <w:rsid w:val="00850BAB"/>
    <w:rsid w:val="00853A0B"/>
    <w:rsid w:val="0086725F"/>
    <w:rsid w:val="00894EB5"/>
    <w:rsid w:val="008A182C"/>
    <w:rsid w:val="008A55C3"/>
    <w:rsid w:val="008B3F6B"/>
    <w:rsid w:val="008C2841"/>
    <w:rsid w:val="008C65A0"/>
    <w:rsid w:val="00900E44"/>
    <w:rsid w:val="00901770"/>
    <w:rsid w:val="00913393"/>
    <w:rsid w:val="00927085"/>
    <w:rsid w:val="00927D24"/>
    <w:rsid w:val="0094143C"/>
    <w:rsid w:val="00942FCB"/>
    <w:rsid w:val="0094320A"/>
    <w:rsid w:val="00944AB4"/>
    <w:rsid w:val="00946458"/>
    <w:rsid w:val="00947C12"/>
    <w:rsid w:val="009566A6"/>
    <w:rsid w:val="00967CB7"/>
    <w:rsid w:val="009767BB"/>
    <w:rsid w:val="00990BB6"/>
    <w:rsid w:val="00992115"/>
    <w:rsid w:val="00993A0D"/>
    <w:rsid w:val="009D0887"/>
    <w:rsid w:val="009D35F1"/>
    <w:rsid w:val="009F3CEB"/>
    <w:rsid w:val="009F4081"/>
    <w:rsid w:val="00A02407"/>
    <w:rsid w:val="00A121C5"/>
    <w:rsid w:val="00A44FCA"/>
    <w:rsid w:val="00A65A8E"/>
    <w:rsid w:val="00A86F3F"/>
    <w:rsid w:val="00A929FA"/>
    <w:rsid w:val="00A95B69"/>
    <w:rsid w:val="00A96917"/>
    <w:rsid w:val="00AA124B"/>
    <w:rsid w:val="00AB4B2F"/>
    <w:rsid w:val="00AB563E"/>
    <w:rsid w:val="00AC7F0A"/>
    <w:rsid w:val="00AD0812"/>
    <w:rsid w:val="00AD33C5"/>
    <w:rsid w:val="00AE1580"/>
    <w:rsid w:val="00AE5ECF"/>
    <w:rsid w:val="00AF3BCB"/>
    <w:rsid w:val="00AF5AFC"/>
    <w:rsid w:val="00B01027"/>
    <w:rsid w:val="00B13B7E"/>
    <w:rsid w:val="00B17EDF"/>
    <w:rsid w:val="00B20493"/>
    <w:rsid w:val="00B22A55"/>
    <w:rsid w:val="00B36C9C"/>
    <w:rsid w:val="00B41B01"/>
    <w:rsid w:val="00B4705F"/>
    <w:rsid w:val="00B54D80"/>
    <w:rsid w:val="00B574D3"/>
    <w:rsid w:val="00B606E0"/>
    <w:rsid w:val="00B6792A"/>
    <w:rsid w:val="00B84496"/>
    <w:rsid w:val="00B93243"/>
    <w:rsid w:val="00BA3540"/>
    <w:rsid w:val="00BC63CF"/>
    <w:rsid w:val="00BE0E41"/>
    <w:rsid w:val="00BE1B55"/>
    <w:rsid w:val="00BF3639"/>
    <w:rsid w:val="00BF3E91"/>
    <w:rsid w:val="00BF60C0"/>
    <w:rsid w:val="00C0144E"/>
    <w:rsid w:val="00C021C0"/>
    <w:rsid w:val="00C0607C"/>
    <w:rsid w:val="00C1507A"/>
    <w:rsid w:val="00C22D3E"/>
    <w:rsid w:val="00C34E95"/>
    <w:rsid w:val="00C41EF3"/>
    <w:rsid w:val="00C46C9E"/>
    <w:rsid w:val="00C70C75"/>
    <w:rsid w:val="00C71548"/>
    <w:rsid w:val="00C80055"/>
    <w:rsid w:val="00C8492F"/>
    <w:rsid w:val="00C934BF"/>
    <w:rsid w:val="00CA67A6"/>
    <w:rsid w:val="00CA71BA"/>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DE43AC"/>
    <w:rsid w:val="00E13020"/>
    <w:rsid w:val="00E222BA"/>
    <w:rsid w:val="00E22CD2"/>
    <w:rsid w:val="00E2710E"/>
    <w:rsid w:val="00E30CE6"/>
    <w:rsid w:val="00E32A80"/>
    <w:rsid w:val="00E4410E"/>
    <w:rsid w:val="00E50333"/>
    <w:rsid w:val="00EA76F5"/>
    <w:rsid w:val="00EB7746"/>
    <w:rsid w:val="00ED0319"/>
    <w:rsid w:val="00ED26C3"/>
    <w:rsid w:val="00EF050E"/>
    <w:rsid w:val="00EF439B"/>
    <w:rsid w:val="00F01044"/>
    <w:rsid w:val="00F12337"/>
    <w:rsid w:val="00F16106"/>
    <w:rsid w:val="00F168D9"/>
    <w:rsid w:val="00F43A84"/>
    <w:rsid w:val="00F54DD9"/>
    <w:rsid w:val="00F668C6"/>
    <w:rsid w:val="00F66F43"/>
    <w:rsid w:val="00F73DB7"/>
    <w:rsid w:val="00F82014"/>
    <w:rsid w:val="00F82D30"/>
    <w:rsid w:val="00F93BCC"/>
    <w:rsid w:val="00FB0217"/>
    <w:rsid w:val="00FB096C"/>
    <w:rsid w:val="00FD38A9"/>
    <w:rsid w:val="00FE4C31"/>
    <w:rsid w:val="00FF43CA"/>
    <w:rsid w:val="00FF4614"/>
    <w:rsid w:val="00FF5739"/>
    <w:rsid w:val="00FF67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EF451"/>
  <w15:docId w15:val="{7DAD69EC-8A19-4D10-9686-C3AEEC5C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5A0"/>
    <w:pPr>
      <w:tabs>
        <w:tab w:val="left" w:pos="851"/>
      </w:tabs>
      <w:ind w:firstLine="284"/>
      <w:jc w:val="both"/>
    </w:pPr>
    <w:rPr>
      <w:rFonts w:ascii="Times New Roman" w:eastAsia="Times New Roman" w:hAnsi="Times New Roman"/>
      <w:szCs w:val="24"/>
      <w:lang w:val="en-US"/>
    </w:rPr>
  </w:style>
  <w:style w:type="paragraph" w:styleId="Heading1">
    <w:name w:val="heading 1"/>
    <w:basedOn w:val="Normal"/>
    <w:next w:val="Normal"/>
    <w:link w:val="Heading1Char"/>
    <w:qFormat/>
    <w:rsid w:val="007E56BC"/>
    <w:pPr>
      <w:pageBreakBefore/>
      <w:numPr>
        <w:numId w:val="10"/>
      </w:numPr>
      <w:tabs>
        <w:tab w:val="left" w:pos="993"/>
      </w:tabs>
      <w:suppressAutoHyphens/>
      <w:spacing w:before="1182" w:line="1411" w:lineRule="exact"/>
      <w:ind w:right="885"/>
      <w:jc w:val="right"/>
      <w:outlineLvl w:val="0"/>
    </w:pPr>
    <w:rPr>
      <w:i/>
      <w:sz w:val="119"/>
      <w:szCs w:val="28"/>
    </w:rPr>
  </w:style>
  <w:style w:type="paragraph" w:styleId="Heading2">
    <w:name w:val="heading 2"/>
    <w:basedOn w:val="Normal"/>
    <w:next w:val="Normal"/>
    <w:link w:val="Heading2Char"/>
    <w:qFormat/>
    <w:rsid w:val="00842432"/>
    <w:pPr>
      <w:keepNext/>
      <w:keepLines/>
      <w:widowControl w:val="0"/>
      <w:numPr>
        <w:ilvl w:val="1"/>
        <w:numId w:val="10"/>
      </w:numPr>
      <w:tabs>
        <w:tab w:val="left" w:pos="1134"/>
      </w:tabs>
      <w:suppressAutoHyphens/>
      <w:spacing w:before="400" w:after="200"/>
      <w:ind w:left="578" w:hanging="578"/>
      <w:contextualSpacing/>
      <w:outlineLvl w:val="1"/>
    </w:pPr>
    <w:rPr>
      <w:rFonts w:ascii="Arial MT" w:hAnsi="Arial MT"/>
      <w:b/>
      <w:bCs/>
      <w:iCs/>
      <w:sz w:val="28"/>
      <w:szCs w:val="28"/>
    </w:rPr>
  </w:style>
  <w:style w:type="paragraph" w:styleId="Heading3">
    <w:name w:val="heading 3"/>
    <w:basedOn w:val="Normal"/>
    <w:next w:val="Normal"/>
    <w:link w:val="Heading3Char"/>
    <w:uiPriority w:val="9"/>
    <w:qFormat/>
    <w:rsid w:val="00842432"/>
    <w:pPr>
      <w:keepNext/>
      <w:numPr>
        <w:ilvl w:val="2"/>
        <w:numId w:val="10"/>
      </w:numPr>
      <w:tabs>
        <w:tab w:val="left" w:pos="1276"/>
      </w:tabs>
      <w:spacing w:before="120" w:after="120"/>
      <w:outlineLvl w:val="2"/>
    </w:pPr>
    <w:rPr>
      <w:rFonts w:asciiTheme="majorHAnsi" w:hAnsiTheme="majorHAnsi"/>
      <w:b/>
      <w:sz w:val="24"/>
    </w:rPr>
  </w:style>
  <w:style w:type="paragraph" w:styleId="Heading4">
    <w:name w:val="heading 4"/>
    <w:basedOn w:val="Normal"/>
    <w:next w:val="Normal"/>
    <w:link w:val="Heading4Char"/>
    <w:uiPriority w:val="9"/>
    <w:qFormat/>
    <w:rsid w:val="00D31B6E"/>
    <w:pPr>
      <w:keepNext/>
      <w:widowControl w:val="0"/>
      <w:numPr>
        <w:ilvl w:val="3"/>
        <w:numId w:val="10"/>
      </w:numPr>
      <w:tabs>
        <w:tab w:val="left" w:pos="1418"/>
      </w:tabs>
      <w:spacing w:before="240" w:after="120"/>
      <w:outlineLvl w:val="3"/>
    </w:pPr>
  </w:style>
  <w:style w:type="paragraph" w:styleId="Heading5">
    <w:name w:val="heading 5"/>
    <w:basedOn w:val="Normal"/>
    <w:next w:val="Normal"/>
    <w:link w:val="Heading5Char"/>
    <w:unhideWhenUsed/>
    <w:qFormat/>
    <w:rsid w:val="00CE1201"/>
    <w:pPr>
      <w:keepNext/>
      <w:spacing w:before="180" w:after="60"/>
      <w:outlineLvl w:val="4"/>
    </w:pPr>
    <w:rPr>
      <w:rFonts w:cs="Arial"/>
      <w:u w:val="single"/>
    </w:rPr>
  </w:style>
  <w:style w:type="paragraph" w:styleId="Heading6">
    <w:name w:val="heading 6"/>
    <w:basedOn w:val="Normal"/>
    <w:next w:val="Normal"/>
    <w:link w:val="Heading6Char"/>
    <w:unhideWhenUsed/>
    <w:rsid w:val="00640C56"/>
    <w:pPr>
      <w:numPr>
        <w:ilvl w:val="5"/>
        <w:numId w:val="10"/>
      </w:numPr>
      <w:spacing w:before="240" w:after="60"/>
      <w:outlineLvl w:val="5"/>
    </w:pPr>
    <w:rPr>
      <w:rFonts w:ascii="Arial" w:hAnsi="Arial"/>
      <w:i/>
      <w:sz w:val="22"/>
    </w:rPr>
  </w:style>
  <w:style w:type="paragraph" w:styleId="Heading7">
    <w:name w:val="heading 7"/>
    <w:basedOn w:val="Normal"/>
    <w:next w:val="Normal"/>
    <w:link w:val="Heading7Char"/>
    <w:unhideWhenUsed/>
    <w:rsid w:val="00640C56"/>
    <w:pPr>
      <w:numPr>
        <w:ilvl w:val="6"/>
        <w:numId w:val="10"/>
      </w:numPr>
      <w:spacing w:before="240" w:after="60"/>
      <w:outlineLvl w:val="6"/>
    </w:pPr>
    <w:rPr>
      <w:rFonts w:ascii="Arial" w:hAnsi="Arial"/>
    </w:rPr>
  </w:style>
  <w:style w:type="paragraph" w:styleId="Heading8">
    <w:name w:val="heading 8"/>
    <w:basedOn w:val="Normal"/>
    <w:next w:val="Normal"/>
    <w:link w:val="Heading8Char"/>
    <w:unhideWhenUsed/>
    <w:rsid w:val="00640C56"/>
    <w:pPr>
      <w:numPr>
        <w:ilvl w:val="7"/>
        <w:numId w:val="10"/>
      </w:numPr>
      <w:spacing w:before="240" w:after="60"/>
      <w:outlineLvl w:val="7"/>
    </w:pPr>
    <w:rPr>
      <w:rFonts w:ascii="Arial" w:hAnsi="Arial"/>
      <w:i/>
    </w:rPr>
  </w:style>
  <w:style w:type="paragraph" w:styleId="Heading9">
    <w:name w:val="heading 9"/>
    <w:basedOn w:val="Normal"/>
    <w:next w:val="Normal"/>
    <w:link w:val="Heading9Char"/>
    <w:unhideWhenUsed/>
    <w:rsid w:val="00640C56"/>
    <w:pPr>
      <w:numPr>
        <w:ilvl w:val="8"/>
        <w:numId w:val="10"/>
      </w:numPr>
      <w:spacing w:after="360"/>
      <w:jc w:val="center"/>
      <w:outlineLvl w:val="8"/>
    </w:pPr>
    <w:rPr>
      <w:b/>
      <w:cap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56BC"/>
    <w:rPr>
      <w:rFonts w:eastAsia="Times New Roman"/>
      <w:i/>
      <w:sz w:val="119"/>
      <w:szCs w:val="28"/>
    </w:rPr>
  </w:style>
  <w:style w:type="character" w:customStyle="1" w:styleId="Heading2Char">
    <w:name w:val="Heading 2 Char"/>
    <w:basedOn w:val="DefaultParagraphFont"/>
    <w:link w:val="Heading2"/>
    <w:rsid w:val="00842432"/>
    <w:rPr>
      <w:rFonts w:ascii="Arial MT" w:eastAsia="Times New Roman" w:hAnsi="Arial MT"/>
      <w:b/>
      <w:bCs/>
      <w:iCs/>
      <w:sz w:val="28"/>
      <w:szCs w:val="28"/>
      <w:lang w:val="en-US"/>
    </w:rPr>
  </w:style>
  <w:style w:type="character" w:customStyle="1" w:styleId="Heading3Char">
    <w:name w:val="Heading 3 Char"/>
    <w:basedOn w:val="DefaultParagraphFont"/>
    <w:link w:val="Heading3"/>
    <w:uiPriority w:val="9"/>
    <w:rsid w:val="00842432"/>
    <w:rPr>
      <w:rFonts w:asciiTheme="majorHAnsi" w:eastAsia="Times New Roman" w:hAnsiTheme="majorHAnsi"/>
      <w:b/>
      <w:sz w:val="24"/>
      <w:szCs w:val="24"/>
      <w:lang w:val="en-US"/>
    </w:rPr>
  </w:style>
  <w:style w:type="character" w:customStyle="1" w:styleId="Heading4Char">
    <w:name w:val="Heading 4 Char"/>
    <w:basedOn w:val="DefaultParagraphFont"/>
    <w:link w:val="Heading4"/>
    <w:uiPriority w:val="9"/>
    <w:rsid w:val="00D31B6E"/>
    <w:rPr>
      <w:rFonts w:ascii="Times New Roman" w:eastAsia="Times New Roman" w:hAnsi="Times New Roman"/>
      <w:sz w:val="24"/>
      <w:szCs w:val="24"/>
    </w:rPr>
  </w:style>
  <w:style w:type="character" w:customStyle="1" w:styleId="Heading5Char">
    <w:name w:val="Heading 5 Char"/>
    <w:basedOn w:val="DefaultParagraphFont"/>
    <w:link w:val="Heading5"/>
    <w:rsid w:val="00CE1201"/>
    <w:rPr>
      <w:rFonts w:ascii="Times New Roman" w:eastAsia="Times New Roman" w:hAnsi="Times New Roman" w:cs="Arial"/>
      <w:sz w:val="24"/>
      <w:szCs w:val="24"/>
      <w:u w:val="single"/>
    </w:rPr>
  </w:style>
  <w:style w:type="character" w:customStyle="1" w:styleId="Heading6Char">
    <w:name w:val="Heading 6 Char"/>
    <w:basedOn w:val="DefaultParagraphFont"/>
    <w:link w:val="Heading6"/>
    <w:rsid w:val="00640C56"/>
    <w:rPr>
      <w:rFonts w:ascii="Arial" w:eastAsia="Times New Roman" w:hAnsi="Arial"/>
      <w:i/>
      <w:sz w:val="22"/>
      <w:szCs w:val="24"/>
    </w:rPr>
  </w:style>
  <w:style w:type="character" w:customStyle="1" w:styleId="Heading7Char">
    <w:name w:val="Heading 7 Char"/>
    <w:basedOn w:val="DefaultParagraphFont"/>
    <w:link w:val="Heading7"/>
    <w:rsid w:val="00640C56"/>
    <w:rPr>
      <w:rFonts w:ascii="Arial" w:eastAsia="Times New Roman" w:hAnsi="Arial"/>
      <w:szCs w:val="24"/>
    </w:rPr>
  </w:style>
  <w:style w:type="character" w:customStyle="1" w:styleId="Heading8Char">
    <w:name w:val="Heading 8 Char"/>
    <w:basedOn w:val="DefaultParagraphFont"/>
    <w:link w:val="Heading8"/>
    <w:rsid w:val="00640C56"/>
    <w:rPr>
      <w:rFonts w:ascii="Arial" w:eastAsia="Times New Roman" w:hAnsi="Arial"/>
      <w:i/>
      <w:szCs w:val="24"/>
    </w:rPr>
  </w:style>
  <w:style w:type="character" w:customStyle="1" w:styleId="Heading9Char">
    <w:name w:val="Heading 9 Char"/>
    <w:basedOn w:val="DefaultParagraphFont"/>
    <w:link w:val="Heading9"/>
    <w:rsid w:val="00640C56"/>
    <w:rPr>
      <w:rFonts w:ascii="Times New Roman" w:eastAsia="Times New Roman" w:hAnsi="Times New Roman"/>
      <w:b/>
      <w:caps/>
      <w:sz w:val="28"/>
      <w:szCs w:val="24"/>
    </w:rPr>
  </w:style>
  <w:style w:type="paragraph" w:styleId="DocumentMap">
    <w:name w:val="Document Map"/>
    <w:basedOn w:val="Normal"/>
    <w:link w:val="DocumentMapChar"/>
    <w:uiPriority w:val="99"/>
    <w:semiHidden/>
    <w:unhideWhenUsed/>
    <w:rsid w:val="00E30CE6"/>
    <w:rPr>
      <w:rFonts w:ascii="Tahoma" w:hAnsi="Tahoma" w:cs="Tahoma"/>
      <w:sz w:val="16"/>
      <w:szCs w:val="16"/>
    </w:rPr>
  </w:style>
  <w:style w:type="character" w:customStyle="1" w:styleId="DocumentMapChar">
    <w:name w:val="Document Map Char"/>
    <w:basedOn w:val="DefaultParagraphFont"/>
    <w:link w:val="DocumentMap"/>
    <w:uiPriority w:val="99"/>
    <w:semiHidden/>
    <w:rsid w:val="00E30CE6"/>
    <w:rPr>
      <w:rFonts w:ascii="Tahoma" w:eastAsia="Times New Roman" w:hAnsi="Tahoma" w:cs="Tahoma"/>
      <w:sz w:val="16"/>
      <w:szCs w:val="16"/>
    </w:rPr>
  </w:style>
  <w:style w:type="paragraph" w:customStyle="1" w:styleId="a3">
    <w:name w:val="Формула"/>
    <w:basedOn w:val="Normal"/>
    <w:next w:val="Normal"/>
    <w:link w:val="Char"/>
    <w:qFormat/>
    <w:rsid w:val="00BF60C0"/>
    <w:pPr>
      <w:widowControl w:val="0"/>
      <w:spacing w:before="240" w:after="240"/>
      <w:contextualSpacing/>
      <w:jc w:val="center"/>
    </w:pPr>
  </w:style>
  <w:style w:type="paragraph" w:customStyle="1" w:styleId="a4">
    <w:name w:val="Листинг"/>
    <w:basedOn w:val="Normal"/>
    <w:unhideWhenUsed/>
    <w:rsid w:val="00FF5739"/>
    <w:pPr>
      <w:tabs>
        <w:tab w:val="left" w:pos="1701"/>
        <w:tab w:val="left" w:pos="2268"/>
        <w:tab w:val="left" w:pos="2835"/>
        <w:tab w:val="left" w:pos="3402"/>
        <w:tab w:val="left" w:pos="3969"/>
        <w:tab w:val="left" w:pos="4536"/>
      </w:tabs>
      <w:spacing w:before="240" w:after="240" w:line="264" w:lineRule="auto"/>
      <w:ind w:left="1134"/>
      <w:contextualSpacing/>
    </w:pPr>
    <w:rPr>
      <w:rFonts w:ascii="Consolas" w:hAnsi="Consolas"/>
      <w:sz w:val="22"/>
    </w:rPr>
  </w:style>
  <w:style w:type="paragraph" w:styleId="TOC1">
    <w:name w:val="toc 1"/>
    <w:basedOn w:val="Normal"/>
    <w:next w:val="Normal"/>
    <w:link w:val="TOC1Char"/>
    <w:autoRedefine/>
    <w:uiPriority w:val="39"/>
    <w:rsid w:val="000E59B0"/>
    <w:pPr>
      <w:tabs>
        <w:tab w:val="left" w:pos="284"/>
        <w:tab w:val="right" w:leader="dot" w:pos="9639"/>
      </w:tabs>
      <w:ind w:left="284" w:right="567" w:hanging="284"/>
    </w:pPr>
    <w:rPr>
      <w:noProof/>
    </w:rPr>
  </w:style>
  <w:style w:type="character" w:customStyle="1" w:styleId="TOC1Char">
    <w:name w:val="TOC 1 Char"/>
    <w:basedOn w:val="DefaultParagraphFont"/>
    <w:link w:val="TOC1"/>
    <w:uiPriority w:val="39"/>
    <w:rsid w:val="000E59B0"/>
    <w:rPr>
      <w:rFonts w:ascii="Times New Roman" w:eastAsia="Times New Roman" w:hAnsi="Times New Roman"/>
      <w:noProof/>
      <w:sz w:val="24"/>
      <w:szCs w:val="24"/>
    </w:rPr>
  </w:style>
  <w:style w:type="paragraph" w:styleId="TOC2">
    <w:name w:val="toc 2"/>
    <w:basedOn w:val="Normal"/>
    <w:next w:val="Normal"/>
    <w:link w:val="TOC2Char"/>
    <w:autoRedefine/>
    <w:uiPriority w:val="39"/>
    <w:rsid w:val="00640C56"/>
    <w:pPr>
      <w:tabs>
        <w:tab w:val="left" w:pos="709"/>
        <w:tab w:val="right" w:leader="dot" w:pos="9639"/>
      </w:tabs>
      <w:spacing w:before="60"/>
      <w:ind w:left="709" w:right="567" w:hanging="471"/>
    </w:pPr>
    <w:rPr>
      <w:noProof/>
    </w:rPr>
  </w:style>
  <w:style w:type="character" w:customStyle="1" w:styleId="TOC2Char">
    <w:name w:val="TOC 2 Char"/>
    <w:basedOn w:val="DefaultParagraphFont"/>
    <w:link w:val="TOC2"/>
    <w:uiPriority w:val="39"/>
    <w:rsid w:val="00640C56"/>
    <w:rPr>
      <w:rFonts w:ascii="Times New Roman" w:eastAsia="Times New Roman" w:hAnsi="Times New Roman"/>
      <w:noProof/>
      <w:sz w:val="24"/>
      <w:szCs w:val="24"/>
    </w:rPr>
  </w:style>
  <w:style w:type="paragraph" w:styleId="TOC3">
    <w:name w:val="toc 3"/>
    <w:basedOn w:val="Normal"/>
    <w:next w:val="Normal"/>
    <w:autoRedefine/>
    <w:uiPriority w:val="39"/>
    <w:rsid w:val="00640C56"/>
    <w:pPr>
      <w:tabs>
        <w:tab w:val="left" w:pos="1276"/>
        <w:tab w:val="right" w:leader="dot" w:pos="9639"/>
      </w:tabs>
      <w:ind w:left="1276" w:right="565" w:hanging="567"/>
    </w:pPr>
    <w:rPr>
      <w:noProof/>
    </w:rPr>
  </w:style>
  <w:style w:type="paragraph" w:customStyle="1" w:styleId="a5">
    <w:name w:val="После формулы"/>
    <w:basedOn w:val="Normal"/>
    <w:next w:val="Normal"/>
    <w:link w:val="a6"/>
    <w:qFormat/>
    <w:rsid w:val="00640C56"/>
  </w:style>
  <w:style w:type="paragraph" w:customStyle="1" w:styleId="-">
    <w:name w:val="Таблица - заголовок"/>
    <w:basedOn w:val="Normal"/>
    <w:next w:val="Normal"/>
    <w:link w:val="-Char"/>
    <w:rsid w:val="00AD33C5"/>
    <w:pPr>
      <w:keepNext/>
      <w:spacing w:before="240" w:after="120"/>
    </w:pPr>
  </w:style>
  <w:style w:type="character" w:styleId="PlaceholderText">
    <w:name w:val="Placeholder Text"/>
    <w:basedOn w:val="DefaultParagraphFont"/>
    <w:uiPriority w:val="99"/>
    <w:semiHidden/>
    <w:rsid w:val="003E1273"/>
    <w:rPr>
      <w:color w:val="808080"/>
    </w:rPr>
  </w:style>
  <w:style w:type="paragraph" w:styleId="BodyText">
    <w:name w:val="Body Text"/>
    <w:basedOn w:val="Normal"/>
    <w:link w:val="BodyTextChar"/>
    <w:uiPriority w:val="99"/>
    <w:semiHidden/>
    <w:unhideWhenUsed/>
    <w:rsid w:val="0022642D"/>
    <w:pPr>
      <w:spacing w:after="120"/>
    </w:pPr>
  </w:style>
  <w:style w:type="character" w:customStyle="1" w:styleId="BodyTextChar">
    <w:name w:val="Body Text Char"/>
    <w:basedOn w:val="DefaultParagraphFont"/>
    <w:link w:val="BodyText"/>
    <w:uiPriority w:val="99"/>
    <w:semiHidden/>
    <w:rsid w:val="0022642D"/>
    <w:rPr>
      <w:rFonts w:ascii="Times New Roman" w:eastAsia="Times New Roman" w:hAnsi="Times New Roman"/>
      <w:sz w:val="24"/>
      <w:szCs w:val="24"/>
    </w:rPr>
  </w:style>
  <w:style w:type="paragraph" w:customStyle="1" w:styleId="1">
    <w:name w:val="Заголовок 1 без номера"/>
    <w:basedOn w:val="Heading1"/>
    <w:next w:val="Normal"/>
    <w:qFormat/>
    <w:rsid w:val="005507AF"/>
    <w:pPr>
      <w:numPr>
        <w:numId w:val="0"/>
      </w:numPr>
      <w:jc w:val="center"/>
    </w:pPr>
    <w:rPr>
      <w:caps/>
    </w:rPr>
  </w:style>
  <w:style w:type="paragraph" w:customStyle="1" w:styleId="-0">
    <w:name w:val="Рисунок - подпись"/>
    <w:basedOn w:val="Normal"/>
    <w:next w:val="Normal"/>
    <w:link w:val="-Char0"/>
    <w:rsid w:val="009767BB"/>
    <w:pPr>
      <w:keepLines/>
      <w:suppressAutoHyphens/>
      <w:spacing w:before="40" w:after="120"/>
      <w:jc w:val="center"/>
    </w:pPr>
  </w:style>
  <w:style w:type="paragraph" w:customStyle="1" w:styleId="a7">
    <w:name w:val="Рисунок"/>
    <w:basedOn w:val="Normal"/>
    <w:link w:val="10"/>
    <w:qFormat/>
    <w:rsid w:val="006F7AF9"/>
    <w:pPr>
      <w:keepNext/>
      <w:spacing w:before="240"/>
      <w:jc w:val="center"/>
    </w:pPr>
    <w:rPr>
      <w:rFonts w:cs="Calibri"/>
      <w:szCs w:val="16"/>
    </w:rPr>
  </w:style>
  <w:style w:type="character" w:customStyle="1" w:styleId="10">
    <w:name w:val="Рисунок1 Знак"/>
    <w:basedOn w:val="DefaultParagraphFont"/>
    <w:link w:val="a7"/>
    <w:rsid w:val="006F7AF9"/>
    <w:rPr>
      <w:rFonts w:ascii="Times New Roman" w:eastAsia="Times New Roman" w:hAnsi="Times New Roman" w:cs="Calibri"/>
      <w:sz w:val="24"/>
      <w:szCs w:val="16"/>
    </w:rPr>
  </w:style>
  <w:style w:type="paragraph" w:styleId="CommentSubject">
    <w:name w:val="annotation subject"/>
    <w:basedOn w:val="Normal"/>
    <w:link w:val="CommentSubjectChar"/>
    <w:uiPriority w:val="99"/>
    <w:semiHidden/>
    <w:unhideWhenUsed/>
    <w:rsid w:val="00E30CE6"/>
    <w:rPr>
      <w:b/>
      <w:bCs/>
      <w:szCs w:val="20"/>
    </w:rPr>
  </w:style>
  <w:style w:type="character" w:customStyle="1" w:styleId="CommentSubjectChar">
    <w:name w:val="Comment Subject Char"/>
    <w:basedOn w:val="DefaultParagraphFont"/>
    <w:link w:val="CommentSubject"/>
    <w:uiPriority w:val="99"/>
    <w:semiHidden/>
    <w:rsid w:val="00E30CE6"/>
    <w:rPr>
      <w:b/>
      <w:bCs/>
    </w:rPr>
  </w:style>
  <w:style w:type="paragraph" w:styleId="Revision">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TOCHeading">
    <w:name w:val="TOC Heading"/>
    <w:basedOn w:val="Normal"/>
    <w:next w:val="Normal"/>
    <w:uiPriority w:val="39"/>
    <w:unhideWhenUsed/>
    <w:qFormat/>
    <w:rsid w:val="00295B35"/>
    <w:pPr>
      <w:spacing w:after="360"/>
      <w:jc w:val="center"/>
    </w:pPr>
    <w:rPr>
      <w:caps/>
      <w:szCs w:val="28"/>
    </w:rPr>
  </w:style>
  <w:style w:type="table" w:styleId="TableGrid">
    <w:name w:val="Table Grid"/>
    <w:basedOn w:val="TableNormal"/>
    <w:uiPriority w:val="39"/>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Normal"/>
    <w:qFormat/>
    <w:rsid w:val="00CE1201"/>
    <w:pPr>
      <w:numPr>
        <w:numId w:val="12"/>
      </w:numPr>
      <w:ind w:left="0" w:firstLine="709"/>
    </w:pPr>
  </w:style>
  <w:style w:type="paragraph" w:customStyle="1" w:styleId="a">
    <w:name w:val="Список нумерованный"/>
    <w:basedOn w:val="a0"/>
    <w:qFormat/>
    <w:rsid w:val="00894EB5"/>
    <w:pPr>
      <w:numPr>
        <w:numId w:val="25"/>
      </w:numPr>
      <w:tabs>
        <w:tab w:val="clear" w:pos="851"/>
      </w:tabs>
      <w:ind w:left="323" w:hanging="113"/>
    </w:pPr>
  </w:style>
  <w:style w:type="paragraph" w:styleId="BalloonText">
    <w:name w:val="Balloon Text"/>
    <w:basedOn w:val="Normal"/>
    <w:link w:val="BalloonTextChar"/>
    <w:uiPriority w:val="99"/>
    <w:semiHidden/>
    <w:unhideWhenUsed/>
    <w:rsid w:val="00CE1201"/>
    <w:rPr>
      <w:rFonts w:ascii="Tahoma" w:hAnsi="Tahoma" w:cs="Tahoma"/>
      <w:sz w:val="16"/>
      <w:szCs w:val="16"/>
    </w:rPr>
  </w:style>
  <w:style w:type="character" w:customStyle="1" w:styleId="BalloonTextChar">
    <w:name w:val="Balloon Text Char"/>
    <w:basedOn w:val="DefaultParagraphFont"/>
    <w:link w:val="BalloonText"/>
    <w:uiPriority w:val="99"/>
    <w:semiHidden/>
    <w:rsid w:val="00CE1201"/>
    <w:rPr>
      <w:rFonts w:ascii="Tahoma" w:eastAsia="Times New Roman" w:hAnsi="Tahoma" w:cs="Tahoma"/>
      <w:sz w:val="16"/>
      <w:szCs w:val="16"/>
    </w:rPr>
  </w:style>
  <w:style w:type="paragraph" w:customStyle="1" w:styleId="-1">
    <w:name w:val="Таблица - текст внутри"/>
    <w:basedOn w:val="a5"/>
    <w:link w:val="-2"/>
    <w:qFormat/>
    <w:rsid w:val="00AD33C5"/>
    <w:pPr>
      <w:jc w:val="center"/>
    </w:pPr>
  </w:style>
  <w:style w:type="paragraph" w:customStyle="1" w:styleId="a2">
    <w:name w:val="Список многоуровневый"/>
    <w:basedOn w:val="Normal"/>
    <w:link w:val="a8"/>
    <w:qFormat/>
    <w:rsid w:val="00EA76F5"/>
    <w:pPr>
      <w:numPr>
        <w:numId w:val="18"/>
      </w:numPr>
    </w:pPr>
  </w:style>
  <w:style w:type="character" w:customStyle="1" w:styleId="a6">
    <w:name w:val="После формулы Знак"/>
    <w:basedOn w:val="DefaultParagraphFont"/>
    <w:link w:val="a5"/>
    <w:rsid w:val="00CE1201"/>
    <w:rPr>
      <w:rFonts w:ascii="Times New Roman" w:eastAsia="Times New Roman" w:hAnsi="Times New Roman"/>
      <w:sz w:val="24"/>
      <w:szCs w:val="24"/>
    </w:rPr>
  </w:style>
  <w:style w:type="character" w:customStyle="1" w:styleId="-2">
    <w:name w:val="Таблица - текст внутри Знак"/>
    <w:basedOn w:val="a6"/>
    <w:link w:val="-1"/>
    <w:rsid w:val="00AD33C5"/>
    <w:rPr>
      <w:rFonts w:ascii="Times New Roman" w:eastAsia="Times New Roman" w:hAnsi="Times New Roman"/>
      <w:sz w:val="24"/>
      <w:szCs w:val="24"/>
    </w:rPr>
  </w:style>
  <w:style w:type="character" w:customStyle="1" w:styleId="a8">
    <w:name w:val="Список многоуровневый Знак"/>
    <w:basedOn w:val="DefaultParagraphFont"/>
    <w:link w:val="a2"/>
    <w:rsid w:val="00EA76F5"/>
    <w:rPr>
      <w:rFonts w:ascii="Times New Roman" w:eastAsia="Times New Roman" w:hAnsi="Times New Roman"/>
      <w:sz w:val="24"/>
      <w:szCs w:val="24"/>
    </w:rPr>
  </w:style>
  <w:style w:type="paragraph" w:styleId="Bibliography">
    <w:name w:val="Bibliography"/>
    <w:basedOn w:val="Normal"/>
    <w:next w:val="Normal"/>
    <w:uiPriority w:val="37"/>
    <w:unhideWhenUsed/>
    <w:rsid w:val="00BF3639"/>
    <w:pPr>
      <w:tabs>
        <w:tab w:val="left" w:pos="384"/>
      </w:tabs>
      <w:ind w:left="384" w:hanging="384"/>
    </w:pPr>
  </w:style>
  <w:style w:type="paragraph" w:styleId="Header">
    <w:name w:val="header"/>
    <w:basedOn w:val="Normal"/>
    <w:link w:val="HeaderChar"/>
    <w:uiPriority w:val="99"/>
    <w:unhideWhenUsed/>
    <w:rsid w:val="002D5057"/>
    <w:pPr>
      <w:tabs>
        <w:tab w:val="center" w:pos="4677"/>
        <w:tab w:val="right" w:pos="9355"/>
      </w:tabs>
    </w:pPr>
  </w:style>
  <w:style w:type="character" w:customStyle="1" w:styleId="HeaderChar">
    <w:name w:val="Header Char"/>
    <w:basedOn w:val="DefaultParagraphFont"/>
    <w:link w:val="Header"/>
    <w:uiPriority w:val="99"/>
    <w:rsid w:val="002D5057"/>
    <w:rPr>
      <w:rFonts w:ascii="Times New Roman" w:eastAsia="Times New Roman" w:hAnsi="Times New Roman"/>
      <w:sz w:val="24"/>
      <w:szCs w:val="24"/>
    </w:rPr>
  </w:style>
  <w:style w:type="paragraph" w:styleId="Footer">
    <w:name w:val="footer"/>
    <w:basedOn w:val="Normal"/>
    <w:link w:val="FooterChar"/>
    <w:uiPriority w:val="99"/>
    <w:unhideWhenUsed/>
    <w:rsid w:val="002D5057"/>
    <w:pPr>
      <w:tabs>
        <w:tab w:val="center" w:pos="4677"/>
        <w:tab w:val="right" w:pos="9355"/>
      </w:tabs>
    </w:pPr>
  </w:style>
  <w:style w:type="character" w:customStyle="1" w:styleId="FooterChar">
    <w:name w:val="Footer Char"/>
    <w:basedOn w:val="DefaultParagraphFont"/>
    <w:link w:val="Footer"/>
    <w:uiPriority w:val="99"/>
    <w:rsid w:val="002D5057"/>
    <w:rPr>
      <w:rFonts w:ascii="Times New Roman" w:eastAsia="Times New Roman" w:hAnsi="Times New Roman"/>
      <w:sz w:val="24"/>
      <w:szCs w:val="24"/>
    </w:rPr>
  </w:style>
  <w:style w:type="paragraph" w:customStyle="1" w:styleId="a9">
    <w:name w:val="После где"/>
    <w:basedOn w:val="a5"/>
    <w:qFormat/>
    <w:rsid w:val="0043582E"/>
    <w:pPr>
      <w:ind w:left="369"/>
    </w:pPr>
  </w:style>
  <w:style w:type="character" w:styleId="Hyperlink">
    <w:name w:val="Hyperlink"/>
    <w:basedOn w:val="DefaultParagraphFont"/>
    <w:uiPriority w:val="99"/>
    <w:unhideWhenUsed/>
    <w:rsid w:val="005507AF"/>
    <w:rPr>
      <w:color w:val="0000FF" w:themeColor="hyperlink"/>
      <w:u w:val="single"/>
    </w:rPr>
  </w:style>
  <w:style w:type="paragraph" w:styleId="ListParagraph">
    <w:name w:val="List Paragraph"/>
    <w:basedOn w:val="Normal"/>
    <w:uiPriority w:val="99"/>
    <w:qFormat/>
    <w:rsid w:val="00AD0812"/>
    <w:pPr>
      <w:ind w:left="720"/>
      <w:contextualSpacing/>
    </w:pPr>
  </w:style>
  <w:style w:type="paragraph" w:customStyle="1" w:styleId="a1">
    <w:name w:val="Список источников"/>
    <w:basedOn w:val="ListParagraph"/>
    <w:qFormat/>
    <w:rsid w:val="00AD0812"/>
    <w:pPr>
      <w:numPr>
        <w:numId w:val="22"/>
      </w:numPr>
      <w:tabs>
        <w:tab w:val="left" w:pos="993"/>
      </w:tabs>
      <w:ind w:left="0" w:firstLine="709"/>
    </w:pPr>
  </w:style>
  <w:style w:type="character" w:customStyle="1" w:styleId="Char">
    <w:name w:val="Формула Char"/>
    <w:basedOn w:val="DefaultParagraphFont"/>
    <w:link w:val="a3"/>
    <w:rsid w:val="003D7619"/>
    <w:rPr>
      <w:rFonts w:ascii="Times New Roman" w:eastAsia="Times New Roman" w:hAnsi="Times New Roman"/>
      <w:sz w:val="24"/>
      <w:szCs w:val="24"/>
    </w:rPr>
  </w:style>
  <w:style w:type="character" w:customStyle="1" w:styleId="Char0">
    <w:name w:val="Рисунок Char"/>
    <w:basedOn w:val="DefaultParagraphFont"/>
    <w:rsid w:val="003D7619"/>
    <w:rPr>
      <w:rFonts w:ascii="Times New Roman" w:hAnsi="Times New Roman" w:cs="Times New Roman"/>
      <w:sz w:val="24"/>
      <w:szCs w:val="24"/>
      <w:lang w:val="en-US"/>
    </w:rPr>
  </w:style>
  <w:style w:type="paragraph" w:customStyle="1" w:styleId="-3">
    <w:name w:val="Рисунок-подпись"/>
    <w:basedOn w:val="-0"/>
    <w:link w:val="-Char1"/>
    <w:qFormat/>
    <w:rsid w:val="00FE4C31"/>
    <w:pPr>
      <w:spacing w:before="71" w:after="0"/>
      <w:ind w:left="249"/>
    </w:pPr>
    <w:rPr>
      <w:rFonts w:ascii="Arial" w:hAnsi="Arial"/>
      <w:b/>
      <w:bCs/>
      <w:i/>
      <w:iCs/>
      <w:noProof/>
      <w:sz w:val="16"/>
    </w:rPr>
  </w:style>
  <w:style w:type="character" w:customStyle="1" w:styleId="-Char0">
    <w:name w:val="Рисунок - подпись Char"/>
    <w:basedOn w:val="DefaultParagraphFont"/>
    <w:link w:val="-0"/>
    <w:rsid w:val="003D7619"/>
    <w:rPr>
      <w:rFonts w:ascii="Times New Roman" w:eastAsia="Times New Roman" w:hAnsi="Times New Roman"/>
      <w:sz w:val="24"/>
      <w:szCs w:val="24"/>
    </w:rPr>
  </w:style>
  <w:style w:type="character" w:customStyle="1" w:styleId="-Char1">
    <w:name w:val="Рисунок-подпись Char"/>
    <w:basedOn w:val="-Char0"/>
    <w:link w:val="-3"/>
    <w:rsid w:val="00FE4C31"/>
    <w:rPr>
      <w:rFonts w:ascii="Arial" w:eastAsia="Times New Roman" w:hAnsi="Arial"/>
      <w:b/>
      <w:bCs/>
      <w:i/>
      <w:iCs/>
      <w:noProof/>
      <w:sz w:val="16"/>
      <w:szCs w:val="24"/>
      <w:lang w:val="en-US"/>
    </w:rPr>
  </w:style>
  <w:style w:type="paragraph" w:styleId="Caption">
    <w:name w:val="caption"/>
    <w:basedOn w:val="Normal"/>
    <w:next w:val="Normal"/>
    <w:uiPriority w:val="35"/>
    <w:unhideWhenUsed/>
    <w:qFormat/>
    <w:rsid w:val="00EB7746"/>
    <w:pPr>
      <w:spacing w:after="200"/>
    </w:pPr>
    <w:rPr>
      <w:i/>
      <w:iCs/>
      <w:color w:val="1F497D" w:themeColor="text2"/>
      <w:sz w:val="18"/>
      <w:szCs w:val="18"/>
    </w:rPr>
  </w:style>
  <w:style w:type="paragraph" w:customStyle="1" w:styleId="-4">
    <w:name w:val="Таблица-заголовок"/>
    <w:basedOn w:val="-"/>
    <w:next w:val="-"/>
    <w:link w:val="-Char2"/>
    <w:qFormat/>
    <w:rsid w:val="00FF67EF"/>
    <w:pPr>
      <w:spacing w:before="0" w:after="0"/>
    </w:pPr>
    <w:rPr>
      <w:rFonts w:ascii="Arial MT" w:hAnsi="Arial MT"/>
      <w:sz w:val="22"/>
    </w:rPr>
  </w:style>
  <w:style w:type="character" w:customStyle="1" w:styleId="-Char">
    <w:name w:val="Таблица - заголовок Char"/>
    <w:basedOn w:val="DefaultParagraphFont"/>
    <w:link w:val="-"/>
    <w:rsid w:val="00946458"/>
    <w:rPr>
      <w:rFonts w:ascii="Times New Roman" w:eastAsia="Times New Roman" w:hAnsi="Times New Roman"/>
      <w:sz w:val="24"/>
      <w:szCs w:val="24"/>
    </w:rPr>
  </w:style>
  <w:style w:type="character" w:customStyle="1" w:styleId="-Char2">
    <w:name w:val="Таблица-заголовок Char"/>
    <w:basedOn w:val="-Char"/>
    <w:link w:val="-4"/>
    <w:rsid w:val="00FF67EF"/>
    <w:rPr>
      <w:rFonts w:ascii="Arial MT" w:eastAsia="Times New Roman" w:hAnsi="Arial MT"/>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2560051">
      <w:bodyDiv w:val="1"/>
      <w:marLeft w:val="0"/>
      <w:marRight w:val="0"/>
      <w:marTop w:val="0"/>
      <w:marBottom w:val="0"/>
      <w:divBdr>
        <w:top w:val="none" w:sz="0" w:space="0" w:color="auto"/>
        <w:left w:val="none" w:sz="0" w:space="0" w:color="auto"/>
        <w:bottom w:val="none" w:sz="0" w:space="0" w:color="auto"/>
        <w:right w:val="none" w:sz="0" w:space="0" w:color="auto"/>
      </w:divBdr>
      <w:divsChild>
        <w:div w:id="292489946">
          <w:marLeft w:val="0"/>
          <w:marRight w:val="0"/>
          <w:marTop w:val="0"/>
          <w:marBottom w:val="0"/>
          <w:divBdr>
            <w:top w:val="none" w:sz="0" w:space="0" w:color="auto"/>
            <w:left w:val="none" w:sz="0" w:space="0" w:color="auto"/>
            <w:bottom w:val="none" w:sz="0" w:space="0" w:color="auto"/>
            <w:right w:val="none" w:sz="0" w:space="0" w:color="auto"/>
          </w:divBdr>
          <w:divsChild>
            <w:div w:id="418138837">
              <w:marLeft w:val="0"/>
              <w:marRight w:val="0"/>
              <w:marTop w:val="0"/>
              <w:marBottom w:val="0"/>
              <w:divBdr>
                <w:top w:val="none" w:sz="0" w:space="0" w:color="auto"/>
                <w:left w:val="none" w:sz="0" w:space="0" w:color="auto"/>
                <w:bottom w:val="none" w:sz="0" w:space="0" w:color="auto"/>
                <w:right w:val="none" w:sz="0" w:space="0" w:color="auto"/>
              </w:divBdr>
              <w:divsChild>
                <w:div w:id="1621912974">
                  <w:marLeft w:val="600"/>
                  <w:marRight w:val="96"/>
                  <w:marTop w:val="0"/>
                  <w:marBottom w:val="0"/>
                  <w:divBdr>
                    <w:top w:val="none" w:sz="0" w:space="0" w:color="auto"/>
                    <w:left w:val="none" w:sz="0" w:space="0" w:color="auto"/>
                    <w:bottom w:val="none" w:sz="0" w:space="0" w:color="auto"/>
                    <w:right w:val="none" w:sz="0" w:space="0" w:color="auto"/>
                  </w:divBdr>
                </w:div>
              </w:divsChild>
            </w:div>
            <w:div w:id="423847064">
              <w:marLeft w:val="0"/>
              <w:marRight w:val="0"/>
              <w:marTop w:val="0"/>
              <w:marBottom w:val="0"/>
              <w:divBdr>
                <w:top w:val="none" w:sz="0" w:space="0" w:color="auto"/>
                <w:left w:val="none" w:sz="0" w:space="0" w:color="auto"/>
                <w:bottom w:val="none" w:sz="0" w:space="0" w:color="auto"/>
                <w:right w:val="none" w:sz="0" w:space="0" w:color="auto"/>
              </w:divBdr>
              <w:divsChild>
                <w:div w:id="1213612861">
                  <w:marLeft w:val="600"/>
                  <w:marRight w:val="96"/>
                  <w:marTop w:val="0"/>
                  <w:marBottom w:val="0"/>
                  <w:divBdr>
                    <w:top w:val="none" w:sz="0" w:space="0" w:color="auto"/>
                    <w:left w:val="none" w:sz="0" w:space="0" w:color="auto"/>
                    <w:bottom w:val="none" w:sz="0" w:space="0" w:color="auto"/>
                    <w:right w:val="none" w:sz="0" w:space="0" w:color="auto"/>
                  </w:divBdr>
                </w:div>
              </w:divsChild>
            </w:div>
            <w:div w:id="546643879">
              <w:marLeft w:val="0"/>
              <w:marRight w:val="0"/>
              <w:marTop w:val="0"/>
              <w:marBottom w:val="0"/>
              <w:divBdr>
                <w:top w:val="none" w:sz="0" w:space="0" w:color="auto"/>
                <w:left w:val="none" w:sz="0" w:space="0" w:color="auto"/>
                <w:bottom w:val="none" w:sz="0" w:space="0" w:color="auto"/>
                <w:right w:val="none" w:sz="0" w:space="0" w:color="auto"/>
              </w:divBdr>
              <w:divsChild>
                <w:div w:id="441000343">
                  <w:marLeft w:val="600"/>
                  <w:marRight w:val="96"/>
                  <w:marTop w:val="0"/>
                  <w:marBottom w:val="0"/>
                  <w:divBdr>
                    <w:top w:val="none" w:sz="0" w:space="0" w:color="auto"/>
                    <w:left w:val="none" w:sz="0" w:space="0" w:color="auto"/>
                    <w:bottom w:val="none" w:sz="0" w:space="0" w:color="auto"/>
                    <w:right w:val="none" w:sz="0" w:space="0" w:color="auto"/>
                  </w:divBdr>
                </w:div>
              </w:divsChild>
            </w:div>
            <w:div w:id="609356876">
              <w:marLeft w:val="0"/>
              <w:marRight w:val="0"/>
              <w:marTop w:val="0"/>
              <w:marBottom w:val="0"/>
              <w:divBdr>
                <w:top w:val="none" w:sz="0" w:space="0" w:color="auto"/>
                <w:left w:val="none" w:sz="0" w:space="0" w:color="auto"/>
                <w:bottom w:val="none" w:sz="0" w:space="0" w:color="auto"/>
                <w:right w:val="none" w:sz="0" w:space="0" w:color="auto"/>
              </w:divBdr>
              <w:divsChild>
                <w:div w:id="465389704">
                  <w:marLeft w:val="600"/>
                  <w:marRight w:val="96"/>
                  <w:marTop w:val="0"/>
                  <w:marBottom w:val="0"/>
                  <w:divBdr>
                    <w:top w:val="none" w:sz="0" w:space="0" w:color="auto"/>
                    <w:left w:val="none" w:sz="0" w:space="0" w:color="auto"/>
                    <w:bottom w:val="none" w:sz="0" w:space="0" w:color="auto"/>
                    <w:right w:val="none" w:sz="0" w:space="0" w:color="auto"/>
                  </w:divBdr>
                </w:div>
              </w:divsChild>
            </w:div>
            <w:div w:id="637999680">
              <w:marLeft w:val="0"/>
              <w:marRight w:val="0"/>
              <w:marTop w:val="0"/>
              <w:marBottom w:val="0"/>
              <w:divBdr>
                <w:top w:val="none" w:sz="0" w:space="0" w:color="auto"/>
                <w:left w:val="none" w:sz="0" w:space="0" w:color="auto"/>
                <w:bottom w:val="none" w:sz="0" w:space="0" w:color="auto"/>
                <w:right w:val="none" w:sz="0" w:space="0" w:color="auto"/>
              </w:divBdr>
              <w:divsChild>
                <w:div w:id="2138720876">
                  <w:marLeft w:val="600"/>
                  <w:marRight w:val="96"/>
                  <w:marTop w:val="0"/>
                  <w:marBottom w:val="0"/>
                  <w:divBdr>
                    <w:top w:val="none" w:sz="0" w:space="0" w:color="auto"/>
                    <w:left w:val="none" w:sz="0" w:space="0" w:color="auto"/>
                    <w:bottom w:val="none" w:sz="0" w:space="0" w:color="auto"/>
                    <w:right w:val="none" w:sz="0" w:space="0" w:color="auto"/>
                  </w:divBdr>
                </w:div>
              </w:divsChild>
            </w:div>
            <w:div w:id="1196962817">
              <w:marLeft w:val="0"/>
              <w:marRight w:val="0"/>
              <w:marTop w:val="0"/>
              <w:marBottom w:val="0"/>
              <w:divBdr>
                <w:top w:val="none" w:sz="0" w:space="0" w:color="auto"/>
                <w:left w:val="none" w:sz="0" w:space="0" w:color="auto"/>
                <w:bottom w:val="none" w:sz="0" w:space="0" w:color="auto"/>
                <w:right w:val="none" w:sz="0" w:space="0" w:color="auto"/>
              </w:divBdr>
              <w:divsChild>
                <w:div w:id="86924573">
                  <w:marLeft w:val="600"/>
                  <w:marRight w:val="96"/>
                  <w:marTop w:val="0"/>
                  <w:marBottom w:val="0"/>
                  <w:divBdr>
                    <w:top w:val="none" w:sz="0" w:space="0" w:color="auto"/>
                    <w:left w:val="none" w:sz="0" w:space="0" w:color="auto"/>
                    <w:bottom w:val="none" w:sz="0" w:space="0" w:color="auto"/>
                    <w:right w:val="none" w:sz="0" w:space="0" w:color="auto"/>
                  </w:divBdr>
                </w:div>
              </w:divsChild>
            </w:div>
            <w:div w:id="1350526911">
              <w:marLeft w:val="0"/>
              <w:marRight w:val="0"/>
              <w:marTop w:val="0"/>
              <w:marBottom w:val="0"/>
              <w:divBdr>
                <w:top w:val="none" w:sz="0" w:space="0" w:color="auto"/>
                <w:left w:val="none" w:sz="0" w:space="0" w:color="auto"/>
                <w:bottom w:val="none" w:sz="0" w:space="0" w:color="auto"/>
                <w:right w:val="none" w:sz="0" w:space="0" w:color="auto"/>
              </w:divBdr>
              <w:divsChild>
                <w:div w:id="2012249179">
                  <w:marLeft w:val="600"/>
                  <w:marRight w:val="96"/>
                  <w:marTop w:val="0"/>
                  <w:marBottom w:val="0"/>
                  <w:divBdr>
                    <w:top w:val="none" w:sz="0" w:space="0" w:color="auto"/>
                    <w:left w:val="none" w:sz="0" w:space="0" w:color="auto"/>
                    <w:bottom w:val="none" w:sz="0" w:space="0" w:color="auto"/>
                    <w:right w:val="none" w:sz="0" w:space="0" w:color="auto"/>
                  </w:divBdr>
                </w:div>
              </w:divsChild>
            </w:div>
            <w:div w:id="1542086810">
              <w:marLeft w:val="0"/>
              <w:marRight w:val="0"/>
              <w:marTop w:val="0"/>
              <w:marBottom w:val="0"/>
              <w:divBdr>
                <w:top w:val="none" w:sz="0" w:space="0" w:color="auto"/>
                <w:left w:val="none" w:sz="0" w:space="0" w:color="auto"/>
                <w:bottom w:val="none" w:sz="0" w:space="0" w:color="auto"/>
                <w:right w:val="none" w:sz="0" w:space="0" w:color="auto"/>
              </w:divBdr>
              <w:divsChild>
                <w:div w:id="124275980">
                  <w:marLeft w:val="600"/>
                  <w:marRight w:val="96"/>
                  <w:marTop w:val="0"/>
                  <w:marBottom w:val="0"/>
                  <w:divBdr>
                    <w:top w:val="none" w:sz="0" w:space="0" w:color="auto"/>
                    <w:left w:val="none" w:sz="0" w:space="0" w:color="auto"/>
                    <w:bottom w:val="none" w:sz="0" w:space="0" w:color="auto"/>
                    <w:right w:val="none" w:sz="0" w:space="0" w:color="auto"/>
                  </w:divBdr>
                </w:div>
              </w:divsChild>
            </w:div>
            <w:div w:id="1542356493">
              <w:marLeft w:val="0"/>
              <w:marRight w:val="0"/>
              <w:marTop w:val="0"/>
              <w:marBottom w:val="0"/>
              <w:divBdr>
                <w:top w:val="none" w:sz="0" w:space="0" w:color="auto"/>
                <w:left w:val="none" w:sz="0" w:space="0" w:color="auto"/>
                <w:bottom w:val="none" w:sz="0" w:space="0" w:color="auto"/>
                <w:right w:val="none" w:sz="0" w:space="0" w:color="auto"/>
              </w:divBdr>
              <w:divsChild>
                <w:div w:id="1288046415">
                  <w:marLeft w:val="600"/>
                  <w:marRight w:val="96"/>
                  <w:marTop w:val="0"/>
                  <w:marBottom w:val="0"/>
                  <w:divBdr>
                    <w:top w:val="none" w:sz="0" w:space="0" w:color="auto"/>
                    <w:left w:val="none" w:sz="0" w:space="0" w:color="auto"/>
                    <w:bottom w:val="none" w:sz="0" w:space="0" w:color="auto"/>
                    <w:right w:val="none" w:sz="0" w:space="0" w:color="auto"/>
                  </w:divBdr>
                </w:div>
              </w:divsChild>
            </w:div>
            <w:div w:id="1801529487">
              <w:marLeft w:val="0"/>
              <w:marRight w:val="0"/>
              <w:marTop w:val="0"/>
              <w:marBottom w:val="0"/>
              <w:divBdr>
                <w:top w:val="none" w:sz="0" w:space="0" w:color="auto"/>
                <w:left w:val="none" w:sz="0" w:space="0" w:color="auto"/>
                <w:bottom w:val="none" w:sz="0" w:space="0" w:color="auto"/>
                <w:right w:val="none" w:sz="0" w:space="0" w:color="auto"/>
              </w:divBdr>
              <w:divsChild>
                <w:div w:id="2004966316">
                  <w:marLeft w:val="600"/>
                  <w:marRight w:val="96"/>
                  <w:marTop w:val="0"/>
                  <w:marBottom w:val="0"/>
                  <w:divBdr>
                    <w:top w:val="none" w:sz="0" w:space="0" w:color="auto"/>
                    <w:left w:val="none" w:sz="0" w:space="0" w:color="auto"/>
                    <w:bottom w:val="none" w:sz="0" w:space="0" w:color="auto"/>
                    <w:right w:val="none" w:sz="0" w:space="0" w:color="auto"/>
                  </w:divBdr>
                </w:div>
              </w:divsChild>
            </w:div>
            <w:div w:id="2088917882">
              <w:marLeft w:val="0"/>
              <w:marRight w:val="0"/>
              <w:marTop w:val="0"/>
              <w:marBottom w:val="0"/>
              <w:divBdr>
                <w:top w:val="none" w:sz="0" w:space="0" w:color="auto"/>
                <w:left w:val="none" w:sz="0" w:space="0" w:color="auto"/>
                <w:bottom w:val="none" w:sz="0" w:space="0" w:color="auto"/>
                <w:right w:val="none" w:sz="0" w:space="0" w:color="auto"/>
              </w:divBdr>
              <w:divsChild>
                <w:div w:id="110823596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1142</TotalTime>
  <Pages>1</Pages>
  <Words>1391</Words>
  <Characters>7935</Characters>
  <Application>Microsoft Office Word</Application>
  <DocSecurity>0</DocSecurity>
  <Lines>66</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9308</CharactersWithSpaces>
  <SharedDoc>false</SharedDoc>
  <HLinks>
    <vt:vector size="48" baseType="variant">
      <vt:variant>
        <vt:i4>4063335</vt:i4>
      </vt:variant>
      <vt:variant>
        <vt:i4>69</vt:i4>
      </vt:variant>
      <vt:variant>
        <vt:i4>0</vt:i4>
      </vt:variant>
      <vt:variant>
        <vt:i4>5</vt:i4>
      </vt:variant>
      <vt:variant>
        <vt:lpwstr>https://doi.org/10.1145/3477314.3506961</vt:lpwstr>
      </vt:variant>
      <vt:variant>
        <vt:lpwstr/>
      </vt:variant>
      <vt:variant>
        <vt:i4>1048624</vt:i4>
      </vt:variant>
      <vt:variant>
        <vt:i4>38</vt:i4>
      </vt:variant>
      <vt:variant>
        <vt:i4>0</vt:i4>
      </vt:variant>
      <vt:variant>
        <vt:i4>5</vt:i4>
      </vt:variant>
      <vt:variant>
        <vt:lpwstr/>
      </vt:variant>
      <vt:variant>
        <vt:lpwstr>_Toc163737111</vt:lpwstr>
      </vt:variant>
      <vt:variant>
        <vt:i4>1048624</vt:i4>
      </vt:variant>
      <vt:variant>
        <vt:i4>32</vt:i4>
      </vt:variant>
      <vt:variant>
        <vt:i4>0</vt:i4>
      </vt:variant>
      <vt:variant>
        <vt:i4>5</vt:i4>
      </vt:variant>
      <vt:variant>
        <vt:lpwstr/>
      </vt:variant>
      <vt:variant>
        <vt:lpwstr>_Toc163737110</vt:lpwstr>
      </vt:variant>
      <vt:variant>
        <vt:i4>1114160</vt:i4>
      </vt:variant>
      <vt:variant>
        <vt:i4>26</vt:i4>
      </vt:variant>
      <vt:variant>
        <vt:i4>0</vt:i4>
      </vt:variant>
      <vt:variant>
        <vt:i4>5</vt:i4>
      </vt:variant>
      <vt:variant>
        <vt:lpwstr/>
      </vt:variant>
      <vt:variant>
        <vt:lpwstr>_Toc163737109</vt:lpwstr>
      </vt:variant>
      <vt:variant>
        <vt:i4>1114160</vt:i4>
      </vt:variant>
      <vt:variant>
        <vt:i4>20</vt:i4>
      </vt:variant>
      <vt:variant>
        <vt:i4>0</vt:i4>
      </vt:variant>
      <vt:variant>
        <vt:i4>5</vt:i4>
      </vt:variant>
      <vt:variant>
        <vt:lpwstr/>
      </vt:variant>
      <vt:variant>
        <vt:lpwstr>_Toc163737108</vt:lpwstr>
      </vt:variant>
      <vt:variant>
        <vt:i4>1114160</vt:i4>
      </vt:variant>
      <vt:variant>
        <vt:i4>14</vt:i4>
      </vt:variant>
      <vt:variant>
        <vt:i4>0</vt:i4>
      </vt:variant>
      <vt:variant>
        <vt:i4>5</vt:i4>
      </vt:variant>
      <vt:variant>
        <vt:lpwstr/>
      </vt:variant>
      <vt:variant>
        <vt:lpwstr>_Toc163737107</vt:lpwstr>
      </vt:variant>
      <vt:variant>
        <vt:i4>1114160</vt:i4>
      </vt:variant>
      <vt:variant>
        <vt:i4>8</vt:i4>
      </vt:variant>
      <vt:variant>
        <vt:i4>0</vt:i4>
      </vt:variant>
      <vt:variant>
        <vt:i4>5</vt:i4>
      </vt:variant>
      <vt:variant>
        <vt:lpwstr/>
      </vt:variant>
      <vt:variant>
        <vt:lpwstr>_Toc163737106</vt:lpwstr>
      </vt:variant>
      <vt:variant>
        <vt:i4>1114160</vt:i4>
      </vt:variant>
      <vt:variant>
        <vt:i4>2</vt:i4>
      </vt:variant>
      <vt:variant>
        <vt:i4>0</vt:i4>
      </vt:variant>
      <vt:variant>
        <vt:i4>5</vt:i4>
      </vt:variant>
      <vt:variant>
        <vt:lpwstr/>
      </vt:variant>
      <vt:variant>
        <vt:lpwstr>_Toc163737105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В. Благов</dc:creator>
  <cp:keywords/>
  <cp:lastModifiedBy>Иван Наумов</cp:lastModifiedBy>
  <cp:revision>34</cp:revision>
  <cp:lastPrinted>2016-08-31T12:08:00Z</cp:lastPrinted>
  <dcterms:created xsi:type="dcterms:W3CDTF">2024-04-10T15:29:00Z</dcterms:created>
  <dcterms:modified xsi:type="dcterms:W3CDTF">2024-04-18T08:33:00Z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id="jXKc4WZt"/&gt;&lt;style id="http://www.zotero.org/styles/american-chemical-society" hasBibliography="1" bibliographyStyleHasBeenSet="1"/&gt;&lt;prefs&gt;&lt;pref name="fieldType" value="Field"/&gt;&lt;pref name="automat</vt:lpwstr>
  </property>
  <property fmtid="{D5CDD505-2E9C-101B-9397-08002B2CF9AE}" pid="3" name="ZOTERO_PREF_2">
    <vt:lpwstr>icJournalAbbreviations" value="true"/&gt;&lt;pref name="delayCitationUpdates" value="true"/&gt;&lt;/prefs&gt;&lt;/data&gt;</vt:lpwstr>
  </property>
</Properties>
</file>