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fill="auto"/>
        <w:spacing w:after="6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36"/>
          <w:szCs w:val="36"/>
        </w:rPr>
        <w:t xml:space="preserve">Peixuan Yang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Incoming Year 2 BEng (Hons) · Computer Science and Electronic Engineering</w:t>
      </w:r>
    </w:p>
    <w:p>
      <w:pPr>
        <w:shd w:val="clear" w:fill="auto"/>
        <w:spacing w:after="4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sgpyang2@liverpool.ac.uk | +44 7902 052947 | github.com/sh1ranY</w:t>
      </w:r>
    </w:p>
    <w:p>
      <w:pPr>
        <w:shd w:val="clear" w:fill="auto"/>
        <w:spacing w:after="4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/>
      </w: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Research interests  </w:t>
      </w: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AI hardware–world-model co-design; photonic computing and computer architecture; efficient generative inference; trustworthy autonomous and multi-robot systems.</w:t>
      </w:r>
    </w:p>
    <w:p>
      <w:pPr>
        <w:pStyle w:val="3"/>
        <w:shd w:val="clear" w:fill="auto"/>
        <w:spacing w:before="120" w:after="65" w:line="247" w:lineRule="auto" w:beforeAutospacing="0" w:afterAutospacing="0"/>
        <w:jc w:val="left"/>
        <w:widowControl w:val="1"/>
        <w:keepNext w:val="1"/>
        <w:keepLines w:val="1"/>
        <w:pBdr>
          <w:top w:val="single" w:sz="8" w:space="5" w:color="A0A0A0"/>
        </w:pBdr>
      </w:pPr>
      <w:r>
        <w:rPr>
          <w:rFonts w:ascii="Times New Roman" w:hAnsi="Times New Roman" w:cs="Times New Roman"/>
          <w:b w:val="1"/>
          <w:i w:val="0"/>
          <w:color w:val="1F1F1F"/>
          <w:sz w:val="28"/>
          <w:szCs w:val="28"/>
        </w:rPr>
        <w:t xml:space="preserve">EDUCATION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University of Liverpool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BEng (Hons), Computer Science and Electronic Engineering</w:t>
      </w: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 | Sep 2026 – Jun 2028 (expected)</w:t>
      </w:r>
    </w:p>
    <w:p>
      <w:pPr>
        <w:shd w:val="clear" w:fill="auto"/>
        <w:spacing w:after="4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XJTLU 2+2 pathway; Years 2–3 at Liverpool.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Xi’an Jiaotong-Liverpool University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Computer Science and Technology · Suzhou, China</w:t>
      </w: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 | Sep 2024 – Jul 2026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2025/26 weighted average: 71% (First-Class level). Selected marks: Computer Systems 88%; Engineering Mathematics II 86%; Digital Electronics I 76%; Data Structures and Algorithms 76%.</w:t>
      </w:r>
    </w:p>
    <w:p>
      <w:pPr>
        <w:pStyle w:val="3"/>
        <w:shd w:val="clear" w:fill="auto"/>
        <w:spacing w:before="120" w:after="65" w:line="247" w:lineRule="auto" w:beforeAutospacing="0" w:afterAutospacing="0"/>
        <w:jc w:val="left"/>
        <w:widowControl w:val="1"/>
        <w:keepNext w:val="1"/>
        <w:keepLines w:val="1"/>
        <w:pBdr>
          <w:top w:val="single" w:sz="8" w:space="5" w:color="A0A0A0"/>
        </w:pBdr>
      </w:pPr>
      <w:r>
        <w:rPr>
          <w:rFonts w:ascii="Times New Roman" w:hAnsi="Times New Roman" w:cs="Times New Roman"/>
          <w:b w:val="1"/>
          <w:i w:val="0"/>
          <w:color w:val="1F1F1F"/>
          <w:sz w:val="28"/>
          <w:szCs w:val="28"/>
        </w:rPr>
        <w:t xml:space="preserve">SELECTED PUBLICATION</w:t>
      </w:r>
    </w:p>
    <w:p>
      <w:pPr>
        <w:shd w:val="clear" w:fill="auto"/>
        <w:spacing w:after="4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Y. Wang, Y. Gao, </w:t>
      </w: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P. Yang</w:t>
      </w: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, and B. Zhao. “Optimized Fine-tuning and Pseudo-Data Strategies for Cross-Domain Low-Resource Language Cantonese-English Neural Machine Translation.” 11th International Conference on Robotics and Artificial Intelligence (ICRAI), Nagoya, Japan, 2025.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Co-second author and presenter. Best Presentation Award.</w:t>
      </w:r>
    </w:p>
    <w:p>
      <w:pPr>
        <w:pStyle w:val="3"/>
        <w:shd w:val="clear" w:fill="auto"/>
        <w:spacing w:before="120" w:after="65" w:line="247" w:lineRule="auto" w:beforeAutospacing="0" w:afterAutospacing="0"/>
        <w:jc w:val="left"/>
        <w:widowControl w:val="1"/>
        <w:keepNext w:val="1"/>
        <w:keepLines w:val="1"/>
        <w:pBdr>
          <w:top w:val="single" w:sz="8" w:space="5" w:color="A0A0A0"/>
        </w:pBdr>
      </w:pPr>
      <w:r>
        <w:rPr>
          <w:rFonts w:ascii="Times New Roman" w:hAnsi="Times New Roman" w:cs="Times New Roman"/>
          <w:b w:val="1"/>
          <w:i w:val="0"/>
          <w:color w:val="1F1F1F"/>
          <w:sz w:val="28"/>
          <w:szCs w:val="28"/>
        </w:rPr>
        <w:t xml:space="preserve">RESEARCH EXPERIENCE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PhotonWM · MRR Acceleration for Autoregressive World Models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Student Researcher · Supervisor: Prof. Jiaqi Liu</w:t>
      </w: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 | Jul 2026 – Present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Co-designed a hybrid photonic–electronic architecture mapping fixed-weight Linear operators to 64 × 64 microring-resonator arrays, with dynamic attention, nonlinearities, sampling and control retained on the electronic backend.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Reproduced and profiled the official LPWM BAIR-128 checkpoint on an RTX 5090; built operator and tensor-shape ledgers and identified recurrent Dynamics execution as 91.56% of measured stage latency.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Integrated measured traces with LLMCompass, SimPhony and event-driven scheduling to evaluate weight residency, MRR programming, conversion, latency, energy and rollout quality. Contributed evaluation methodology and manuscript revision.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Full manuscript submitted to DATE 2027.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SURF 2026 · Collaborative Proof-of-Sensing and Multi-Robot Auditing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Summer Undergraduate Research Fellow · Supervisor: Prof. Limin Yu</w:t>
      </w: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 | Jun – Aug 2026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Conducted largely independent literature-to-prototype research on CPoS and lightweight trusted auditing for UAV, surface and underwater robot missions.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Implemented and tested a local Hardhat EVM network, Solidity sensing registry and ethers.js client for digest submission, retrieval and audit events; documented transaction and gas evidence while keeping raw sensing data off-chain.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Built a three-X500 ROS 2 Jazzy / Gazebo Harmonic / PX4 v1.17 simulation environment with separate identities and namespaces; validated take-off, hover, waypoint, return and landing. Specified a next-stage protocol for signed multi-source mission evidence and future physical-sensing verification.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Programme completed; SURF certificate issued September 2026.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Low-Resource Cantonese–English Neural Machine Translation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Researcher · Co-second author and presenter, ICRAI 2025</w:t>
      </w: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 | Jun 2025 – Jan 2026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  <w:keepNext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Constructed and cleaned a 1.1-million-pair parallel corpus using syntactic filtering, normalisation, deduplication and LaBSE-based semantic alignment.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Fine-tuned NLLB-200-distilled-600M and designed a nested pseudo-data sampling strategy; the best 200k:200k pseudo-to-real setting achieved BLEU 29.63 and chrF 56.65.</w:t>
      </w:r>
    </w:p>
    <w:p>
      <w:pPr>
        <w:pStyle w:val="3"/>
        <w:shd w:val="clear" w:fill="auto"/>
        <w:spacing w:before="120" w:after="65" w:line="247" w:lineRule="auto" w:beforeAutospacing="0" w:afterAutospacing="0"/>
        <w:jc w:val="left"/>
        <w:widowControl w:val="1"/>
        <w:keepNext w:val="1"/>
        <w:keepLines w:val="1"/>
        <w:pBdr>
          <w:top w:val="single" w:sz="8" w:space="5" w:color="A0A0A0"/>
        </w:pBdr>
      </w:pPr>
      <w:r>
        <w:rPr>
          <w:rFonts w:ascii="Times New Roman" w:hAnsi="Times New Roman" w:cs="Times New Roman"/>
          <w:b w:val="1"/>
          <w:i w:val="0"/>
          <w:color w:val="1F1F1F"/>
          <w:sz w:val="28"/>
          <w:szCs w:val="28"/>
        </w:rPr>
        <w:t xml:space="preserve">PROFESSIONAL EXPERIENCE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Research Institute of Tsinghua University in Shenzhen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R&amp;D Intern · Marine Hydrogen Energy R&amp;D Center</w:t>
      </w: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 | May – Jul 2026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Completed a two-month R&amp;D placement; the official internship certificate commends initiative, collaboration and strong overall performance.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Wuhan University City Hospital Co., Ltd.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Medical Data Analysis / IT R&amp;D Intern · Wuhan, China</w:t>
      </w: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 | Jan – Mar 2026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Used Python to process and analyse operational data, supported technical troubleshooting and contributed to internal healthcare IT workflows.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Evaluated AI-assisted troubleshooting and organised internal knowledge-base content for more consistent technical support.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Wuhan Dongfangyunjin Information Technology Co., Ltd.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Backend and UI Programmer (Medical Devices) · Wuhan, China</w:t>
      </w: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 | Feb – Dec 2023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Developed web interfaces and external API integrations for secure data exchange and partner bidding information; implemented RBAC user management with permission and account CRUD operations.</w:t>
      </w:r>
    </w:p>
    <w:p>
      <w:pPr>
        <w:pStyle w:val="3"/>
        <w:shd w:val="clear" w:fill="auto"/>
        <w:spacing w:before="120" w:after="65" w:line="247" w:lineRule="auto" w:beforeAutospacing="0" w:afterAutospacing="0"/>
        <w:jc w:val="left"/>
        <w:widowControl w:val="1"/>
        <w:keepNext w:val="1"/>
        <w:keepLines w:val="1"/>
        <w:pBdr>
          <w:top w:val="single" w:sz="8" w:space="5" w:color="A0A0A0"/>
        </w:pBdr>
      </w:pPr>
      <w:r>
        <w:rPr>
          <w:rFonts w:ascii="Times New Roman" w:hAnsi="Times New Roman" w:cs="Times New Roman"/>
          <w:b w:val="1"/>
          <w:i w:val="0"/>
          <w:color w:val="1F1F1F"/>
          <w:sz w:val="28"/>
          <w:szCs w:val="28"/>
        </w:rPr>
        <w:t xml:space="preserve">SELECTED TECHNICAL PROJECT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HiAgent Intelligent HR System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Lead Knowledge Base Engineer · XJTLU Hackathon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Designed a retrieval-augmented candidate-evaluation workflow; curated job descriptions, CVs and interview records for vector retrieval and LLM interpretation.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Integrated PDF/Word parsing with job-description analysis, candidate scoring and dynamic interview-question generation.</w:t>
      </w:r>
    </w:p>
    <w:p>
      <w:pPr>
        <w:pStyle w:val="3"/>
        <w:shd w:val="clear" w:fill="auto"/>
        <w:spacing w:before="120" w:after="65" w:line="247" w:lineRule="auto" w:beforeAutospacing="0" w:afterAutospacing="0"/>
        <w:jc w:val="left"/>
        <w:widowControl w:val="1"/>
        <w:keepNext w:val="1"/>
        <w:keepLines w:val="1"/>
        <w:pBdr>
          <w:top w:val="single" w:sz="8" w:space="5" w:color="A0A0A0"/>
        </w:pBdr>
      </w:pPr>
      <w:r>
        <w:rPr>
          <w:rFonts w:ascii="Times New Roman" w:hAnsi="Times New Roman" w:cs="Times New Roman"/>
          <w:b w:val="1"/>
          <w:i w:val="0"/>
          <w:color w:val="1F1F1F"/>
          <w:sz w:val="28"/>
          <w:szCs w:val="28"/>
        </w:rPr>
        <w:t xml:space="preserve">TECHNICAL SKILLS</w:t>
      </w:r>
    </w:p>
    <w:p>
      <w:pPr>
        <w:shd w:val="clear" w:fill="auto"/>
        <w:spacing w:after="4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/>
      </w: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Research and ML  </w:t>
      </w: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Python, PyTorch, model profiling, workload tracing, reproducible experiments, NLLB/LLM fine-tuning.</w:t>
      </w:r>
    </w:p>
    <w:p>
      <w:pPr>
        <w:shd w:val="clear" w:fill="auto"/>
        <w:spacing w:after="4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/>
      </w: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AI systems and hardware  </w:t>
      </w: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LPWM, world models, LLMCompass, SimPhony, microring-resonator photonic computing, hybrid photonic–electronic architectures.</w:t>
      </w:r>
    </w:p>
    <w:p>
      <w:pPr>
        <w:shd w:val="clear" w:fill="auto"/>
        <w:spacing w:after="4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/>
      </w: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Robotics and security  </w:t>
      </w: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ROS 2, PX4 SITL, Gazebo, Solidity, Hardhat, ethers.js, blockchain and permissioned-ledger prototyping.</w:t>
      </w:r>
    </w:p>
    <w:p>
      <w:pPr>
        <w:shd w:val="clear" w:fill="auto"/>
        <w:spacing w:after="4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/>
      </w: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Software  </w:t>
      </w: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Git, Linux, Java, SQL, REST APIs, LaTeX.</w:t>
      </w:r>
    </w:p>
    <w:p>
      <w:pPr>
        <w:pStyle w:val="3"/>
        <w:shd w:val="clear" w:fill="auto"/>
        <w:spacing w:before="120" w:after="65" w:line="247" w:lineRule="auto" w:beforeAutospacing="0" w:afterAutospacing="0"/>
        <w:jc w:val="left"/>
        <w:widowControl w:val="1"/>
        <w:keepNext w:val="1"/>
        <w:keepLines w:val="1"/>
        <w:pBdr>
          <w:top w:val="single" w:sz="8" w:space="5" w:color="A0A0A0"/>
        </w:pBdr>
      </w:pPr>
      <w:r>
        <w:rPr>
          <w:rFonts w:ascii="Times New Roman" w:hAnsi="Times New Roman" w:cs="Times New Roman"/>
          <w:b w:val="1"/>
          <w:i w:val="0"/>
          <w:color w:val="1F1F1F"/>
          <w:sz w:val="28"/>
          <w:szCs w:val="28"/>
        </w:rPr>
        <w:t xml:space="preserve">ADDITIONAL TRAINING AND HONOURS</w:t>
      </w:r>
    </w:p>
    <w:p>
      <w:pPr>
        <w:shd w:val="clear" w:fill="auto"/>
        <w:spacing w:after="30" w:line="247" w:lineRule="auto" w:before="7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1"/>
          <w:i w:val="0"/>
          <w:color w:val="1F1F1F"/>
          <w:sz w:val="22"/>
          <w:szCs w:val="22"/>
        </w:rPr>
        <w:t xml:space="preserve">CEAIE Innovative Talents Science Training Programme</w:t>
      </w:r>
    </w:p>
    <w:p>
      <w:pPr>
        <w:shd w:val="clear" w:fill="auto"/>
        <w:spacing w:after="50" w:line="247" w:lineRule="auto" w:before="0" w:beforeAutospacing="0" w:afterAutospacing="0"/>
        <w:jc w:val="left"/>
        <w:widowControl w:val="1"/>
        <w:keepNext w:val="1"/>
        <w:keepLines w:val="1"/>
      </w:pPr>
      <w:r>
        <w:rPr>
          <w:rFonts w:ascii="Times New Roman" w:hAnsi="Times New Roman" w:cs="Times New Roman"/>
          <w:b w:val="0"/>
          <w:i w:val="1"/>
          <w:color w:val="1F1F1F"/>
          <w:sz w:val="21"/>
          <w:szCs w:val="21"/>
        </w:rPr>
        <w:t xml:space="preserve">Machine Learning, Network Security and Large Language Models</w:t>
      </w:r>
      <w:r>
        <w:rPr>
          <w:rFonts w:ascii="Times New Roman" w:hAnsi="Times New Roman" w:cs="Times New Roman"/>
          <w:b w:val="0"/>
          <w:i w:val="0"/>
          <w:color w:val="1F1F1F"/>
          <w:sz w:val="21"/>
          <w:szCs w:val="21"/>
        </w:rPr>
        <w:t xml:space="preserve"> | Mar – May 2025</w:t>
      </w:r>
    </w:p>
    <w:p>
      <w:pPr>
        <w:shd w:val="clear" w:fill="auto"/>
        <w:spacing w:after="45" w:line="247" w:lineRule="auto" w:before="0" w:beforeAutospacing="0" w:afterAutospacing="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Instructed by Prof. Pietro Liò (University of Cambridge); final grade 97.40 / A+.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Best Presentation Award — ICRAI 2025, Nagoya, Japan.</w:t>
      </w:r>
    </w:p>
    <w:p>
      <w:pPr>
        <w:numPr>
          <w:ilvl w:val="0"/>
          <w:numId w:val="3"/>
        </w:numPr>
        <w:shd w:val="clear" w:fill="auto"/>
        <w:spacing w:before="0" w:beforeAutospacing="0" w:after="40" w:afterAutospacing="0" w:line="247" w:lineRule="auto"/>
        <w:ind w:left="465" w:hanging="360"/>
        <w:jc w:val="left"/>
        <w:widowControl w:val="1"/>
        <w:keepLines w:val="1"/>
      </w:pPr>
      <w:r>
        <w:rPr>
          <w:rFonts w:ascii="Times New Roman" w:hAnsi="Times New Roman" w:cs="Times New Roman"/>
          <w:b w:val="0"/>
          <w:i w:val="0"/>
          <w:color w:val="1F1F1F"/>
          <w:sz w:val="22"/>
          <w:szCs w:val="22"/>
        </w:rPr>
        <w:t xml:space="preserve">Jiangsu Province Anti-Drug Promotion Ambassador and Outstanding Anti-Drug Youth.</w:t>
      </w:r>
    </w:p>
    <w:sectPr>
      <w:pgSz w:w="12240" w:h="15840"/>
      <w:pgMar w:top="936" w:right="1080" w:bottom="936" w:left="108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AA815BDD-3AC9-43A0-A9DF-FDFF86E5ECF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1DE8298-9421-412E-B498-E6ED4A55E0D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1C018770-7FA6-4BF3-AA2C-48BED4DBF65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4762A938-0C77-47CB-8ACE-736B2BC41B1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20CE059-D807-46BE-BBF8-943AE8C7A30A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B201E08-871F-43BA-A91A-87B6570AD6B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4A4948D0"/>
    <w:rsid w:val="79230F80"/>
    <w:rsid w:val="79E210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566</Words>
  <Characters>3881</Characters>
  <TotalTime>5</TotalTime>
  <ScaleCrop>false</ScaleCrop>
  <LinksUpToDate>false</LinksUpToDate>
  <CharactersWithSpaces>4403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2026-03-06T10:37:00Z</dcterms:created>
  <dc:creator>Administrator</dc:creator>
  <cp:lastModifiedBy>我是谁，我在哪里</cp:lastModifiedBy>
  <dcterms:modified xsi:type="dcterms:W3CDTF">2026-03-09T14:08:27Z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eyJoZGlkIjoiN2M2OTQ1OTY1Y2EzNTdmMWIxOTNmZWNhODNlYjBhNTEiLCJ1c2VySWQiOiIzOTA0NDIwNjYifQ==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F1AD86A5D10F4D93A78C6A92FCEEAADF_12</vt:lpwstr>
  </property>
</Properties>
</file>