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接口7表格模式自然语言转换关系样例</w:t>
      </w:r>
    </w:p>
    <w:p>
      <w:r>
        <w:t>这些表格用于 input_mode=table_rule。转换关系列保留自然语言说明，同时给出明确等式或映射，便于接口7抽取为规则。</w:t>
      </w:r>
    </w:p>
    <w:p>
      <w:pPr>
        <w:pStyle w:val="Heading2"/>
      </w:pPr>
      <w:r>
        <w:t>Temp_Sensor 到 Temp_Report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源协议</w:t>
            </w:r>
          </w:p>
        </w:tc>
        <w:tc>
          <w:tcPr>
            <w:tcW w:type="dxa" w:w="864"/>
          </w:tcPr>
          <w:p>
            <w:r>
              <w:t>源消息</w:t>
            </w:r>
          </w:p>
        </w:tc>
        <w:tc>
          <w:tcPr>
            <w:tcW w:type="dxa" w:w="864"/>
          </w:tcPr>
          <w:p>
            <w:r>
              <w:t>目标协议</w:t>
            </w:r>
          </w:p>
        </w:tc>
        <w:tc>
          <w:tcPr>
            <w:tcW w:type="dxa" w:w="864"/>
          </w:tcPr>
          <w:p>
            <w:r>
              <w:t>目标消息</w:t>
            </w:r>
          </w:p>
        </w:tc>
        <w:tc>
          <w:tcPr>
            <w:tcW w:type="dxa" w:w="864"/>
          </w:tcPr>
          <w:p>
            <w:r>
              <w:t>目标字段</w:t>
            </w:r>
          </w:p>
        </w:tc>
        <w:tc>
          <w:tcPr>
            <w:tcW w:type="dxa" w:w="864"/>
          </w:tcPr>
          <w:p>
            <w:r>
              <w:t>源字段</w:t>
            </w:r>
          </w:p>
        </w:tc>
        <w:tc>
          <w:tcPr>
            <w:tcW w:type="dxa" w:w="864"/>
          </w:tcPr>
          <w:p>
            <w:r>
              <w:t>转换关系</w:t>
            </w:r>
          </w:p>
        </w:tc>
        <w:tc>
          <w:tcPr>
            <w:tcW w:type="dxa" w:w="864"/>
          </w:tcPr>
          <w:p>
            <w:r>
              <w:t>转换类型</w:t>
            </w:r>
          </w:p>
        </w:tc>
        <w:tc>
          <w:tcPr>
            <w:tcW w:type="dxa" w:w="864"/>
          </w:tcPr>
          <w:p>
            <w:r>
              <w:t>字段含义</w:t>
            </w:r>
          </w:p>
        </w:tc>
        <w:tc>
          <w:tcPr>
            <w:tcW w:type="dxa" w:w="864"/>
          </w:tcPr>
          <w:p>
            <w:r>
              <w:t>说明</w:t>
            </w:r>
          </w:p>
        </w:tc>
      </w:tr>
      <w:tr>
        <w:tc>
          <w:tcPr>
            <w:tcW w:type="dxa" w:w="864"/>
          </w:tcPr>
          <w:p>
            <w:r>
              <w:t>Temp_Sensor</w:t>
            </w:r>
          </w:p>
        </w:tc>
        <w:tc>
          <w:tcPr>
            <w:tcW w:type="dxa" w:w="864"/>
          </w:tcPr>
          <w:p>
            <w:r>
              <w:t>Temp_Sensor</w:t>
            </w:r>
          </w:p>
        </w:tc>
        <w:tc>
          <w:tcPr>
            <w:tcW w:type="dxa" w:w="864"/>
          </w:tcPr>
          <w:p>
            <w:r>
              <w:t>Temp_Report</w:t>
            </w:r>
          </w:p>
        </w:tc>
        <w:tc>
          <w:tcPr>
            <w:tcW w:type="dxa" w:w="864"/>
          </w:tcPr>
          <w:p>
            <w:r>
              <w:t>Temp_Report</w:t>
            </w:r>
          </w:p>
        </w:tc>
        <w:tc>
          <w:tcPr>
            <w:tcW w:type="dxa" w:w="864"/>
          </w:tcPr>
          <w:p>
            <w:r>
              <w:t>temperature_c</w:t>
            </w:r>
          </w:p>
        </w:tc>
        <w:tc>
          <w:tcPr>
            <w:tcW w:type="dxa" w:w="864"/>
          </w:tcPr>
          <w:p>
            <w:r>
              <w:t>temperature</w:t>
            </w:r>
          </w:p>
        </w:tc>
        <w:tc>
          <w:tcPr>
            <w:tcW w:type="dxa" w:w="864"/>
          </w:tcPr>
          <w:p>
            <w:r>
              <w:t>temperature_c = temperature；自然语言：源温度已经是摄氏度，目标温度字段直接继承源字段。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温度</w:t>
            </w:r>
          </w:p>
        </w:tc>
        <w:tc>
          <w:tcPr>
            <w:tcW w:type="dxa" w:w="864"/>
          </w:tcPr>
          <w:p>
            <w:r>
              <w:t>用于验证接口7能从表格中抽取直接映射规则，并可继续交给接口8生成工程。</w:t>
            </w:r>
          </w:p>
        </w:tc>
      </w:tr>
      <w:tr>
        <w:tc>
          <w:tcPr>
            <w:tcW w:type="dxa" w:w="864"/>
          </w:tcPr>
          <w:p>
            <w:r>
              <w:t>Temp_Sensor</w:t>
            </w:r>
          </w:p>
        </w:tc>
        <w:tc>
          <w:tcPr>
            <w:tcW w:type="dxa" w:w="864"/>
          </w:tcPr>
          <w:p>
            <w:r>
              <w:t>Temp_Sensor</w:t>
            </w:r>
          </w:p>
        </w:tc>
        <w:tc>
          <w:tcPr>
            <w:tcW w:type="dxa" w:w="864"/>
          </w:tcPr>
          <w:p>
            <w:r>
              <w:t>Temp_Report</w:t>
            </w:r>
          </w:p>
        </w:tc>
        <w:tc>
          <w:tcPr>
            <w:tcW w:type="dxa" w:w="864"/>
          </w:tcPr>
          <w:p>
            <w:r>
              <w:t>Temp_Report</w:t>
            </w:r>
          </w:p>
        </w:tc>
        <w:tc>
          <w:tcPr>
            <w:tcW w:type="dxa" w:w="864"/>
          </w:tcPr>
          <w:p>
            <w:r>
              <w:t>alarm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alarm = 0-&gt;0, 1-&gt;1, 2-&gt;1, 3-&gt;2；自然语言：状态码0表示正常，1和2都转为一般告警，3转为严重告警。</w:t>
            </w:r>
          </w:p>
        </w:tc>
        <w:tc>
          <w:tcPr>
            <w:tcW w:type="dxa" w:w="864"/>
          </w:tcPr>
          <w:p>
            <w:r>
              <w:t>mapping</w:t>
            </w:r>
          </w:p>
        </w:tc>
        <w:tc>
          <w:tcPr>
            <w:tcW w:type="dxa" w:w="864"/>
          </w:tcPr>
          <w:p>
            <w:r>
              <w:t>告警等级</w:t>
            </w:r>
          </w:p>
        </w:tc>
        <w:tc>
          <w:tcPr>
            <w:tcW w:type="dxa" w:w="864"/>
          </w:tcPr>
          <w:p>
            <w:r>
              <w:t>用于验证枚举/状态映射关系。</w:t>
            </w:r>
          </w:p>
        </w:tc>
      </w:tr>
    </w:tbl>
    <w:p>
      <w:pPr>
        <w:pStyle w:val="Heading2"/>
      </w:pPr>
      <w:r>
        <w:t>K1.6 到 X0.5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源协议</w:t>
            </w:r>
          </w:p>
        </w:tc>
        <w:tc>
          <w:tcPr>
            <w:tcW w:type="dxa" w:w="864"/>
          </w:tcPr>
          <w:p>
            <w:r>
              <w:t>源消息</w:t>
            </w:r>
          </w:p>
        </w:tc>
        <w:tc>
          <w:tcPr>
            <w:tcW w:type="dxa" w:w="864"/>
          </w:tcPr>
          <w:p>
            <w:r>
              <w:t>目标协议</w:t>
            </w:r>
          </w:p>
        </w:tc>
        <w:tc>
          <w:tcPr>
            <w:tcW w:type="dxa" w:w="864"/>
          </w:tcPr>
          <w:p>
            <w:r>
              <w:t>目标消息</w:t>
            </w:r>
          </w:p>
        </w:tc>
        <w:tc>
          <w:tcPr>
            <w:tcW w:type="dxa" w:w="864"/>
          </w:tcPr>
          <w:p>
            <w:r>
              <w:t>目标字段</w:t>
            </w:r>
          </w:p>
        </w:tc>
        <w:tc>
          <w:tcPr>
            <w:tcW w:type="dxa" w:w="864"/>
          </w:tcPr>
          <w:p>
            <w:r>
              <w:t>源字段</w:t>
            </w:r>
          </w:p>
        </w:tc>
        <w:tc>
          <w:tcPr>
            <w:tcW w:type="dxa" w:w="864"/>
          </w:tcPr>
          <w:p>
            <w:r>
              <w:t>转换关系</w:t>
            </w:r>
          </w:p>
        </w:tc>
        <w:tc>
          <w:tcPr>
            <w:tcW w:type="dxa" w:w="864"/>
          </w:tcPr>
          <w:p>
            <w:r>
              <w:t>转换类型</w:t>
            </w:r>
          </w:p>
        </w:tc>
        <w:tc>
          <w:tcPr>
            <w:tcW w:type="dxa" w:w="864"/>
          </w:tcPr>
          <w:p>
            <w:r>
              <w:t>字段含义</w:t>
            </w:r>
          </w:p>
        </w:tc>
        <w:tc>
          <w:tcPr>
            <w:tcW w:type="dxa" w:w="864"/>
          </w:tcPr>
          <w:p>
            <w:r>
              <w:t>说明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时间1</w:t>
            </w:r>
          </w:p>
        </w:tc>
        <w:tc>
          <w:tcPr>
            <w:tcW w:type="dxa" w:w="864"/>
          </w:tcPr>
          <w:p>
            <w:r>
              <w:t>小时</w:t>
            </w:r>
          </w:p>
        </w:tc>
        <w:tc>
          <w:tcPr>
            <w:tcW w:type="dxa" w:w="864"/>
          </w:tcPr>
          <w:p>
            <w:r>
              <w:t>时间1 = 小时；自然语言：目标时间1使用源消息中的小时字段。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时间小时</w:t>
            </w:r>
          </w:p>
        </w:tc>
        <w:tc>
          <w:tcPr>
            <w:tcW w:type="dxa" w:w="864"/>
          </w:tcPr>
          <w:p>
            <w:r>
              <w:t>拆分时间字段，单源字段直传。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时间2</w:t>
            </w:r>
          </w:p>
        </w:tc>
        <w:tc>
          <w:tcPr>
            <w:tcW w:type="dxa" w:w="864"/>
          </w:tcPr>
          <w:p>
            <w:r>
              <w:t>分钟</w:t>
            </w:r>
          </w:p>
        </w:tc>
        <w:tc>
          <w:tcPr>
            <w:tcW w:type="dxa" w:w="864"/>
          </w:tcPr>
          <w:p>
            <w:r>
              <w:t>时间2 = 分钟；自然语言：目标时间2使用源消息中的分钟字段。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时间分钟</w:t>
            </w:r>
          </w:p>
        </w:tc>
        <w:tc>
          <w:tcPr>
            <w:tcW w:type="dxa" w:w="864"/>
          </w:tcPr>
          <w:p>
            <w:r>
              <w:t>拆分时间字段，单源字段直传。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时间3</w:t>
            </w:r>
          </w:p>
        </w:tc>
        <w:tc>
          <w:tcPr>
            <w:tcW w:type="dxa" w:w="864"/>
          </w:tcPr>
          <w:p>
            <w:r>
              <w:t>秒</w:t>
            </w:r>
          </w:p>
        </w:tc>
        <w:tc>
          <w:tcPr>
            <w:tcW w:type="dxa" w:w="864"/>
          </w:tcPr>
          <w:p>
            <w:r>
              <w:t>时间3 = 秒；自然语言：目标时间3使用源消息中的秒字段。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时间秒</w:t>
            </w:r>
          </w:p>
        </w:tc>
        <w:tc>
          <w:tcPr>
            <w:tcW w:type="dxa" w:w="864"/>
          </w:tcPr>
          <w:p>
            <w:r>
              <w:t>拆分时间字段，单源字段直传。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时间4</w:t>
            </w:r>
          </w:p>
        </w:tc>
        <w:tc>
          <w:tcPr>
            <w:tcW w:type="dxa" w:w="864"/>
          </w:tcPr>
          <w:p>
            <w:r>
              <w:t>日,小时,分钟,秒</w:t>
            </w:r>
          </w:p>
        </w:tc>
        <w:tc>
          <w:tcPr>
            <w:tcW w:type="dxa" w:w="864"/>
          </w:tcPr>
          <w:p>
            <w:r>
              <w:t>时间4 = (日 * 86400) + (小时 * 3600) + (分钟 * 60) + 秒；自然语言：将日、小时、分钟、秒合成为秒级时间累计值。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累计秒</w:t>
            </w:r>
          </w:p>
        </w:tc>
        <w:tc>
          <w:tcPr>
            <w:tcW w:type="dxa" w:w="864"/>
          </w:tcPr>
          <w:p>
            <w:r>
              <w:t>多源字段算术转换。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高度</w:t>
            </w:r>
          </w:p>
        </w:tc>
        <w:tc>
          <w:tcPr>
            <w:tcW w:type="dxa" w:w="864"/>
          </w:tcPr>
          <w:p>
            <w:r>
              <w:t>高程</w:t>
            </w:r>
          </w:p>
        </w:tc>
        <w:tc>
          <w:tcPr>
            <w:tcW w:type="dxa" w:w="864"/>
          </w:tcPr>
          <w:p>
            <w:r>
              <w:t>高度 = 高程；自然语言：源协议高程与目标高度语义一致，直接写入。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高度</w:t>
            </w:r>
          </w:p>
        </w:tc>
        <w:tc>
          <w:tcPr>
            <w:tcW w:type="dxa" w:w="864"/>
          </w:tcPr>
          <w:p>
            <w:r>
              <w:t>字段别名映射。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经度</w:t>
            </w:r>
          </w:p>
        </w:tc>
        <w:tc>
          <w:tcPr>
            <w:tcW w:type="dxa" w:w="864"/>
          </w:tcPr>
          <w:p>
            <w:r>
              <w:t>经度</w:t>
            </w:r>
          </w:p>
        </w:tc>
        <w:tc>
          <w:tcPr>
            <w:tcW w:type="dxa" w:w="864"/>
          </w:tcPr>
          <w:p>
            <w:r>
              <w:t>经度 = 经度；自然语言：目标经度直接沿用源经度。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经度</w:t>
            </w:r>
          </w:p>
        </w:tc>
        <w:tc>
          <w:tcPr>
            <w:tcW w:type="dxa" w:w="864"/>
          </w:tcPr>
          <w:p>
            <w:r>
              <w:t>坐标字段直传。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纬度</w:t>
            </w:r>
          </w:p>
        </w:tc>
        <w:tc>
          <w:tcPr>
            <w:tcW w:type="dxa" w:w="864"/>
          </w:tcPr>
          <w:p>
            <w:r>
              <w:t>纬度</w:t>
            </w:r>
          </w:p>
        </w:tc>
        <w:tc>
          <w:tcPr>
            <w:tcW w:type="dxa" w:w="864"/>
          </w:tcPr>
          <w:p>
            <w:r>
              <w:t>纬度 = 纬度；自然语言：目标纬度直接沿用源纬度。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纬度</w:t>
            </w:r>
          </w:p>
        </w:tc>
        <w:tc>
          <w:tcPr>
            <w:tcW w:type="dxa" w:w="864"/>
          </w:tcPr>
          <w:p>
            <w:r>
              <w:t>坐标字段直传。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运行状态</w:t>
            </w:r>
          </w:p>
        </w:tc>
        <w:tc>
          <w:tcPr>
            <w:tcW w:type="dxa" w:w="864"/>
          </w:tcPr>
          <w:p>
            <w:r>
              <w:t>威胁类型</w:t>
            </w:r>
          </w:p>
        </w:tc>
        <w:tc>
          <w:tcPr>
            <w:tcW w:type="dxa" w:w="864"/>
          </w:tcPr>
          <w:p>
            <w:r>
              <w:t>运行状态 = 1 if 威胁类型 &gt; 0 else 0；自然语言：只要源威胁类型有效，目标网络运行状态置为运行。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运行状态</w:t>
            </w:r>
          </w:p>
        </w:tc>
        <w:tc>
          <w:tcPr>
            <w:tcW w:type="dxa" w:w="864"/>
          </w:tcPr>
          <w:p>
            <w:r>
              <w:t>条件表达式规则。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横滚角</w:t>
            </w:r>
          </w:p>
        </w:tc>
        <w:tc>
          <w:tcPr>
            <w:tcW w:type="dxa" w:w="864"/>
          </w:tcPr>
          <w:p>
            <w:r>
              <w:t>翻滚1</w:t>
            </w:r>
          </w:p>
        </w:tc>
        <w:tc>
          <w:tcPr>
            <w:tcW w:type="dxa" w:w="864"/>
          </w:tcPr>
          <w:p>
            <w:r>
              <w:t>横滚角 = 翻滚1；自然语言：源翻滚角字段写入目标横滚角。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姿态横滚</w:t>
            </w:r>
          </w:p>
        </w:tc>
        <w:tc>
          <w:tcPr>
            <w:tcW w:type="dxa" w:w="864"/>
          </w:tcPr>
          <w:p>
            <w:r>
              <w:t>姿态字段别名映射。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俯仰角</w:t>
            </w:r>
          </w:p>
        </w:tc>
        <w:tc>
          <w:tcPr>
            <w:tcW w:type="dxa" w:w="864"/>
          </w:tcPr>
          <w:p>
            <w:r>
              <w:t>俯仰1</w:t>
            </w:r>
          </w:p>
        </w:tc>
        <w:tc>
          <w:tcPr>
            <w:tcW w:type="dxa" w:w="864"/>
          </w:tcPr>
          <w:p>
            <w:r>
              <w:t>俯仰角 = 俯仰1；自然语言：源俯仰角字段写入目标俯仰角。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姿态俯仰</w:t>
            </w:r>
          </w:p>
        </w:tc>
        <w:tc>
          <w:tcPr>
            <w:tcW w:type="dxa" w:w="864"/>
          </w:tcPr>
          <w:p>
            <w:r>
              <w:t>姿态字段别名映射。</w:t>
            </w:r>
          </w:p>
        </w:tc>
      </w:tr>
      <w:tr>
        <w:tc>
          <w:tcPr>
            <w:tcW w:type="dxa" w:w="864"/>
          </w:tcPr>
          <w:p>
            <w:r>
              <w:t>K1_6</w:t>
            </w:r>
          </w:p>
        </w:tc>
        <w:tc>
          <w:tcPr>
            <w:tcW w:type="dxa" w:w="864"/>
          </w:tcPr>
          <w:p>
            <w:r>
              <w:t>K1.6</w:t>
            </w:r>
          </w:p>
        </w:tc>
        <w:tc>
          <w:tcPr>
            <w:tcW w:type="dxa" w:w="864"/>
          </w:tcPr>
          <w:p>
            <w:r>
              <w:t>X0_5</w:t>
            </w:r>
          </w:p>
        </w:tc>
        <w:tc>
          <w:tcPr>
            <w:tcW w:type="dxa" w:w="864"/>
          </w:tcPr>
          <w:p>
            <w:r>
              <w:t>X0.5</w:t>
            </w:r>
          </w:p>
        </w:tc>
        <w:tc>
          <w:tcPr>
            <w:tcW w:type="dxa" w:w="864"/>
          </w:tcPr>
          <w:p>
            <w:r>
              <w:t>航向</w:t>
            </w:r>
          </w:p>
        </w:tc>
        <w:tc>
          <w:tcPr>
            <w:tcW w:type="dxa" w:w="864"/>
          </w:tcPr>
          <w:p>
            <w:r>
              <w:t>偏航1</w:t>
            </w:r>
          </w:p>
        </w:tc>
        <w:tc>
          <w:tcPr>
            <w:tcW w:type="dxa" w:w="864"/>
          </w:tcPr>
          <w:p>
            <w:r>
              <w:t>航向 = 偏航1；自然语言：源偏航角字段写入目标航向字段。</w:t>
            </w:r>
          </w:p>
        </w:tc>
        <w:tc>
          <w:tcPr>
            <w:tcW w:type="dxa" w:w="864"/>
          </w:tcPr>
          <w:p>
            <w:r>
              <w:t>transcoding</w:t>
            </w:r>
          </w:p>
        </w:tc>
        <w:tc>
          <w:tcPr>
            <w:tcW w:type="dxa" w:w="864"/>
          </w:tcPr>
          <w:p>
            <w:r>
              <w:t>姿态航向</w:t>
            </w:r>
          </w:p>
        </w:tc>
        <w:tc>
          <w:tcPr>
            <w:tcW w:type="dxa" w:w="864"/>
          </w:tcPr>
          <w:p>
            <w:r>
              <w:t>姿态字段别名映射。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